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digital twins, synthetic customers, validation, calibration, organizational accountability, marketing analytics</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and conjoint results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that is,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does not lie in the language model alone but in the fit between what the system delivers and what the task demands (Goodhue and Thompson 1995). For promotion planning the task demands a plausible share of customers who do not buy, a plausible weight of heavy buyers, and a plausible absolute size of an effect. The elicitation design, meaning how the model is asked, how its answers become numbers, and where the variation among customers comes from, is therefore the artifact’s central design variable. We ask which designs preserve what the decision needs, why, and what organizations must do to know.</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plausible output invites reliance beyond what a system warrants (Lee and See 2004). The limits of AI-based decision support are therefore not a technical footnote but a question of how organizations should validate and use such outputs.</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whose rate differs across customers, so that the overdispersion of counts measures how much customers differ (Ehrenberg 1959, Schmittlein et al. 1987, Fader et al. 2005). Heterogeneity is a demanding test for a generative system for three reasons. It is invisible in the averages that users inspect. It drives the decisions that matter, those that depend on heavy buyers, on non-buyers, and on uncertainty. And it is the property that studies of silicon samples find compressed, with answers clustering on the modal response (Li et al. 2025, Tigre and Souto 2026) and instruction-tuned models unable to sample from distributions they can describe (Jang et al. 2026). Purchase counts, concentration, and promotion lifts are thus the supporting evidence in this paper, not its subject. They let us observe, against real data, whether the artifact preserves the property that the decision needs.</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To answer them we compare four elicitation designs, run with eight language models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design knowledge for the artifact: two propositions that state a design constraint (a deterministic persona-conditioned component transmits only the heterogeneity its persona describes) and a calibration mechanism (the variance carried by external noise must be allocated against the model’s own variation), and a third that links the constraint to customer concentration (Propositions 1 to 3). Second, we explain why this is a managerial problem and not merely a statistical one: when behavior is generated rather than estimated, the quality of the artifact is bounded by the firm’s data assets, cannot be seen from inside the system, and depends on components that the firm does not control. Third, we provide evidence across designs, models, and settings that direct and day-by-day designs collapse, that a design which takes only the level from the model and calibrates the spread externally restores concentration, and that calibrating the level adds little beyond the historical mean. Fourth, we derive five design principles and an acceptance-test protocol for synthetic-customer systems. Fifth, we identify the organizational arrangements, covering ownership of reference data, revalidation, separation of synthetic from real data, and accountability, that follow, and we show with the randomized email experiment that the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Together the propositions imply a separation of responsibilities between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the algebra establishes about the design space that an organization faces. First, Proposition 1 is an impossibility result for the design levers that organizations control. These levers are the prompt, the persona, the choice of model, and the decoding settings. Each of them acts on the deterministic map from persona to answer, and none of them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A team that tunes prompts to</w:t>
      </w:r>
      <w:r>
        <w:t xml:space="preserve"> </w:t>
      </w:r>
      <w:r>
        <w:t xml:space="preserve">“</w:t>
      </w:r>
      <w:r>
        <w:t xml:space="preserve">add diversity</w:t>
      </w:r>
      <w:r>
        <w:t xml:space="preserve">”</w:t>
      </w:r>
      <w:r>
        <w:t xml:space="preserve"> </w:t>
      </w:r>
      <w:r>
        <w:t xml:space="preserve">is working on the wrong lever, and this can be known before any experiment. Second, Proposition 2 turns the remedy into a rule that can be computed, audited, and handed to a governance process, which is the form in which design knowledge becomes usable in organizations (Gregor and Hevner 2013). Third, both propositions are independent of which model is used. They state what must be true of any component placed in this role, so they continue to hold when models and providers change, and that is the condition under which an organization can build a system around a component that it does not control. Fourth, they generate predictions that we test in Section 5: that direct answers collapse, that constant answers produce</w:t>
      </w:r>
      <w:r>
        <w:t xml:space="preserve"> </w:t>
      </w:r>
      <m:oMath>
        <m:sSup>
          <m:e>
            <m:r>
              <m:t>α</m:t>
            </m:r>
          </m:e>
          <m:sup>
            <m:r>
              <m:rPr>
                <m:sty m:val="p"/>
              </m:rPr>
              <m:t>*</m:t>
            </m:r>
          </m:sup>
        </m:sSup>
        <m:r>
          <m:rPr>
            <m:sty m:val="p"/>
          </m:rPr>
          <m:t>=</m:t>
        </m:r>
        <m:r>
          <m:rPr>
            <m:sty m:val="p"/>
          </m:rPr>
          <m:t>−</m:t>
        </m:r>
        <m:r>
          <m:t>1</m:t>
        </m:r>
        <m:r>
          <m:rPr>
            <m:sty m:val="p"/>
          </m:rPr>
          <m:t>/</m:t>
        </m:r>
        <m:r>
          <m:t>μ</m:t>
        </m:r>
      </m:oMath>
      <w:r>
        <w:t xml:space="preserve">, that external noise restores concentration, and that richer personas cannot supply heterogeneity that the persona data do not contain. They are therefore testable design knowledge in the sense of design science (Gregor and Hevner 2013), in the form of constraints and a mechanism that apply to a class of artifacts,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w:t>
      </w:r>
      <w:r>
        <w:t xml:space="preserve"> </w:t>
      </w:r>
      <w:r>
        <w:t xml:space="preserve">(a) Let</w:t>
      </w:r>
      <w:r>
        <w:t xml:space="preserve"> </w:t>
      </w:r>
      <m:oMath>
        <m:r>
          <m:t>A</m:t>
        </m:r>
      </m:oMath>
      <w:r>
        <w:t xml:space="preserve"> </w:t>
      </w:r>
      <w:r>
        <w:t xml:space="preserve">be any event with</w:t>
      </w:r>
      <w:r>
        <w:t xml:space="preserve"> </w:t>
      </w:r>
      <m:oMath>
        <m:r>
          <m:t>P</m:t>
        </m:r>
        <m:d>
          <m:dPr>
            <m:begChr m:val="("/>
            <m:endChr m:val=")"/>
            <m:sepChr m:val=""/>
            <m:grow/>
          </m:dPr>
          <m:e>
            <m:r>
              <m:t>A</m:t>
            </m:r>
          </m:e>
        </m:d>
        <m:r>
          <m:rPr>
            <m:sty m:val="p"/>
          </m:rPr>
          <m:t>=</m:t>
        </m:r>
        <m:r>
          <m:t>q</m:t>
        </m:r>
      </m:oMath>
      <w:r>
        <w:t xml:space="preserve">. Then</w:t>
      </w:r>
      <w:r>
        <w:t xml:space="preserve"> </w:t>
      </w:r>
      <m:oMath>
        <m:r>
          <m:t>E</m:t>
        </m:r>
        <m:d>
          <m:dPr>
            <m:begChr m:val="["/>
            <m:endChr m:val="]"/>
            <m:sepChr m:val=""/>
            <m:grow/>
          </m:dPr>
          <m:e>
            <m:r>
              <m:t>Λ</m:t>
            </m:r>
            <m:sSub>
              <m:e>
                <m:r>
                  <m:rPr>
                    <m:sty m:val="b"/>
                  </m:rPr>
                  <m:t>1</m:t>
                </m:r>
              </m:e>
              <m:sub>
                <m:r>
                  <m:t>A</m:t>
                </m:r>
              </m:sub>
            </m:sSub>
          </m:e>
        </m:d>
        <m:r>
          <m:rPr>
            <m:sty m:val="p"/>
          </m:rPr>
          <m:t>=</m:t>
        </m:r>
        <m:r>
          <m:t>μ</m:t>
        </m:r>
        <m:r>
          <m:t>q</m:t>
        </m:r>
        <m:r>
          <m:rPr>
            <m:sty m:val="p"/>
          </m:rPr>
          <m:t>+</m:t>
        </m:r>
        <m:r>
          <m:rPr>
            <m:nor/>
            <m:sty m:val="p"/>
          </m:rPr>
          <m:t>Cov</m:t>
        </m:r>
        <m:d>
          <m:dPr>
            <m:begChr m:val="("/>
            <m:endChr m:val=")"/>
            <m:sepChr m:val=""/>
            <m:grow/>
          </m:dPr>
          <m:e>
            <m:r>
              <m:t>Λ</m:t>
            </m:r>
            <m:r>
              <m:rPr>
                <m:sty m:val="p"/>
              </m:rPr>
              <m:t>,</m:t>
            </m:r>
            <m:sSub>
              <m:e>
                <m:r>
                  <m:rPr>
                    <m:sty m:val="b"/>
                  </m:rPr>
                  <m:t>1</m:t>
                </m:r>
              </m:e>
              <m:sub>
                <m:r>
                  <m:t>A</m:t>
                </m:r>
              </m:sub>
            </m:sSub>
          </m:e>
        </m:d>
      </m:oMath>
      <w:r>
        <w:t xml:space="preserve">, and the Cauchy–Schwarz inequality gives</w:t>
      </w:r>
      <w:r>
        <w:t xml:space="preserve"> </w:t>
      </w:r>
      <m:oMath>
        <m:r>
          <m:rPr>
            <m:nor/>
            <m:sty m:val="p"/>
          </m:rPr>
          <m:t>Cov</m:t>
        </m:r>
        <m:d>
          <m:dPr>
            <m:begChr m:val="("/>
            <m:endChr m:val=")"/>
            <m:sepChr m:val=""/>
            <m:grow/>
          </m:dPr>
          <m:e>
            <m:r>
              <m:t>Λ</m:t>
            </m:r>
            <m:r>
              <m:rPr>
                <m:sty m:val="p"/>
              </m:rPr>
              <m:t>,</m:t>
            </m:r>
            <m:sSub>
              <m:e>
                <m:r>
                  <m:rPr>
                    <m:sty m:val="b"/>
                  </m:rPr>
                  <m:t>1</m:t>
                </m:r>
              </m:e>
              <m:sub>
                <m:r>
                  <m:t>A</m:t>
                </m:r>
              </m:sub>
            </m:sSub>
          </m:e>
        </m:d>
        <m:r>
          <m:rPr>
            <m:sty m:val="p"/>
          </m:rPr>
          <m:t>≤</m:t>
        </m:r>
        <m:rad>
          <m:radPr>
            <m:degHide m:val="on"/>
          </m:radPr>
          <m:deg/>
          <m:e>
            <m:r>
              <m:rPr>
                <m:nor/>
                <m:sty m:val="p"/>
              </m:rPr>
              <m:t>Var</m:t>
            </m:r>
            <m:d>
              <m:dPr>
                <m:begChr m:val="("/>
                <m:endChr m:val=")"/>
                <m:sepChr m:val=""/>
                <m:grow/>
              </m:dPr>
              <m:e>
                <m:r>
                  <m:t>Λ</m:t>
                </m:r>
              </m:e>
            </m:d>
          </m:e>
        </m:rad>
        <m:rad>
          <m:radPr>
            <m:degHide m:val="on"/>
          </m:radPr>
          <m:deg/>
          <m:e>
            <m:r>
              <m:t>q</m:t>
            </m:r>
            <m:d>
              <m:dPr>
                <m:begChr m:val="("/>
                <m:endChr m:val=")"/>
                <m:sepChr m:val=""/>
                <m:grow/>
              </m:dPr>
              <m:e>
                <m:r>
                  <m:t>1</m:t>
                </m:r>
                <m:r>
                  <m:rPr>
                    <m:sty m:val="p"/>
                  </m:rPr>
                  <m:t>−</m:t>
                </m:r>
                <m:r>
                  <m:t>q</m:t>
                </m:r>
              </m:e>
            </m:d>
          </m:e>
        </m:rad>
        <m:r>
          <m:rPr>
            <m:sty m:val="p"/>
          </m:rPr>
          <m:t>=</m:t>
        </m:r>
        <m:r>
          <m:t>μ</m:t>
        </m:r>
        <m:rad>
          <m:radPr>
            <m:degHide m:val="on"/>
          </m:radPr>
          <m:deg/>
          <m:e>
            <m:r>
              <m:t>α</m:t>
            </m:r>
            <m:r>
              <m:t>q</m:t>
            </m:r>
            <m:d>
              <m:dPr>
                <m:begChr m:val="("/>
                <m:endChr m:val=")"/>
                <m:sepChr m:val=""/>
                <m:grow/>
              </m:dPr>
              <m:e>
                <m:r>
                  <m:t>1</m:t>
                </m:r>
                <m:r>
                  <m:rPr>
                    <m:sty m:val="p"/>
                  </m:rPr>
                  <m:t>−</m:t>
                </m:r>
                <m:r>
                  <m:t>q</m:t>
                </m:r>
              </m:e>
            </m:d>
          </m:e>
        </m:rad>
      </m:oMath>
      <w:r>
        <w:t xml:space="preserve">. This bounds</w:t>
      </w:r>
      <w:r>
        <w:t xml:space="preserve"> </w:t>
      </w:r>
      <m:oMath>
        <m:sSub>
          <m:e>
            <m:r>
              <m:t>S</m:t>
            </m:r>
          </m:e>
          <m:sub>
            <m:r>
              <m:t>q</m:t>
            </m:r>
          </m:sub>
        </m:sSub>
      </m:oMath>
      <w:r>
        <w:t xml:space="preserve"> </w:t>
      </w:r>
      <w:r>
        <w:t xml:space="preserve">from above. For the lower bound take an event that is independent of</w:t>
      </w:r>
      <w:r>
        <w:t xml:space="preserve"> </w:t>
      </w:r>
      <m:oMath>
        <m:r>
          <m:t>Λ</m:t>
        </m:r>
      </m:oMath>
      <w:r>
        <w:t xml:space="preserve"> </w:t>
      </w:r>
      <w:r>
        <w:t xml:space="preserve">and has probability</w:t>
      </w:r>
      <w:r>
        <w:t xml:space="preserve"> </w:t>
      </w:r>
      <m:oMath>
        <m:r>
          <m:t>q</m:t>
        </m:r>
      </m:oMath>
      <w:r>
        <w:t xml:space="preserve"> </w:t>
      </w:r>
      <w:r>
        <w:t xml:space="preserve">(on a sufficiently rich probability space, or by assigning ties fractionally); it yields</w:t>
      </w:r>
      <w:r>
        <w:t xml:space="preserve"> </w:t>
      </w:r>
      <m:oMath>
        <m:r>
          <m:t>E</m:t>
        </m:r>
        <m:d>
          <m:dPr>
            <m:begChr m:val="["/>
            <m:endChr m:val="]"/>
            <m:sepChr m:val=""/>
            <m:grow/>
          </m:dPr>
          <m:e>
            <m:r>
              <m:t>Λ</m:t>
            </m:r>
            <m:sSub>
              <m:e>
                <m:r>
                  <m:rPr>
                    <m:sty m:val="b"/>
                  </m:rPr>
                  <m:t>1</m:t>
                </m:r>
              </m:e>
              <m:sub>
                <m:r>
                  <m:t>A</m:t>
                </m:r>
              </m:sub>
            </m:sSub>
          </m:e>
        </m:d>
        <m:r>
          <m:rPr>
            <m:sty m:val="p"/>
          </m:rPr>
          <m:t>=</m:t>
        </m:r>
        <m:r>
          <m:t>μ</m:t>
        </m:r>
        <m:r>
          <m:t>q</m:t>
        </m:r>
      </m:oMath>
      <w:r>
        <w:t xml:space="preserve">.</w:t>
      </w:r>
    </w:p>
    <w:p>
      <w:pPr>
        <w:numPr>
          <w:ilvl w:val="0"/>
          <w:numId w:val="1003"/>
        </w:numPr>
      </w:pPr>
      <w:r>
        <w:t xml:space="preserve">Let</w:t>
      </w:r>
      <w:r>
        <w:t xml:space="preserve"> </w:t>
      </w:r>
      <m:oMath>
        <m:r>
          <m:t>Λ</m:t>
        </m:r>
      </m:oMath>
      <w:r>
        <w:t xml:space="preserve"> </w:t>
      </w:r>
      <w:r>
        <w:t xml:space="preserve">have density</w:t>
      </w:r>
      <w:r>
        <w:t xml:space="preserve"> </w:t>
      </w:r>
      <m:oMath>
        <m:sSub>
          <m:e>
            <m:r>
              <m:t>f</m:t>
            </m:r>
          </m:e>
          <m:sub>
            <m:r>
              <m:t>k</m:t>
            </m:r>
            <m:r>
              <m:rPr>
                <m:sty m:val="p"/>
              </m:rPr>
              <m:t>,</m:t>
            </m:r>
            <m:r>
              <m:t>θ</m:t>
            </m:r>
          </m:sub>
        </m:sSub>
      </m:oMath>
      <w:r>
        <w:t xml:space="preserve"> </w:t>
      </w:r>
      <w:r>
        <w:t xml:space="preserve">with</w:t>
      </w:r>
      <w:r>
        <w:t xml:space="preserve"> </w:t>
      </w:r>
      <m:oMath>
        <m:r>
          <m:t>μ</m:t>
        </m:r>
        <m:r>
          <m:rPr>
            <m:sty m:val="p"/>
          </m:rPr>
          <m:t>=</m:t>
        </m:r>
        <m:r>
          <m:t>k</m:t>
        </m:r>
        <m:r>
          <m:t>θ</m:t>
        </m:r>
      </m:oMath>
      <w:r>
        <w:t xml:space="preserve">. Since</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we have</w:t>
      </w:r>
      <w:r>
        <w:t xml:space="preserve"> </w:t>
      </w:r>
      <m:oMath>
        <m:r>
          <m:t>E</m:t>
        </m:r>
        <m:d>
          <m:dPr>
            <m:begChr m:val="["/>
            <m:endChr m:val="]"/>
            <m:sepChr m:val=""/>
            <m:grow/>
          </m:dPr>
          <m:e>
            <m:r>
              <m:t>Λ</m:t>
            </m:r>
            <m:r>
              <m:rPr>
                <m:sty m:val="b"/>
              </m:rPr>
              <m:t>1</m:t>
            </m:r>
            <m:r>
              <m:rPr>
                <m:sty m:val="p"/>
              </m:rPr>
              <m:t>{</m:t>
            </m:r>
            <m:r>
              <m:t>Λ</m:t>
            </m:r>
            <m:r>
              <m:rPr>
                <m:sty m:val="p"/>
              </m:rPr>
              <m:t>&gt;</m:t>
            </m:r>
            <m:r>
              <m:t>x</m:t>
            </m:r>
            <m:r>
              <m:rPr>
                <m:sty m:val="p"/>
              </m:rPr>
              <m:t>}</m:t>
            </m:r>
          </m:e>
        </m:d>
        <m:r>
          <m:rPr>
            <m:sty m:val="p"/>
          </m:rPr>
          <m:t>=</m:t>
        </m:r>
        <m:r>
          <m:t>μ</m:t>
        </m:r>
        <m:r>
          <m:t> </m:t>
        </m:r>
        <m:r>
          <m:t>P</m:t>
        </m:r>
        <m:d>
          <m:dPr>
            <m:begChr m:val="("/>
            <m:endChr m:val=")"/>
            <m:sepChr m:val=""/>
            <m:grow/>
          </m:dPr>
          <m:e>
            <m:sSub>
              <m:e>
                <m:r>
                  <m:t>G</m:t>
                </m:r>
              </m:e>
              <m:sub>
                <m:r>
                  <m:t>k</m:t>
                </m:r>
                <m:r>
                  <m:rPr>
                    <m:sty m:val="p"/>
                  </m:rPr>
                  <m:t>+</m:t>
                </m:r>
                <m:r>
                  <m:t>1</m:t>
                </m:r>
                <m:r>
                  <m:rPr>
                    <m:sty m:val="p"/>
                  </m:rPr>
                  <m:t>,</m:t>
                </m:r>
                <m:r>
                  <m:t>θ</m:t>
                </m:r>
              </m:sub>
            </m:sSub>
            <m:r>
              <m:rPr>
                <m:sty m:val="p"/>
              </m:rPr>
              <m:t>&gt;</m:t>
            </m:r>
            <m:r>
              <m:t>x</m:t>
            </m:r>
          </m:e>
        </m:d>
      </m:oMath>
      <w:r>
        <w:t xml:space="preserve"> </w:t>
      </w:r>
      <w:r>
        <w:t xml:space="preserve">for a gamma variable</w:t>
      </w:r>
      <w:r>
        <w:t xml:space="preserve"> </w:t>
      </w:r>
      <m:oMath>
        <m:sSub>
          <m:e>
            <m:r>
              <m:t>G</m:t>
            </m:r>
          </m:e>
          <m:sub>
            <m:r>
              <m:t>k</m:t>
            </m:r>
            <m:r>
              <m:rPr>
                <m:sty m:val="p"/>
              </m:rPr>
              <m:t>+</m:t>
            </m:r>
            <m:r>
              <m:t>1</m:t>
            </m:r>
            <m:r>
              <m:rPr>
                <m:sty m:val="p"/>
              </m:rPr>
              <m:t>,</m:t>
            </m:r>
            <m:r>
              <m:t>θ</m:t>
            </m:r>
          </m:sub>
        </m:sSub>
      </m:oMath>
      <w:r>
        <w:t xml:space="preserve"> </w:t>
      </w:r>
      <w:r>
        <w:t xml:space="preserve">with shape</w:t>
      </w:r>
      <w:r>
        <w:t xml:space="preserve"> </w:t>
      </w:r>
      <m:oMath>
        <m:r>
          <m:t>k</m:t>
        </m:r>
        <m:r>
          <m:rPr>
            <m:sty m:val="p"/>
          </m:rPr>
          <m:t>+</m:t>
        </m:r>
        <m:r>
          <m:t>1</m:t>
        </m:r>
      </m:oMath>
      <w:r>
        <w:t xml:space="preserve"> </w:t>
      </w:r>
      <w:r>
        <w:t xml:space="preserve">and scale</w:t>
      </w:r>
      <w:r>
        <w:t xml:space="preserve"> </w:t>
      </w:r>
      <m:oMath>
        <m:r>
          <m:t>θ</m:t>
        </m:r>
      </m:oMath>
      <w:r>
        <w:t xml:space="preserve">. The maximum in the definition of</w:t>
      </w:r>
      <w:r>
        <w:t xml:space="preserve"> </w:t>
      </w:r>
      <m:oMath>
        <m:sSub>
          <m:e>
            <m:r>
              <m:t>S</m:t>
            </m:r>
          </m:e>
          <m:sub>
            <m:r>
              <m:t>q</m:t>
            </m:r>
          </m:sub>
        </m:sSub>
      </m:oMath>
      <w:r>
        <w:t xml:space="preserve"> </w:t>
      </w:r>
      <w:r>
        <w:t xml:space="preserve">is attained by the event</w:t>
      </w:r>
      <w:r>
        <w:t xml:space="preserve"> </w:t>
      </w:r>
      <m:oMath>
        <m:r>
          <m:rPr>
            <m:sty m:val="p"/>
          </m:rPr>
          <m:t>{</m:t>
        </m:r>
        <m:r>
          <m:t>Λ</m:t>
        </m:r>
        <m:r>
          <m:rPr>
            <m:sty m:val="p"/>
          </m:rPr>
          <m:t>&gt;</m:t>
        </m:r>
        <m:sSub>
          <m:e>
            <m:r>
              <m:t>x</m:t>
            </m:r>
          </m:e>
          <m:sub>
            <m:r>
              <m:t>q</m:t>
            </m:r>
          </m:sub>
        </m:sSub>
        <m:r>
          <m:rPr>
            <m:sty m:val="p"/>
          </m:rPr>
          <m:t>}</m:t>
        </m:r>
      </m:oMath>
      <w:r>
        <w:t xml:space="preserve"> </w:t>
      </w:r>
      <w:r>
        <w:t xml:space="preserve">with</w:t>
      </w:r>
      <w:r>
        <w:t xml:space="preserve"> </w:t>
      </w:r>
      <m:oMath>
        <m:r>
          <m:t>P</m:t>
        </m:r>
        <m:d>
          <m:dPr>
            <m:begChr m:val="("/>
            <m:endChr m:val=")"/>
            <m:sepChr m:val=""/>
            <m:grow/>
          </m:dPr>
          <m:e>
            <m:r>
              <m:t>Λ</m:t>
            </m:r>
            <m:r>
              <m:rPr>
                <m:sty m:val="p"/>
              </m:rPr>
              <m:t>&gt;</m:t>
            </m:r>
            <m:sSub>
              <m:e>
                <m:r>
                  <m:t>x</m:t>
                </m:r>
              </m:e>
              <m:sub>
                <m:r>
                  <m:t>q</m:t>
                </m:r>
              </m:sub>
            </m:sSub>
          </m:e>
        </m:d>
        <m:r>
          <m:rPr>
            <m:sty m:val="p"/>
          </m:rPr>
          <m:t>=</m:t>
        </m:r>
        <m:r>
          <m:t>q</m:t>
        </m:r>
      </m:oMath>
      <w:r>
        <w:t xml:space="preserve">, because</w:t>
      </w:r>
      <w:r>
        <w:t xml:space="preserve"> </w:t>
      </w:r>
      <m:oMath>
        <m:r>
          <m:t>E</m:t>
        </m:r>
        <m:d>
          <m:dPr>
            <m:begChr m:val="["/>
            <m:endChr m:val="]"/>
            <m:sepChr m:val=""/>
            <m:grow/>
          </m:dPr>
          <m:e>
            <m:r>
              <m:t>Λ</m:t>
            </m:r>
            <m:sSub>
              <m:e>
                <m:r>
                  <m:rPr>
                    <m:sty m:val="b"/>
                  </m:rPr>
                  <m:t>1</m:t>
                </m:r>
              </m:e>
              <m:sub>
                <m:r>
                  <m:t>A</m:t>
                </m:r>
              </m:sub>
            </m:sSub>
          </m:e>
        </m:d>
      </m:oMath>
      <w:r>
        <w:t xml:space="preserve"> </w:t>
      </w:r>
      <w:r>
        <w:t xml:space="preserve">is largest when</w:t>
      </w:r>
      <w:r>
        <w:t xml:space="preserve"> </w:t>
      </w:r>
      <m:oMath>
        <m:r>
          <m:t>A</m:t>
        </m:r>
      </m:oMath>
      <w:r>
        <w:t xml:space="preserve"> </w:t>
      </w:r>
      <w:r>
        <w:t xml:space="preserve">collects the largest values of</w:t>
      </w:r>
      <w:r>
        <w:t xml:space="preserve"> </w:t>
      </w:r>
      <m:oMath>
        <m:r>
          <m:t>Λ</m:t>
        </m:r>
      </m:oMath>
      <w:r>
        <w:t xml:space="preserve">. Hence</w:t>
      </w:r>
      <w:r>
        <w:t xml:space="preserve"> </w:t>
      </w:r>
      <m:oMath>
        <m:sSub>
          <m:e>
            <m:r>
              <m:t>S</m:t>
            </m:r>
          </m:e>
          <m:sub>
            <m:r>
              <m:t>q</m:t>
            </m:r>
          </m:sub>
        </m:sSub>
        <m:r>
          <m:rPr>
            <m:sty m:val="p"/>
          </m:rPr>
          <m:t>=</m:t>
        </m:r>
        <m:r>
          <m:t>P</m:t>
        </m:r>
        <m:d>
          <m:dPr>
            <m:begChr m:val="("/>
            <m:endChr m:val=")"/>
            <m:sepChr m:val=""/>
            <m:grow/>
          </m:dPr>
          <m:e>
            <m:sSub>
              <m:e>
                <m:r>
                  <m:t>G</m:t>
                </m:r>
              </m:e>
              <m:sub>
                <m:r>
                  <m:t>k</m:t>
                </m:r>
                <m:r>
                  <m:rPr>
                    <m:sty m:val="p"/>
                  </m:rPr>
                  <m:t>+</m:t>
                </m:r>
                <m:r>
                  <m:t>1</m:t>
                </m:r>
                <m:r>
                  <m:rPr>
                    <m:sty m:val="p"/>
                  </m:rPr>
                  <m:t>,</m:t>
                </m:r>
                <m:r>
                  <m:t>θ</m:t>
                </m:r>
              </m:sub>
            </m:sSub>
            <m:r>
              <m:rPr>
                <m:sty m:val="p"/>
              </m:rPr>
              <m:t>&gt;</m:t>
            </m:r>
            <m:sSub>
              <m:e>
                <m:r>
                  <m:t>x</m:t>
                </m:r>
              </m:e>
              <m:sub>
                <m:r>
                  <m:t>q</m:t>
                </m:r>
              </m:sub>
            </m:sSub>
          </m:e>
        </m:d>
      </m:oMath>
      <w:r>
        <w:t xml:space="preserve"> </w:t>
      </w:r>
      <w:r>
        <w:t xml:space="preserve">with</w:t>
      </w:r>
      <w:r>
        <w:t xml:space="preserve"> </w:t>
      </w:r>
      <m:oMath>
        <m:sSub>
          <m:e>
            <m:r>
              <m:t>x</m:t>
            </m:r>
          </m:e>
          <m:sub>
            <m:r>
              <m:t>q</m:t>
            </m:r>
          </m:sub>
        </m:sSub>
        <m:r>
          <m:rPr>
            <m:sty m:val="p"/>
          </m:rPr>
          <m:t>=</m:t>
        </m:r>
        <m:r>
          <m:t>θ</m:t>
        </m:r>
        <m:sSubSup>
          <m:e>
            <m:r>
              <m:t>F</m:t>
            </m:r>
          </m:e>
          <m:sub>
            <m:r>
              <m:t>k</m:t>
            </m:r>
          </m:sub>
          <m:sup>
            <m:r>
              <m:rPr>
                <m:sty m:val="p"/>
              </m:rPr>
              <m:t>−</m:t>
            </m:r>
            <m:r>
              <m:t>1</m:t>
            </m:r>
          </m:sup>
        </m:sSubSup>
        <m:d>
          <m:dPr>
            <m:begChr m:val="("/>
            <m:endChr m:val=")"/>
            <m:sepChr m:val=""/>
            <m:grow/>
          </m:dPr>
          <m:e>
            <m:r>
              <m:t>1</m:t>
            </m:r>
            <m:r>
              <m:rPr>
                <m:sty m:val="p"/>
              </m:rPr>
              <m:t>−</m:t>
            </m:r>
            <m:r>
              <m:t>q</m:t>
            </m:r>
          </m:e>
        </m:d>
      </m:oMath>
      <w:r>
        <w:t xml:space="preserve">, which is the stated expression.</w:t>
      </w:r>
    </w:p>
    <w:p>
      <w:pPr>
        <w:numPr>
          <w:ilvl w:val="0"/>
          <w:numId w:val="1003"/>
        </w:numPr>
      </w:pPr>
      <w:r>
        <w:t xml:space="preserve">The limit follows from (a), because the upper bound tends to</w:t>
      </w:r>
      <w:r>
        <w:t xml:space="preserve"> </w:t>
      </w:r>
      <m:oMath>
        <m:r>
          <m:t>q</m:t>
        </m:r>
      </m:oMath>
      <w:r>
        <w:t xml:space="preserve"> </w:t>
      </w:r>
      <w:r>
        <w:t xml:space="preserve">as</w:t>
      </w:r>
      <w:r>
        <w:t xml:space="preserve"> </w:t>
      </w:r>
      <m:oMath>
        <m:r>
          <m:t>α</m:t>
        </m:r>
        <m:r>
          <m:rPr>
            <m:sty m:val="p"/>
          </m:rPr>
          <m:t>→</m:t>
        </m:r>
        <m:r>
          <m:t>0</m:t>
        </m:r>
      </m:oMath>
      <w:r>
        <w:t xml:space="preserve">. For monotonicity let</w:t>
      </w:r>
      <w:r>
        <w:t xml:space="preserve"> </w:t>
      </w:r>
      <m:oMath>
        <m:sSub>
          <m:e>
            <m:r>
              <m:t>k</m:t>
            </m:r>
          </m:e>
          <m:sub>
            <m:r>
              <m:t>1</m:t>
            </m:r>
          </m:sub>
        </m:sSub>
        <m:r>
          <m:rPr>
            <m:sty m:val="p"/>
          </m:rPr>
          <m:t>&lt;</m:t>
        </m:r>
        <m:sSub>
          <m:e>
            <m:r>
              <m:t>k</m:t>
            </m:r>
          </m:e>
          <m:sub>
            <m:r>
              <m:t>2</m:t>
            </m:r>
          </m:sub>
        </m:sSub>
      </m:oMath>
      <w:r>
        <w:t xml:space="preserve">, so that</w:t>
      </w:r>
      <w:r>
        <w:t xml:space="preserve"> </w:t>
      </w:r>
      <m:oMath>
        <m:sSub>
          <m:e>
            <m:r>
              <m:t>α</m:t>
            </m:r>
          </m:e>
          <m:sub>
            <m:r>
              <m:t>1</m:t>
            </m:r>
          </m:sub>
        </m:sSub>
        <m:r>
          <m:rPr>
            <m:sty m:val="p"/>
          </m:rPr>
          <m:t>&gt;</m:t>
        </m:r>
        <m:sSub>
          <m:e>
            <m:r>
              <m:t>α</m:t>
            </m:r>
          </m:e>
          <m:sub>
            <m:r>
              <m:t>2</m:t>
            </m:r>
          </m:sub>
        </m:sSub>
      </m:oMath>
      <w:r>
        <w:t xml:space="preserve">, and let</w:t>
      </w:r>
      <w:r>
        <w:t xml:space="preserve"> </w:t>
      </w:r>
      <m:oMath>
        <m:sSub>
          <m:e>
            <m:r>
              <m:t>Y</m:t>
            </m:r>
          </m:e>
          <m:sub>
            <m:r>
              <m:t>j</m:t>
            </m:r>
          </m:sub>
        </m:sSub>
      </m:oMath>
      <w:r>
        <w:t xml:space="preserve"> </w:t>
      </w:r>
      <w:r>
        <w:t xml:space="preserve">be gamma variables with shape</w:t>
      </w:r>
      <w:r>
        <w:t xml:space="preserve"> </w:t>
      </w:r>
      <m:oMath>
        <m:sSub>
          <m:e>
            <m:r>
              <m:t>k</m:t>
            </m:r>
          </m:e>
          <m:sub>
            <m:r>
              <m:t>j</m:t>
            </m:r>
          </m:sub>
        </m:sSub>
      </m:oMath>
      <w:r>
        <w:t xml:space="preserve"> </w:t>
      </w:r>
      <w:r>
        <w:t xml:space="preserve">and mean one. By the beta–gamma algebra, if</w:t>
      </w:r>
      <w:r>
        <w:t xml:space="preserve"> </w:t>
      </w:r>
      <m:oMath>
        <m:r>
          <m:t>G</m:t>
        </m:r>
        <m:r>
          <m:rPr>
            <m:sty m:val="p"/>
          </m:rPr>
          <m:t>∼</m:t>
        </m:r>
        <m:r>
          <m:rPr>
            <m:nor/>
            <m:sty m:val="p"/>
          </m:rPr>
          <m:t>Gamma</m:t>
        </m:r>
        <m:d>
          <m:dPr>
            <m:begChr m:val="("/>
            <m:endChr m:val=")"/>
            <m:sepChr m:val=""/>
            <m:grow/>
          </m:dPr>
          <m:e>
            <m:sSub>
              <m:e>
                <m:r>
                  <m:t>k</m:t>
                </m:r>
              </m:e>
              <m:sub>
                <m:r>
                  <m:t>2</m:t>
                </m:r>
              </m:sub>
            </m:sSub>
            <m:r>
              <m:rPr>
                <m:sty m:val="p"/>
              </m:rPr>
              <m:t>,</m:t>
            </m:r>
            <m:r>
              <m:t>1</m:t>
            </m:r>
          </m:e>
        </m:d>
      </m:oMath>
      <w:r>
        <w:t xml:space="preserve"> </w:t>
      </w:r>
      <w:r>
        <w:t xml:space="preserve">and</w:t>
      </w:r>
      <w:r>
        <w:t xml:space="preserve"> </w:t>
      </w:r>
      <m:oMath>
        <m:r>
          <m:t>B</m:t>
        </m:r>
        <m:r>
          <m:rPr>
            <m:sty m:val="p"/>
          </m:rPr>
          <m:t>∼</m:t>
        </m:r>
        <m:r>
          <m:rPr>
            <m:nor/>
            <m:sty m:val="p"/>
          </m:rPr>
          <m:t>Beta</m:t>
        </m:r>
        <m:d>
          <m:dPr>
            <m:begChr m:val="("/>
            <m:endChr m:val=")"/>
            <m:sepChr m:val=""/>
            <m:grow/>
          </m:dPr>
          <m:e>
            <m:sSub>
              <m:e>
                <m:r>
                  <m:t>k</m:t>
                </m:r>
              </m:e>
              <m:sub>
                <m:r>
                  <m:t>1</m:t>
                </m:r>
              </m:sub>
            </m:sSub>
            <m:r>
              <m:rPr>
                <m:sty m:val="p"/>
              </m:rPr>
              <m:t>,</m:t>
            </m:r>
            <m:sSub>
              <m:e>
                <m:r>
                  <m:t>k</m:t>
                </m:r>
              </m:e>
              <m:sub>
                <m:r>
                  <m:t>2</m:t>
                </m:r>
              </m:sub>
            </m:sSub>
            <m:r>
              <m:rPr>
                <m:sty m:val="p"/>
              </m:rPr>
              <m:t>−</m:t>
            </m:r>
            <m:sSub>
              <m:e>
                <m:r>
                  <m:t>k</m:t>
                </m:r>
              </m:e>
              <m:sub>
                <m:r>
                  <m:t>1</m:t>
                </m:r>
              </m:sub>
            </m:sSub>
          </m:e>
        </m:d>
      </m:oMath>
      <w:r>
        <w:t xml:space="preserve"> </w:t>
      </w:r>
      <w:r>
        <w:t xml:space="preserve">are independent, then</w:t>
      </w:r>
      <w:r>
        <w:t xml:space="preserve"> </w:t>
      </w:r>
      <m:oMath>
        <m:r>
          <m:t>B</m:t>
        </m:r>
        <m:r>
          <m:t>G</m:t>
        </m:r>
        <m:r>
          <m:rPr>
            <m:sty m:val="p"/>
          </m:rPr>
          <m:t>∼</m:t>
        </m:r>
        <m:r>
          <m:rPr>
            <m:nor/>
            <m:sty m:val="p"/>
          </m:rPr>
          <m:t>Gamma</m:t>
        </m:r>
        <m:d>
          <m:dPr>
            <m:begChr m:val="("/>
            <m:endChr m:val=")"/>
            <m:sepChr m:val=""/>
            <m:grow/>
          </m:dPr>
          <m:e>
            <m:sSub>
              <m:e>
                <m:r>
                  <m:t>k</m:t>
                </m:r>
              </m:e>
              <m:sub>
                <m:r>
                  <m:t>1</m:t>
                </m:r>
              </m:sub>
            </m:sSub>
            <m:r>
              <m:rPr>
                <m:sty m:val="p"/>
              </m:rPr>
              <m:t>,</m:t>
            </m:r>
            <m:r>
              <m:t>1</m:t>
            </m:r>
          </m:e>
        </m:d>
      </m:oMath>
      <w:r>
        <w:t xml:space="preserve">. Hence</w:t>
      </w:r>
      <w:r>
        <w:t xml:space="preserve"> </w:t>
      </w:r>
      <m:oMath>
        <m:sSub>
          <m:e>
            <m:r>
              <m:t>Y</m:t>
            </m:r>
          </m:e>
          <m:sub>
            <m:r>
              <m:t>1</m:t>
            </m:r>
          </m:sub>
        </m:sSub>
      </m:oMath>
      <w:r>
        <w:t xml:space="preserve"> </w:t>
      </w:r>
      <w:r>
        <w:t xml:space="preserve">has the distribution of</w:t>
      </w:r>
      <w:r>
        <w:t xml:space="preserve"> </w:t>
      </w:r>
      <m:oMath>
        <m:r>
          <m:t>M</m:t>
        </m:r>
        <m:sSub>
          <m:e>
            <m:r>
              <m:t>Y</m:t>
            </m:r>
          </m:e>
          <m:sub>
            <m:r>
              <m:t>2</m:t>
            </m:r>
          </m:sub>
        </m:sSub>
      </m:oMath>
      <w:r>
        <w:t xml:space="preserve"> </w:t>
      </w:r>
      <w:r>
        <w:t xml:space="preserve">with</w:t>
      </w:r>
      <w:r>
        <w:t xml:space="preserve"> </w:t>
      </w:r>
      <m:oMath>
        <m:sSub>
          <m:e>
            <m:r>
              <m:t>Y</m:t>
            </m:r>
          </m:e>
          <m:sub>
            <m:r>
              <m:t>2</m:t>
            </m:r>
          </m:sub>
        </m:sSub>
        <m:r>
          <m:rPr>
            <m:sty m:val="p"/>
          </m:rPr>
          <m:t>=</m:t>
        </m:r>
        <m:r>
          <m:t>G</m:t>
        </m:r>
        <m:r>
          <m:rPr>
            <m:sty m:val="p"/>
          </m:rPr>
          <m:t>/</m:t>
        </m:r>
        <m:sSub>
          <m:e>
            <m:r>
              <m:t>k</m:t>
            </m:r>
          </m:e>
          <m:sub>
            <m:r>
              <m:t>2</m:t>
            </m:r>
          </m:sub>
        </m:sSub>
      </m:oMath>
      <w:r>
        <w:t xml:space="preserve"> </w:t>
      </w:r>
      <w:r>
        <w:t xml:space="preserve">and</w:t>
      </w:r>
      <w:r>
        <w:t xml:space="preserve"> </w:t>
      </w:r>
      <m:oMath>
        <m:r>
          <m:t>M</m:t>
        </m:r>
        <m:r>
          <m:rPr>
            <m:sty m:val="p"/>
          </m:rPr>
          <m:t>=</m:t>
        </m:r>
        <m:r>
          <m:t>B</m:t>
        </m:r>
        <m:sSub>
          <m:e>
            <m:r>
              <m:t>k</m:t>
            </m:r>
          </m:e>
          <m:sub>
            <m:r>
              <m:t>2</m:t>
            </m:r>
          </m:sub>
        </m:sSub>
        <m:r>
          <m:rPr>
            <m:sty m:val="p"/>
          </m:rPr>
          <m:t>/</m:t>
        </m:r>
        <m:sSub>
          <m:e>
            <m:r>
              <m:t>k</m:t>
            </m:r>
          </m:e>
          <m:sub>
            <m:r>
              <m:t>1</m:t>
            </m:r>
          </m:sub>
        </m:sSub>
      </m:oMath>
      <w:r>
        <w:t xml:space="preserve">, where</w:t>
      </w:r>
      <w:r>
        <w:t xml:space="preserve"> </w:t>
      </w:r>
      <m:oMath>
        <m:r>
          <m:t>M</m:t>
        </m:r>
      </m:oMath>
      <w:r>
        <w:t xml:space="preserve"> </w:t>
      </w:r>
      <w:r>
        <w:t xml:space="preserve">is independent of</w:t>
      </w:r>
      <w:r>
        <w:t xml:space="preserve"> </w:t>
      </w:r>
      <m:oMath>
        <m:sSub>
          <m:e>
            <m:r>
              <m:t>Y</m:t>
            </m:r>
          </m:e>
          <m:sub>
            <m:r>
              <m:t>2</m:t>
            </m:r>
          </m:sub>
        </m:sSub>
      </m:oMath>
      <w:r>
        <w:t xml:space="preserve">, non-degenerate, and has</w:t>
      </w:r>
      <w:r>
        <w:t xml:space="preserve"> </w:t>
      </w:r>
      <m:oMath>
        <m:r>
          <m:t>E</m:t>
        </m:r>
        <m:d>
          <m:dPr>
            <m:begChr m:val="["/>
            <m:endChr m:val="]"/>
            <m:sepChr m:val=""/>
            <m:grow/>
          </m:dPr>
          <m:e>
            <m:r>
              <m:t>M</m:t>
            </m:r>
          </m:e>
        </m:d>
        <m:r>
          <m:rPr>
            <m:sty m:val="p"/>
          </m:rPr>
          <m:t>=</m:t>
        </m:r>
        <m:r>
          <m:t>1</m:t>
        </m:r>
      </m:oMath>
      <w:r>
        <w:t xml:space="preserve">. Let</w:t>
      </w:r>
      <w:r>
        <w:t xml:space="preserve"> </w:t>
      </w:r>
      <m:oMath>
        <m:sSup>
          <m:e>
            <m:r>
              <m:t>A</m:t>
            </m:r>
          </m:e>
          <m:sup>
            <m:r>
              <m:rPr>
                <m:sty m:val="p"/>
              </m:rPr>
              <m:t>*</m:t>
            </m:r>
          </m:sup>
        </m:sSup>
        <m:r>
          <m:rPr>
            <m:sty m:val="p"/>
          </m:rPr>
          <m:t>=</m:t>
        </m:r>
        <m:r>
          <m:rPr>
            <m:sty m:val="p"/>
          </m:rPr>
          <m:t>{</m:t>
        </m:r>
        <m:sSub>
          <m:e>
            <m:r>
              <m:t>Y</m:t>
            </m:r>
          </m:e>
          <m:sub>
            <m:r>
              <m:t>2</m:t>
            </m:r>
          </m:sub>
        </m:sSub>
        <m:r>
          <m:rPr>
            <m:sty m:val="p"/>
          </m:rPr>
          <m:t>&gt;</m:t>
        </m:r>
        <m:sSup>
          <m:e>
            <m:r>
              <m:t>x</m:t>
            </m:r>
          </m:e>
          <m:sup>
            <m:r>
              <m:rPr>
                <m:sty m:val="p"/>
              </m:rPr>
              <m:t>*</m:t>
            </m:r>
          </m:sup>
        </m:sSup>
        <m:r>
          <m:rPr>
            <m:sty m:val="p"/>
          </m:rPr>
          <m:t>}</m:t>
        </m:r>
      </m:oMath>
      <w:r>
        <w:t xml:space="preserve"> </w:t>
      </w:r>
      <w:r>
        <w:t xml:space="preserve">be the event with probability</w:t>
      </w:r>
      <w:r>
        <w:t xml:space="preserve"> </w:t>
      </w:r>
      <m:oMath>
        <m:r>
          <m:t>q</m:t>
        </m:r>
      </m:oMath>
      <w:r>
        <w:t xml:space="preserve"> </w:t>
      </w:r>
      <w:r>
        <w:t xml:space="preserve">that attains</w:t>
      </w:r>
      <w:r>
        <w:t xml:space="preserve"> </w:t>
      </w:r>
      <m:oMath>
        <m:sSub>
          <m:e>
            <m:r>
              <m:t>S</m:t>
            </m:r>
          </m:e>
          <m:sub>
            <m:r>
              <m:t>q</m:t>
            </m:r>
          </m:sub>
        </m:sSub>
      </m:oMath>
      <w:r>
        <w:t xml:space="preserve"> </w:t>
      </w:r>
      <w:r>
        <w:t xml:space="preserve">for</w:t>
      </w:r>
      <w:r>
        <w:t xml:space="preserve"> </w:t>
      </w:r>
      <m:oMath>
        <m:sSub>
          <m:e>
            <m:r>
              <m:t>Y</m:t>
            </m:r>
          </m:e>
          <m:sub>
            <m:r>
              <m:t>2</m:t>
            </m:r>
          </m:sub>
        </m:sSub>
      </m:oMath>
      <w:r>
        <w:t xml:space="preserve">. Then</w:t>
      </w:r>
      <w:r>
        <w:t xml:space="preserve"> </w:t>
      </w:r>
      <m:oMath>
        <m:sSub>
          <m:e>
            <m:r>
              <m:t>S</m:t>
            </m:r>
          </m:e>
          <m:sub>
            <m:r>
              <m:t>q</m:t>
            </m:r>
          </m:sub>
        </m:sSub>
        <m:d>
          <m:dPr>
            <m:begChr m:val="("/>
            <m:endChr m:val=")"/>
            <m:sepChr m:val=""/>
            <m:grow/>
          </m:dPr>
          <m:e>
            <m:sSub>
              <m:e>
                <m:r>
                  <m:t>α</m:t>
                </m:r>
              </m:e>
              <m:sub>
                <m:r>
                  <m:t>1</m:t>
                </m:r>
              </m:sub>
            </m:sSub>
          </m:e>
        </m:d>
        <m:r>
          <m:rPr>
            <m:sty m:val="p"/>
          </m:rPr>
          <m:t>≥</m:t>
        </m:r>
        <m:r>
          <m:t>E</m:t>
        </m:r>
        <m:d>
          <m:dPr>
            <m:begChr m:val="["/>
            <m:endChr m:val="]"/>
            <m:sepChr m:val=""/>
            <m:grow/>
          </m:dPr>
          <m:e>
            <m:r>
              <m:t>M</m:t>
            </m:r>
            <m:sSub>
              <m:e>
                <m:r>
                  <m:t>Y</m:t>
                </m:r>
              </m:e>
              <m:sub>
                <m:r>
                  <m:t>2</m:t>
                </m:r>
              </m:sub>
            </m:sSub>
            <m:sSub>
              <m:e>
                <m:r>
                  <m:rPr>
                    <m:sty m:val="b"/>
                  </m:rPr>
                  <m:t>1</m:t>
                </m:r>
              </m:e>
              <m:sub>
                <m:sSup>
                  <m:e>
                    <m:r>
                      <m:t>A</m:t>
                    </m:r>
                  </m:e>
                  <m:sup>
                    <m:r>
                      <m:rPr>
                        <m:sty m:val="p"/>
                      </m:rPr>
                      <m:t>*</m:t>
                    </m:r>
                  </m:sup>
                </m:sSup>
              </m:sub>
            </m:sSub>
          </m:e>
        </m:d>
        <m:r>
          <m:rPr>
            <m:sty m:val="p"/>
          </m:rPr>
          <m:t>=</m:t>
        </m:r>
        <m:r>
          <m:t>E</m:t>
        </m:r>
        <m:d>
          <m:dPr>
            <m:begChr m:val="["/>
            <m:endChr m:val="]"/>
            <m:sepChr m:val=""/>
            <m:grow/>
          </m:dPr>
          <m:e>
            <m:r>
              <m:t>M</m:t>
            </m:r>
          </m:e>
        </m:d>
        <m:r>
          <m:t> </m:t>
        </m:r>
        <m:r>
          <m:t>E</m:t>
        </m:r>
        <m:d>
          <m:dPr>
            <m:begChr m:val="["/>
            <m:endChr m:val="]"/>
            <m:sepChr m:val=""/>
            <m:grow/>
          </m:dPr>
          <m:e>
            <m:sSub>
              <m:e>
                <m:r>
                  <m:t>Y</m:t>
                </m:r>
              </m:e>
              <m:sub>
                <m:r>
                  <m:t>2</m:t>
                </m:r>
              </m:sub>
            </m:sSub>
            <m:sSub>
              <m:e>
                <m:r>
                  <m:rPr>
                    <m:sty m:val="b"/>
                  </m:rPr>
                  <m:t>1</m:t>
                </m:r>
              </m:e>
              <m:sub>
                <m:sSup>
                  <m:e>
                    <m:r>
                      <m:t>A</m:t>
                    </m:r>
                  </m:e>
                  <m:sup>
                    <m:r>
                      <m:rPr>
                        <m:sty m:val="p"/>
                      </m:rPr>
                      <m:t>*</m:t>
                    </m:r>
                  </m:sup>
                </m:sSup>
              </m:sub>
            </m:sSub>
          </m:e>
        </m:d>
        <m:r>
          <m:rPr>
            <m:sty m:val="p"/>
          </m:rPr>
          <m:t>=</m:t>
        </m:r>
        <m:sSub>
          <m:e>
            <m:r>
              <m:t>S</m:t>
            </m:r>
          </m:e>
          <m:sub>
            <m:r>
              <m:t>q</m:t>
            </m:r>
          </m:sub>
        </m:sSub>
        <m:d>
          <m:dPr>
            <m:begChr m:val="("/>
            <m:endChr m:val=")"/>
            <m:sepChr m:val=""/>
            <m:grow/>
          </m:dPr>
          <m:e>
            <m:sSub>
              <m:e>
                <m:r>
                  <m:t>α</m:t>
                </m:r>
              </m:e>
              <m:sub>
                <m:r>
                  <m:t>2</m:t>
                </m:r>
              </m:sub>
            </m:sSub>
          </m:e>
        </m:d>
      </m:oMath>
      <w:r>
        <w:t xml:space="preserve">. The inequality is strict, because the maximizing event for</w:t>
      </w:r>
      <w:r>
        <w:t xml:space="preserve"> </w:t>
      </w:r>
      <m:oMath>
        <m:r>
          <m:t>M</m:t>
        </m:r>
        <m:sSub>
          <m:e>
            <m:r>
              <m:t>Y</m:t>
            </m:r>
          </m:e>
          <m:sub>
            <m:r>
              <m:t>2</m:t>
            </m:r>
          </m:sub>
        </m:sSub>
      </m:oMath>
      <w:r>
        <w:t xml:space="preserve"> </w:t>
      </w:r>
      <w:r>
        <w:t xml:space="preserve">is</w:t>
      </w:r>
      <w:r>
        <w:t xml:space="preserve"> </w:t>
      </w:r>
      <m:oMath>
        <m:r>
          <m:rPr>
            <m:sty m:val="p"/>
          </m:rPr>
          <m:t>{</m:t>
        </m:r>
        <m:r>
          <m:t>M</m:t>
        </m:r>
        <m:sSub>
          <m:e>
            <m:r>
              <m:t>Y</m:t>
            </m:r>
          </m:e>
          <m:sub>
            <m:r>
              <m:t>2</m:t>
            </m:r>
          </m:sub>
        </m:sSub>
        <m:r>
          <m:rPr>
            <m:sty m:val="p"/>
          </m:rPr>
          <m:t>&gt;</m:t>
        </m:r>
        <m:sSup>
          <m:e>
            <m:r>
              <m:t>y</m:t>
            </m:r>
          </m:e>
          <m:sup>
            <m:r>
              <m:rPr>
                <m:sty m:val="p"/>
              </m:rPr>
              <m:t>*</m:t>
            </m:r>
          </m:sup>
        </m:sSup>
        <m:r>
          <m:rPr>
            <m:sty m:val="p"/>
          </m:rPr>
          <m:t>}</m:t>
        </m:r>
      </m:oMath>
      <w:r>
        <w:t xml:space="preserve">, which differs from</w:t>
      </w:r>
      <w:r>
        <w:t xml:space="preserve"> </w:t>
      </w:r>
      <m:oMath>
        <m:sSup>
          <m:e>
            <m:r>
              <m:t>A</m:t>
            </m:r>
          </m:e>
          <m:sup>
            <m:r>
              <m:rPr>
                <m:sty m:val="p"/>
              </m:rPr>
              <m:t>*</m:t>
            </m:r>
          </m:sup>
        </m:sSup>
      </m:oMath>
      <w:r>
        <w:t xml:space="preserve"> </w:t>
      </w:r>
      <w:r>
        <w:t xml:space="preserve">with positive probability when</w:t>
      </w:r>
      <w:r>
        <w:t xml:space="preserve"> </w:t>
      </w:r>
      <m:oMath>
        <m:r>
          <m:t>M</m:t>
        </m:r>
      </m:oMath>
      <w:r>
        <w:t xml:space="preserve"> </w:t>
      </w:r>
      <w:r>
        <w:t xml:space="preserve">is non-degenerate, and the maximizing event is unique up to null sets.</w:t>
      </w:r>
    </w:p>
    <w:p>
      <w:pPr>
        <w:numPr>
          <w:ilvl w:val="0"/>
          <w:numId w:val="1003"/>
        </w:numPr>
      </w:pPr>
      <w:r>
        <w:t xml:space="preserve">The argument of (a) uses only the mean and the variance of the nonnegative variable and holds for any event of probability</w:t>
      </w:r>
      <w:r>
        <w:t xml:space="preserve"> </w:t>
      </w:r>
      <m:oMath>
        <m:r>
          <m:t>q</m:t>
        </m:r>
      </m:oMath>
      <w:r>
        <w:t xml:space="preserve">, including events defined by ranking customers on their counts (ties are broken arbitrarily). For a deterministic simulator</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so the squared coefficient of variation of</w:t>
      </w:r>
      <w:r>
        <w:t xml:space="preserve"> </w:t>
      </w:r>
      <m:oMath>
        <m:sSup>
          <m:e>
            <m:r>
              <m:t>N</m:t>
            </m:r>
          </m:e>
          <m:sup>
            <m:r>
              <m:rPr>
                <m:sty m:val="p"/>
              </m:rPr>
              <m:t>*</m:t>
            </m:r>
          </m:sup>
        </m:sSup>
      </m:oMath>
      <w:r>
        <w:t xml:space="preserve"> </w:t>
      </w:r>
      <w:r>
        <w:t xml:space="preserve">is</w:t>
      </w:r>
      <w:r>
        <w:t xml:space="preserve"> </w:t>
      </w:r>
      <m:oMath>
        <m:sSup>
          <m:e>
            <m:r>
              <m:t>c</m:t>
            </m:r>
          </m:e>
          <m:sup>
            <m:r>
              <m:t>2</m:t>
            </m:r>
          </m:sup>
        </m:sSup>
      </m:oMath>
      <w:r>
        <w:t xml:space="preserve">.</w:t>
      </w:r>
      <w:r>
        <w:t xml:space="preserve"> </w:t>
      </w:r>
      <m:oMath>
        <m:r>
          <m:rPr>
            <m:sty m:val="p"/>
          </m:rPr>
          <m:t>▫</m:t>
        </m:r>
      </m:oMath>
    </w:p>
    <w:p>
      <w:pPr>
        <w:pStyle w:val="FirstParagraph"/>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(smallest 1.03), but in individual seeds its interval includes or touches one in a few cells (GPT-4o-mini with the anchor for visits, 1.01 [1.00, 1.03] in the first seed, where the model answered about 10% regardless of the email, and Sonnet 5 with the anchor for purchases, 1.09 [0.96, 1.25], 1.02 [0.91, 1.15], and 1.05 [0.91, 1.20] in the three seeds).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interval -0.001 to +0.006) is only 0.4 times the real one; this model also rates the visit lift at 0.4 times the real value and its no-email purchase probability (0.045)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p>
      <w:pPr>
        <w:pStyle w:val="FirstParagraph"/>
      </w:pPr>
      <w:r>
        <w:t xml:space="preserve">We lead with the contributions to information systems research (Section 6.1) and the design principles that follow from them (Section 6.2), then turn to the validation protocol and the decision consequences (Section 6.3), the cost of uncritical trust (Section 6.4), and the organizational arrangements that follow (Section 6.5). The marketing results of Section 5 serve as evidence for these contributions. Limitations are in Section 6.6.</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in which the model supplies a level and an external layer supplies the spread, restores the concentration of purchases among heavy buyers in 39 of 48 cells where direct and daily designs lose it entirely (Section 5.7). Larger and more recent models (Sonnet 5, GPT-5.6-terra, DeepSeek-V4-Pro, Gemini 3.1 Flash-Lite, Mistral Large 4) do not escape the constraint.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and in our data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demonstrated against the firm’s own data, and the means to demonstrate it, real data on the same properties, are what the system was meant to economize. This is the validation paradox. The failure is also silent, since fluent output and the right sign of a promotion effect give the user no signal, and it is exposed to change in components that the firm does not control.</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concentration among heavy buyers, and the absolute size of an effect. Evaluation should be stated in terms of the decision-relevant properties of the artifact’s output, because fluency and aggregate plausibility, which are what users see, do not indicate them.</w:t>
      </w:r>
    </w:p>
    <w:p>
      <w:pPr>
        <w:pStyle w:val="BodyText"/>
      </w:pPr>
      <w:r>
        <w:rPr>
          <w:iCs/>
          <w:i/>
        </w:rPr>
        <w:t xml:space="preserve">Supporting evidence for marketing analytics.</w:t>
      </w:r>
      <w:r>
        <w:t xml:space="preserve"> </w:t>
      </w:r>
      <w:r>
        <w:t xml:space="preserve">Two further results extend what is known about LLM-based simulation. Describing a distribution (Jang et al. 2026, Zhang et al. 2025a) helps more at a high mean than at a low mean, and in the settings where zeros are common it under-produces them, which matters because the zero share decides how many customers a campaign does not reach. And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X8611a2c0935e4d980399ee647409232e58aa6f3"/>
    <w:p>
      <w:pPr>
        <w:pStyle w:val="Heading2"/>
      </w:pPr>
      <w:r>
        <w:t xml:space="preserve">6.3 Validation protocol and decision consequences</w:t>
      </w:r>
    </w:p>
    <w:p>
      <w:pPr>
        <w:pStyle w:val="FirstParagraph"/>
      </w:pPr>
      <w:r>
        <w:t xml:space="preserve">The artifact view implies an acceptance test that a synthetic-customer system should pass before it enters a planning process. We state it in terms of the decision-relevant properties established above.</w:t>
      </w:r>
    </w:p>
    <w:p>
      <w:pPr>
        <w:numPr>
          <w:ilvl w:val="0"/>
          <w:numId w:val="1004"/>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the zero share, and the share of purchases made by the top decile of customers against a historical customer file, and check them with an interval, as we do here. A ratio near or below one signals collapse.</w:t>
      </w:r>
    </w:p>
    <w:p>
      <w:pPr>
        <w:numPr>
          <w:ilvl w:val="0"/>
          <w:numId w:val="1004"/>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4"/>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4"/>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4"/>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0.063 predicts about</w:t>
      </w:r>
      <w:r>
        <w:t xml:space="preserve"> </w:t>
      </w:r>
      <m:oMath>
        <m:r>
          <m:rPr>
            <m:sty m:val="p"/>
          </m:rPr>
          <m:t>+</m:t>
        </m:r>
        <m:r>
          <m:t>2.1</m:t>
        </m:r>
      </m:oMath>
      <w:r>
        <w:t xml:space="preserve"> </w:t>
      </w:r>
      <w:r>
        <w:t xml:space="preserve">per customer, a profit of about 213,000. The gap between forecast and outcome is therefore about 280,000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60"/>
    <w:bookmarkStart w:id="61" w:name="X09d14e7ca6d203994f1ab3b488c22ba41949633"/>
    <w:p>
      <w:pPr>
        <w:pStyle w:val="Heading2"/>
      </w:pPr>
      <w:r>
        <w:t xml:space="preserve">6.5 Organizational accountability: validating and governing synthetic data in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has to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The evidence from eight language models, three transaction settings, and a randomized email experiment is consistent with this account. Direct and day-by-day designs collapse toward a single value and lose the concentration of purchases among heavy buyers; a design that takes the level from the model and the spread from an external calibrated source restores concentration; calibrating the level repairs the mean, but a baseline that uses the historical mean alone does about as well, so the model supplied little that the firm’s data did not; and purchase lifts are overstated in 15 of 16 configurations, enough to turn a no-go decision into a go. For organizations the implication is a short list of duties: validate against the firm’s own data before use, with an acceptance test on shape, concentration, and absolute effects; revalidate when the model, provider, or prompt changes; keep synthetic data apart from real data; keep running randomized tests as the evidence base that calibration needs; and assign accountability for the artifact before it is used, not after the first costly outcome. Future research should study these arrangements in organizations and test whether personas that carry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5"/>
    <w:bookmarkStart w:id="66"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6"/>
    <w:bookmarkStart w:id="67"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7"/>
    <w:bookmarkStart w:id="68"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2026-10-17T11:59:05Z</dcterms:created>
  <dcterms:modified xsi:type="dcterms:W3CDTF">2026-10-17T11:59:05Z</dcterms:modified>
</cp:coreProperties>
</file>

<file path=docProps/custom.xml><?xml version="1.0" encoding="utf-8"?>
<Properties xmlns="http://schemas.openxmlformats.org/officeDocument/2006/custom-properties" xmlns:vt="http://schemas.openxmlformats.org/officeDocument/2006/docPropsVTypes"/>
</file>