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Sets</w:t>
      </w:r>
      <w:r>
        <w:t xml:space="preserve"> </w:t>
      </w:r>
      <w:r>
        <w:t xml:space="preserve">the</w:t>
      </w:r>
      <w:r>
        <w:t xml:space="preserve"> </w:t>
      </w:r>
      <w:r>
        <w:t xml:space="preserve">Clock?</w:t>
      </w:r>
      <w:r>
        <w:t xml:space="preserve"> </w:t>
      </w:r>
      <w:r>
        <w:t xml:space="preserve">Release</w:t>
      </w:r>
      <w:r>
        <w:t xml:space="preserve"> </w:t>
      </w:r>
      <w:r>
        <w:t xml:space="preserve">Cadence,</w:t>
      </w:r>
      <w:r>
        <w:t xml:space="preserve"> </w:t>
      </w:r>
      <w:r>
        <w:t xml:space="preserve">Compatibility</w:t>
      </w:r>
      <w:r>
        <w:t xml:space="preserve"> </w:t>
      </w:r>
      <w:r>
        <w:t xml:space="preserve">Tools,</w:t>
      </w:r>
      <w:r>
        <w:t xml:space="preserve"> </w:t>
      </w:r>
      <w:r>
        <w:t xml:space="preserve">and</w:t>
      </w:r>
      <w:r>
        <w:t xml:space="preserve"> </w:t>
      </w:r>
      <w:r>
        <w:t xml:space="preserve">the</w:t>
      </w:r>
      <w:r>
        <w:t xml:space="preserve"> </w:t>
      </w:r>
      <w:r>
        <w:t xml:space="preserve">Maintenance</w:t>
      </w:r>
      <w:r>
        <w:t xml:space="preserve"> </w:t>
      </w:r>
      <w:r>
        <w:t xml:space="preserve">of</w:t>
      </w:r>
      <w:r>
        <w:t xml:space="preserve"> </w:t>
      </w:r>
      <w:r>
        <w:t xml:space="preserve">Complementary</w:t>
      </w:r>
      <w:r>
        <w:t xml:space="preserve"> </w:t>
      </w:r>
      <w:r>
        <w:t xml:space="preserve">Assets</w:t>
      </w:r>
      <w:r>
        <w:t xml:space="preserve"> </w:t>
      </w:r>
      <w:r>
        <w:t xml:space="preserve">on</w:t>
      </w:r>
      <w:r>
        <w:t xml:space="preserve"> </w:t>
      </w:r>
      <w:r>
        <w:t xml:space="preserve">Foundation-Model</w:t>
      </w:r>
      <w:r>
        <w:t xml:space="preserve"> </w:t>
      </w:r>
      <w:r>
        <w:t xml:space="preserve">Platforms</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they do not control, and each platform upgrade destroys part or all of those assets. We study this post-adoption maintenance problem as an interaction between an adopter’s real-option decision and a platform owner’s choice of release cadence and compatibility support. At every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with upgrade intensity, and with value volatility. A free copy weakly dominates immediate retraining, and a costly tool is optimal only for assets of intermediate value and only when its cost is below a bound</w:t>
      </w:r>
      <w:r>
        <w:t xml:space="preserve"> </w:t>
      </w:r>
      <m:oMath>
        <m:r>
          <m:t>Γ</m:t>
        </m:r>
      </m:oMath>
      <w:r>
        <w:t xml:space="preserve">. We then let the platform owner choose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in numerical analysis, an intermediate race separates owners into a fast, compatible frontier platform and a slow, stable one. Release histories of six open-weight model families imply about two main-line versions per year, and recovery measured on five open model pairs falls sharply with upgrade size. The results recast compatibility tooling as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has examined how platform owners govern the architecture and the boundary between platform and complements (Tiwana et al. 2010, Ghazawneh and Henfridsson 2013). A less examined question is what happens</w:t>
      </w:r>
      <w:r>
        <w:t xml:space="preserve"> </w:t>
      </w:r>
      <w:r>
        <w:rPr>
          <w:iCs/>
          <w:i/>
        </w:rPr>
        <w:t xml:space="preserve">after</w:t>
      </w:r>
      <w:r>
        <w:t xml:space="preserve"> </w:t>
      </w:r>
      <w:r>
        <w:t xml:space="preserve">adoption, when the platform is replaced underneath assets the adopter has already built. Foundation models make this question concrete and urgent. A fine-tuned low-rank adapter is cheap to train on a given base model and worthless, as a weight file, on the next one. Open-weight families release on the order of two main-line versions a year. The standard engineering response, retraining every adapter at every upgrade, treats the platform’s clock as a fact of nature and the firm’s cost as a sunk operating expense. Both treatments are incomplete, and the incompleteness is an information systems problem: it concerns the maintenance of IT assets that depend on a platform controlled by someone else.</w:t>
      </w:r>
    </w:p>
    <w:p>
      <w:pPr>
        <w:pStyle w:val="BodyText"/>
      </w:pPr>
      <w:r>
        <w:t xml:space="preserve">Retraining is an irreversible investment whose payoff is uncertain and whose life ends when the platform owner ships again. That is the textbook setting of real options (McDonald and Siegel 1986, Dixit and Pindyck 1994), and the right to wait has value. Compatibility and transfer tools that move an adapter without its original training data change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a transfer technology with</w:t>
      </w:r>
      <w:r>
        <w:t xml:space="preserve"> </w:t>
      </w:r>
      <m:oMath>
        <m:r>
          <m:t>C</m:t>
        </m:r>
        <m:r>
          <m:rPr>
            <m:sty m:val="p"/>
          </m:rPr>
          <m:t>=</m:t>
        </m:r>
        <m:r>
          <m:t>0</m:t>
        </m:r>
      </m:oMath>
      <w:r>
        <w:t xml:space="preserve">.</w:t>
      </w:r>
    </w:p>
    <w:p>
      <w:pPr>
        <w:pStyle w:val="BodyText"/>
      </w:pPr>
      <w:r>
        <w:t xml:space="preserve">The more important part is that the clock is chosen. Platform owners release to win benchmarks, developers, and publicity, and much of the cost of each release falls on enterprise customers. Compatibility tools restore part of the destroyed option and, precisely because they do, change the owner’s incentive to destroy it. Better compatibility is therefore not an unmixed blessing for the firms that use it. It invites faster release, and firms that would have retrained anyway bear a higher cadence and can be made worse off.</w:t>
      </w:r>
    </w:p>
    <w:p>
      <w:pPr>
        <w:pStyle w:val="BodyText"/>
      </w:pPr>
      <w:r>
        <w:t xml:space="preserve">We ask three questions. First, given an exogenous release intensity, when should a firm copy, transfer, or retrain a complementary asset that dies at the next upgrade? Second, when the platform owner chooses intensity and possibly compatibility,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the speed–compatibility bundle?</w:t>
      </w:r>
    </w:p>
    <w:p>
      <w:pPr>
        <w:pStyle w:val="BodyText"/>
      </w:pPr>
      <w:r>
        <w:rPr>
          <w:bCs/>
          <w:b/>
        </w:rPr>
        <w:t xml:space="preserve">Summary of results.</w:t>
      </w:r>
      <w:r>
        <w:t xml:space="preserve"> </w:t>
      </w:r>
      <w:r>
        <w:t xml:space="preserve">Table 1 lists the results, the intuition behind each, and what each means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1–3)</w:t>
            </w:r>
          </w:p>
        </w:tc>
        <w:tc>
          <w:tcPr/>
          <w:p>
            <w:pPr>
              <w:pStyle w:val="Compact"/>
              <w:jc w:val="left"/>
            </w:pPr>
            <w:r>
              <w:t xml:space="preserve">Waiting is valuable when the asset can be partly rescued and may be rescued again</w:t>
            </w:r>
          </w:p>
        </w:tc>
        <w:tc>
          <w:tcPr/>
          <w:p>
            <w:pPr>
              <w:pStyle w:val="Compact"/>
              <w:jc w:val="left"/>
            </w:pPr>
            <w:r>
              <w:t xml:space="preserve">Triage assets by value relative to retraining cost; do not retrain by default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3)</w:t>
            </w:r>
          </w:p>
        </w:tc>
        <w:tc>
          <w:tcPr/>
          <w:p>
            <w:pPr>
              <w:pStyle w:val="Compact"/>
              <w:jc w:val="left"/>
            </w:pPr>
            <w:r>
              <w:t xml:space="preserve">Low-value assets are served by copy and high-value assets are retrained anyway</w:t>
            </w:r>
          </w:p>
        </w:tc>
        <w:tc>
          <w:tcPr/>
          <w:p>
            <w:pPr>
              <w:pStyle w:val="Compact"/>
              <w:jc w:val="left"/>
            </w:pPr>
            <w:r>
              <w:t xml:space="preserve">Buy compatibility tools by measured</w:t>
            </w:r>
            <w:r>
              <w:t xml:space="preserve"> </w:t>
            </w:r>
            <m:oMath>
              <m:r>
                <m:t>C</m:t>
              </m:r>
              <m:r>
                <m:rPr>
                  <m:sty m:val="p"/>
                </m:rPr>
                <m:t>&lt;</m:t>
              </m:r>
              <m:r>
                <m:t>Γ</m:t>
              </m:r>
            </m:oMath>
            <w:r>
              <w:t xml:space="preserve">, not by vendor claims</w:t>
            </w:r>
          </w:p>
        </w:tc>
      </w:tr>
      <w:tr>
        <w:tc>
          <w:tcPr/>
          <w:p>
            <w:pPr>
              <w:pStyle w:val="Compact"/>
              <w:jc w:val="left"/>
            </w:pPr>
            <w:r>
              <w:t xml:space="preserve">A revenue-sharing owner over-releases iff the average customer is harmed at the margin (Props. 4–5)</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7)</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(Props. 9–11)</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(Prop. 12)</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t xml:space="preserve">Two empirical inputs discipline the model; they are not the contribution. Public release dates for Llama, Gemma, Phi, Qwen, Mistral, and DeepSeek through 28 September 2026 imply a pooled primary-definition intensity of 1.97 main-line versions per year. Recovery rates measured on five small open model pairs show that upgrade size, not the brand of transfer method, is the first-order determinant of</w:t>
      </w:r>
      <w:r>
        <w:t xml:space="preserve"> </w:t>
      </w:r>
      <m:oMath>
        <m:r>
          <m:t>R</m:t>
        </m:r>
      </m:oMath>
      <w:r>
        <w:t xml:space="preserve">: a naive copy recovered about 94 percent of the retraining gain after small continued-training upgrades and about 5 percent after a large one. These facts are used as</w:t>
      </w:r>
      <w:r>
        <w:t xml:space="preserve"> </w:t>
      </w:r>
      <m:oMath>
        <m:d>
          <m:dPr>
            <m:begChr m:val="("/>
            <m:endChr m:val=")"/>
            <m:sepChr m:val=""/>
            <m:grow/>
          </m:dPr>
          <m:e>
            <m:r>
              <m:t>R</m:t>
            </m:r>
            <m:r>
              <m:rPr>
                <m:sty m:val="p"/>
              </m:rPr>
              <m:t>,</m:t>
            </m:r>
            <m:r>
              <m:t>C</m:t>
            </m:r>
            <m:r>
              <m:rPr>
                <m:sty m:val="p"/>
              </m:rPr>
              <m:t>,</m:t>
            </m:r>
            <m:r>
              <m:t>μ</m:t>
            </m:r>
          </m:e>
        </m:d>
      </m:oMath>
      <w:r>
        <w:t xml:space="preserve"> </w:t>
      </w:r>
      <w:r>
        <w:t xml:space="preserve">inputs. A particular converter used only to measure one</w:t>
      </w:r>
      <w:r>
        <w:t xml:space="preserve"> </w:t>
      </w:r>
      <m:oMath>
        <m:d>
          <m:dPr>
            <m:begChr m:val="("/>
            <m:endChr m:val=")"/>
            <m:sepChr m:val=""/>
            <m:grow/>
          </m:dPr>
          <m:e>
            <m:r>
              <m:t>R</m:t>
            </m:r>
            <m:r>
              <m:rPr>
                <m:sty m:val="p"/>
              </m:rPr>
              <m:t>,</m:t>
            </m:r>
            <m:r>
              <m:t>C</m:t>
            </m:r>
          </m:e>
        </m:d>
      </m:oMath>
      <w:r>
        <w:t xml:space="preserve"> </w:t>
      </w:r>
      <w:r>
        <w:t xml:space="preserve">pair is confined to the online appendix and is not a contribution of this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w:t>
      </w:r>
      <w:r>
        <w:t xml:space="preserve"> </w:t>
      </w:r>
      <w:r>
        <w:rPr>
          <w:iCs/>
          <w:i/>
        </w:rPr>
        <w:t xml:space="preserve">post-adoption maintenance</w:t>
      </w:r>
      <w:r>
        <w:t xml:space="preserve"> </w:t>
      </w:r>
      <w:r>
        <w:t xml:space="preserve">of complementary assets, and it characterizes the resulting policy regions without reference to any named algorithm. Second, it treats the platform owner as the agent that sets the rate at which the adopter’s options are destroyed, and it identifies a complementarity between compatibility support and release speed with a sharp distributional implication: tools that help some customers hurt others through the cadence they induce. This extends platform-evolution research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The paper also offers managers a maintenance policy whose qualitative regions do not depend on any named algorithm.</w:t>
      </w:r>
    </w:p>
    <w:p>
      <w:pPr>
        <w:pStyle w:val="BodyText"/>
      </w:pPr>
      <w:r>
        <w:t xml:space="preserve">The remainder of the paper is organized as follows. Section 2 positions the paper in the literature. Section 3 sets up the model and presents two stylized facts. Section 4 solves the firm’s maintenance option. Sections 5 and 6 study a monopoly owner and competing owners. Section 7 reports robustness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Technology investments fit this logic because implementation costs are partly sunk while standards keep moving (Dos Santos 1991, Grenadier and Weiss 1997, Benaroch and Kauffman 1999, Taudes et al. 2000, Benaroch 2001, Fichman 2004, Kauffman and Li 2005, Santiago and Bifano 2005). Closest in structure are models of adoption when a further innovation is anticipated (Rajagopalan 1999) and of modular upgradeability as insurance against technological change (Kamrad et al. 2013). Recent work applies the same lens to enterprise AI adoption (Tewari 2026). We move the lens from whether to adopt to how to</w:t>
      </w:r>
      <w:r>
        <w:t xml:space="preserve"> </w:t>
      </w:r>
      <w:r>
        <w:rPr>
          <w:iCs/>
          <w:i/>
        </w:rPr>
        <w:t xml:space="preserve">renew</w:t>
      </w:r>
      <w:r>
        <w:t xml:space="preserve"> </w:t>
      </w:r>
      <w:r>
        <w:t xml:space="preserve">an already deployed complementary asset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off openness against control over complements (Parker and Van Alstyne 2018), and platform architecture and governance coevolve with the environment (Tiwana et al. 2010, Ghazawneh and Henfridsson 2013, Yoo et al. 2010). Competing platforms can relax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feeds back into the cadence. The resulting speed–compatibility bundle is a dimension along which competing platforms can separate.</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that move adapters without retraining include distillation, subspace projection, and light remapping (Wang et al. 2024, Farhadzadeh et al. 2025a,b, Li et al. 2025, Xia et al. 2025). Hochlehnert et al. (2026) find that naive copy is a strong baseline between related models. In our model every method is a pair</w:t>
      </w:r>
      <w:r>
        <w:t xml:space="preserve"> </w:t>
      </w:r>
      <m:oMath>
        <m:d>
          <m:dPr>
            <m:begChr m:val="("/>
            <m:endChr m:val=")"/>
            <m:sepChr m:val=""/>
            <m:grow/>
          </m:dPr>
          <m:e>
            <m:r>
              <m:t>R</m:t>
            </m:r>
            <m:r>
              <m:rPr>
                <m:sty m:val="p"/>
              </m:rPr>
              <m:t>,</m:t>
            </m:r>
            <m:r>
              <m:t>C</m:t>
            </m:r>
          </m:e>
        </m:d>
      </m:oMath>
      <w:r>
        <w:t xml:space="preserve">, which is what allows us to study the economics without taking a stand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6"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from one upgrade to the next. At the start of an epoch the firm chooses a transfer method.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Naive copy of adapter weights is</w:t>
      </w:r>
      <w:r>
        <w:t xml:space="preserve"> </w:t>
      </w:r>
      <m:oMath>
        <m:d>
          <m:dPr>
            <m:begChr m:val="("/>
            <m:endChr m:val=")"/>
            <m:sepChr m:val=""/>
            <m:grow/>
          </m:dPr>
          <m:e>
            <m:sSub>
              <m:e>
                <m:r>
                  <m:t>R</m:t>
                </m:r>
              </m:e>
              <m:sub>
                <m:r>
                  <m:t>C</m:t>
                </m:r>
              </m:sub>
            </m:sSub>
            <m:r>
              <m:rPr>
                <m:sty m:val="p"/>
              </m:rPr>
              <m:t>,</m:t>
            </m:r>
            <m:r>
              <m:t>0</m:t>
            </m:r>
          </m:e>
        </m:d>
      </m:oMath>
      <w:r>
        <w:t xml:space="preserve">.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when the adapter performs at the retrained level follows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transfer the firm receives flow</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Upgrades arrive as a Poisson process of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4"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weights of each new main-line version of six open-weight families were first publicly available, from each family’s first release through 28 September 2026. The primary definition counts a new version of the family’s main general-purpose text model. A broad definition adds refreshed checkpoints and reasoning variants. The replication package lists every date.</w:t>
      </w:r>
      <w:r>
        <w:t xml:space="preserve"> </w:t>
      </w:r>
      <w:r>
        <w:rPr>
          <w:bCs/>
          <w:b/>
        </w:rPr>
        <w:t xml:space="preserve">[VERIFY before submission: selected dates were re-checked against vendor announcements (Llama 3.3 on 6 December 2024; Gemma 4 on 2 April 2026; DeepSeek-V4.1-Flash on 10 September 2026); the remaining dates must be audited against model cards, see Appendix C.]</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are more regular than exponential: the mean coefficient of variation is 0.46. Platforms can also stop. Llama has had no subsequent open-weight main-line release for 17.8 months as of the window end.</w:t>
      </w:r>
    </w:p>
    <w:p>
      <w:pPr>
        <w:pStyle w:val="BodyText"/>
      </w:pPr>
      <w:r>
        <w:rPr>
          <w:iCs/>
          <w:i/>
        </w:rPr>
        <w:t xml:space="preserve">[Figure 2 here: open-weight release histories, 2023 to September 2026. Reuse the figure from the original submission.]</w:t>
      </w:r>
    </w:p>
    <w:bookmarkEnd w:id="24"/>
    <w:bookmarkStart w:id="25" w:name="Xd8cb3568ba448fef1dfc4ac4595aad5128aa135"/>
    <w:p>
      <w:pPr>
        <w:pStyle w:val="Heading3"/>
      </w:pPr>
      <w:r>
        <w:t xml:space="preserve">3.3 Stylized fact 2: recovery collapses with upgrade size</w:t>
      </w:r>
    </w:p>
    <w:p>
      <w:pPr>
        <w:pStyle w:val="FirstParagraph"/>
      </w:pPr>
      <w:r>
        <w:t xml:space="preserve">On five open model pairs that share a tokenizer, a rank-8 adapter was trained on the source, retrained on the target, copied, and transferred with a calibration method that reduces to copy as its regularization diverges (Online Appendix B). After two small Pythia continued-training upgrades, copy recovered 0.945 and 0.940 of the retraining gain. After a large Pythia upgrade, copy recovered 0.051 and the calibration method 0.500. Base-to-instruct upgrades sat in between. Compute-only cost ratios for the calibration method were 0.33 to 0.61 of retraining and overstate the economic ratio because they omit data acquisition and revalidation. Small upgrades look like high-</w:t>
      </w:r>
      <m:oMath>
        <m:r>
          <m:t>R</m:t>
        </m:r>
      </m:oMath>
      <w:r>
        <w:t xml:space="preserve"> </w:t>
      </w:r>
      <w:r>
        <w:t xml:space="preserve">free copy; large upgrades open a gap that a costly method can fill if and only if its cost is below</w:t>
      </w:r>
      <w:r>
        <w:t xml:space="preserve"> </w:t>
      </w:r>
      <m:oMath>
        <m:r>
          <m:t>Γ</m:t>
        </m:r>
      </m:oMath>
      <w:r>
        <w:t xml:space="preserve">.</w:t>
      </w:r>
    </w:p>
    <w:bookmarkEnd w:id="25"/>
    <w:bookmarkEnd w:id="26"/>
    <w:bookmarkStart w:id="27"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lost flow until Poisson expiry. The underlying asset of the retraining option is</w:t>
      </w:r>
      <w:r>
        <w:t xml:space="preserve"> </w:t>
      </w:r>
      <m:oMath>
        <m:r>
          <m:t>k</m:t>
        </m:r>
        <m:d>
          <m:dPr>
            <m:begChr m:val="("/>
            <m:endChr m:val=")"/>
            <m:sepChr m:val=""/>
            <m:grow/>
          </m:dPr>
          <m:e>
            <m:r>
              <m:t>R</m:t>
            </m:r>
          </m:e>
        </m:d>
        <m:r>
          <m:t>v</m:t>
        </m:r>
      </m:oMath>
      <w:r>
        <w:t xml:space="preserve">, the strike is</w:t>
      </w:r>
      <w:r>
        <w:t xml:space="preserve"> </w:t>
      </w:r>
      <m:oMath>
        <m:sSub>
          <m:e>
            <m:r>
              <m:t>C</m:t>
            </m:r>
          </m:e>
          <m:sub>
            <m:r>
              <m:t>N</m:t>
            </m:r>
          </m:sub>
        </m:sSub>
      </m:oMath>
      <w:r>
        <w:t xml:space="preserve">, and expiry is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(Retraining threshold).</w:t>
      </w:r>
      <w:r>
        <w:t xml:space="preserve"> </w:t>
      </w:r>
      <w:r>
        <w:t xml:space="preserve">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w:t>
      </w:r>
    </w:p>
    <w:p>
      <w:pPr>
        <w:pStyle w:val="BodyText"/>
      </w:pPr>
      <w:r>
        <w:rPr>
          <w:bCs/>
          <w:b/>
        </w:rPr>
        <w:t xml:space="preserve">Proposition 2 (Comparative statics).</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μ</m:t>
        </m:r>
        <m:r>
          <m:rPr>
            <m:sty m:val="p"/>
          </m:rPr>
          <m:t>=</m:t>
        </m:r>
        <m:r>
          <m:t>2</m:t>
        </m:r>
      </m:oMath>
      <w:r>
        <w:t xml:space="preserve"> </w:t>
      </w:r>
      <w:r>
        <w:t xml:space="preserve">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3 (Weak dominance of copy and the costly-transfer region).</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Feeding the five measured</w:t>
      </w:r>
      <w:r>
        <w:t xml:space="preserve"> </w:t>
      </w:r>
      <m:oMath>
        <m:d>
          <m:dPr>
            <m:begChr m:val="("/>
            <m:endChr m:val=")"/>
            <m:sepChr m:val=""/>
            <m:grow/>
          </m:dPr>
          <m:e>
            <m:r>
              <m:t>R</m:t>
            </m:r>
            <m:r>
              <m:rPr>
                <m:sty m:val="p"/>
              </m:rPr>
              <m:t>,</m:t>
            </m:r>
            <m:r>
              <m:t>C</m:t>
            </m:r>
          </m:e>
        </m:d>
      </m:oMath>
      <w:r>
        <w:t xml:space="preserve"> </w:t>
      </w:r>
      <w:r>
        <w:t xml:space="preserve">pairs into the same formulas produces an actual transfer-optimal region only for the large Pythia upgrade, where</w:t>
      </w:r>
      <w:r>
        <w:t xml:space="preserve"> </w:t>
      </w:r>
      <m:oMath>
        <m:r>
          <m:t>Γ</m:t>
        </m:r>
        <m:r>
          <m:rPr>
            <m:sty m:val="p"/>
          </m:rPr>
          <m:t>=</m:t>
        </m:r>
        <m:r>
          <m:t>0.39</m:t>
        </m:r>
      </m:oMath>
      <w:r>
        <w:t xml:space="preserve"> </w:t>
      </w:r>
      <w:r>
        <w:t xml:space="preserve">exceeds the compute-only cost ratio 0.33.</w:t>
      </w:r>
    </w:p>
    <w:bookmarkEnd w:id="27"/>
    <w:bookmarkStart w:id="28"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at every Poisson upgrade is</w:t>
      </w:r>
      <w:r>
        <w:t xml:space="preserve"> </w:t>
      </w:r>
      <m:oMath>
        <m:d>
          <m:dPr>
            <m:begChr m:val="("/>
            <m:endChr m:val=")"/>
            <m:sepChr m:val=""/>
            <m:grow/>
          </m:dPr>
          <m:e>
            <m:r>
              <m:t>μ</m:t>
            </m:r>
            <m:r>
              <m:rPr>
                <m:sty m:val="p"/>
              </m:rPr>
              <m:t>/</m:t>
            </m:r>
            <m:r>
              <m:t>ρ</m:t>
            </m:r>
          </m:e>
        </m:d>
        <m:r>
          <m:t>w</m:t>
        </m:r>
      </m:oMath>
      <w:r>
        <w:t xml:space="preserve">.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A transferring firm’s burden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A retraining firm’s burden is linear and unbounded. A retraining firm is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4 (Cadence).</w:t>
      </w:r>
      <w:r>
        <w:t xml:space="preserve"> </w:t>
      </w:r>
      <w:r>
        <w:t xml:space="preserve">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w:t>
      </w:r>
    </w:p>
    <w:p>
      <w:pPr>
        <w:pStyle w:val="BodyText"/>
      </w:pPr>
      <w:r>
        <w:rPr>
          <w:bCs/>
          <w:b/>
        </w:rPr>
        <w:t xml:space="preserve">Proposition 5 (Over-release).</w:t>
      </w:r>
      <w:r>
        <w:t xml:space="preserve"> </w:t>
      </w:r>
      <w:r>
        <w:t xml:space="preserve">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6 (Strategic complementarity).</w:t>
      </w:r>
      <w:r>
        <w:t xml:space="preserve"> </w:t>
      </w:r>
      <w:r>
        <w:t xml:space="preserve">For any</w:t>
      </w:r>
      <w:r>
        <w:t xml:space="preserve"> </w:t>
      </w:r>
      <m:oMath>
        <m:r>
          <m:t>F</m:t>
        </m:r>
      </m:oMath>
      <w:r>
        <w:t xml:space="preserve">,</w:t>
      </w:r>
      <w:r>
        <w:t xml:space="preserve"> </w:t>
      </w:r>
      <m:oMath>
        <m:r>
          <m:t>d</m:t>
        </m:r>
        <m:sSub>
          <m:e>
            <m:r>
              <m:t>μ</m:t>
            </m:r>
          </m:e>
          <m:sub>
            <m:r>
              <m:t>V</m:t>
            </m:r>
          </m:sub>
        </m:sSub>
        <m:r>
          <m:rPr>
            <m:sty m:val="p"/>
          </m:rPr>
          <m:t>/</m:t>
        </m:r>
        <m:r>
          <m:t>d</m:t>
        </m:r>
        <m:r>
          <m:t>R</m:t>
        </m:r>
        <m:r>
          <m:rPr>
            <m:sty m:val="p"/>
          </m:rPr>
          <m:t>&gt;</m:t>
        </m:r>
        <m:r>
          <m:t>0</m:t>
        </m:r>
      </m:oMath>
      <w:r>
        <w:t xml:space="preserve">.</w:t>
      </w:r>
    </w:p>
    <w:p>
      <w:pPr>
        <w:pStyle w:val="BodyText"/>
      </w:pPr>
      <w:r>
        <w:t xml:space="preserve">Easier transfer lowers the marginal burden of a release. The owner internalizes share</w:t>
      </w:r>
      <w:r>
        <w:t xml:space="preserve"> </w:t>
      </w:r>
      <m:oMath>
        <m:r>
          <m:t>θ</m:t>
        </m:r>
      </m:oMath>
      <w:r>
        <w:t xml:space="preserve"> </w:t>
      </w:r>
      <w:r>
        <w:t xml:space="preserve">of that reduction and therefore releases more often.</w:t>
      </w:r>
    </w:p>
    <w:p>
      <w:pPr>
        <w:pStyle w:val="BodyText"/>
      </w:pPr>
      <w:r>
        <w:rPr>
          <w:bCs/>
          <w:b/>
        </w:rPr>
        <w:t xml:space="preserve">Proposition 7 (Distribution).</w:t>
      </w:r>
      <w:r>
        <w:t xml:space="preserve"> </w:t>
      </w:r>
      <w:r>
        <w:t xml:space="preserve">A small increase in</w:t>
      </w:r>
      <w:r>
        <w:t xml:space="preserve"> </w:t>
      </w:r>
      <m:oMath>
        <m:r>
          <m:t>R</m:t>
        </m:r>
      </m:oMath>
      <w:r>
        <w:t xml:space="preserve"> </w:t>
      </w:r>
      <w:r>
        <w:t xml:space="preserve">has a direct effect and a cadence effect. (a)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(b) A transferring firm with</w:t>
      </w:r>
      <w:r>
        <w:t xml:space="preserve"> </w:t>
      </w:r>
      <m:oMath>
        <m:r>
          <m:t>v</m:t>
        </m:r>
        <m:r>
          <m:rPr>
            <m:sty m:val="p"/>
          </m:rPr>
          <m:t>→</m:t>
        </m:r>
        <m:r>
          <m:t>0</m:t>
        </m:r>
      </m:oMath>
      <w:r>
        <w:t xml:space="preserve"> </w:t>
      </w:r>
      <w:r>
        <w:t xml:space="preserve">gains from both effects. (c) In the over-release region the cadence effect is negative on average, so mean surplus can fall even as</w:t>
      </w:r>
      <w:r>
        <w:t xml:space="preserve"> </w:t>
      </w:r>
      <m:oMath>
        <m:r>
          <m:t>R</m:t>
        </m:r>
      </m:oMath>
      <w:r>
        <w:t xml:space="preserve"> </w:t>
      </w:r>
      <w:r>
        <w:t xml:space="preserve">improves.</w:t>
      </w:r>
    </w:p>
    <w:p>
      <w:pPr>
        <w:pStyle w:val="BodyText"/>
      </w:pPr>
      <w:r>
        <w:rPr>
          <w:bCs/>
          <w:b/>
        </w:rPr>
        <w:t xml:space="preserve">Proposition 8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BodyText"/>
      </w:pPr>
      <w:r>
        <w:rPr>
          <w:iCs/>
          <w:i/>
        </w:rPr>
        <w:t xml:space="preserve">[Figure 1 here: change in firm surplus when</w:t>
      </w:r>
      <w:r>
        <w:rPr>
          <w:iCs/>
          <w:i/>
        </w:rPr>
        <w:t xml:space="preserve"> </w:t>
      </w:r>
      <m:oMath>
        <m:r>
          <m:t>R</m:t>
        </m:r>
      </m:oMath>
      <w:r>
        <w:rPr>
          <w:iCs/>
          <w:i/>
        </w:rPr>
        <w:t xml:space="preserve"> </w:t>
      </w:r>
      <w:r>
        <w:rPr>
          <w:iCs/>
          <w:i/>
        </w:rPr>
        <w:t xml:space="preserve">rises from 0.5 to 0.7 under the monopoly best response. Retraining firms with</w:t>
      </w:r>
      <w:r>
        <w:rPr>
          <w:iCs/>
          <w:i/>
        </w:rPr>
        <w:t xml:space="preserve"> </w:t>
      </w:r>
      <m:oMath>
        <m:r>
          <m:t>v</m:t>
        </m:r>
        <m:r>
          <m:rPr>
            <m:sty m:val="p"/>
          </m:rPr>
          <m:t>≳</m:t>
        </m:r>
        <m:r>
          <m:t>9.57</m:t>
        </m:r>
      </m:oMath>
      <w:r>
        <w:rPr>
          <w:iCs/>
          <w:i/>
        </w:rPr>
        <w:t xml:space="preserve"> </w:t>
      </w:r>
      <w:r>
        <w:rPr>
          <w:iCs/>
          <w:i/>
        </w:rPr>
        <w:t xml:space="preserve">lose through the cadence effect. Reuse the figure from the original submission.]</w:t>
      </w:r>
    </w:p>
    <w:p>
      <w:pPr>
        <w:pStyle w:val="BodyText"/>
      </w:pPr>
      <w:r>
        <w:rPr>
          <w:iCs/>
          <w:i/>
        </w:rPr>
        <w:t xml:space="preserve">[Figure 3 here: equilibrium intensity as a function of</w:t>
      </w:r>
      <w:r>
        <w:rPr>
          <w:iCs/>
          <w:i/>
        </w:rPr>
        <w:t xml:space="preserve"> </w:t>
      </w:r>
      <m:oMath>
        <m:r>
          <m:t>R</m:t>
        </m:r>
      </m:oMath>
      <w:r>
        <w:rPr>
          <w:iCs/>
          <w:i/>
        </w:rPr>
        <w:t xml:space="preserve"> </w:t>
      </w:r>
      <w:r>
        <w:rPr>
          <w:iCs/>
          <w:i/>
        </w:rPr>
        <w:t xml:space="preserve">under monopoly and symmetric duopoly. Reuse the figure from the original submission.]</w:t>
      </w:r>
    </w:p>
    <w:bookmarkEnd w:id="28"/>
    <w:bookmarkStart w:id="29"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then set enterprise prices, then firms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with</w:t>
      </w:r>
      <w:r>
        <w:t xml:space="preserve"> </w:t>
      </w:r>
      <m:oMath>
        <m:sSub>
          <m:e>
            <m:r>
              <m:t>ε</m:t>
            </m:r>
          </m:e>
          <m:sub>
            <m:r>
              <m:t>i</m:t>
            </m:r>
          </m:sub>
        </m:sSub>
      </m:oMath>
      <w:r>
        <w:t xml:space="preserve"> </w:t>
      </w:r>
      <w:r>
        <w:t xml:space="preserve">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9 (One-third rule).</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w:t>
      </w:r>
    </w:p>
    <w:p>
      <w:pPr>
        <w:pStyle w:val="BodyText"/>
      </w:pPr>
      <w:r>
        <w:rPr>
          <w:bCs/>
          <w:b/>
        </w:rPr>
        <w:t xml:space="preserve">Proposition 10 (Efficiency under competition).</w:t>
      </w:r>
      <w:r>
        <w:t xml:space="preserve"> </w:t>
      </w:r>
      <w:r>
        <w:t xml:space="preserve">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11 (Complementarity under competition).</w:t>
      </w:r>
      <w:r>
        <w:t xml:space="preserve"> </w:t>
      </w:r>
      <w:r>
        <w:t xml:space="preserve">For any</w:t>
      </w:r>
      <w:r>
        <w:t xml:space="preserve"> </w:t>
      </w:r>
      <m:oMath>
        <m:r>
          <m:t>F</m:t>
        </m:r>
      </m:oMath>
      <w:r>
        <w:t xml:space="preserve">,</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Proposition 12 (Numerical differentiation).</w:t>
      </w:r>
      <w:r>
        <w:t xml:space="preserve"> </w:t>
      </w:r>
      <w:r>
        <w:t xml:space="preserve">When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at weak race intensity and fails at intermediate race intensity. At the latter, an asymmetric equilibrium appears: a frontier owner that is fast and compatible and a stable owner that is slow and sparse. Mid-value transferring firms sort to the frontier owner; the highest-value retraining firms lean to the stable owner. When the race is very intense both owners become fast and compatible. These are grid-search findings at one parameterization. Multiple equilibria exist at some</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w:t>
      </w:r>
      <w:r>
        <w:t xml:space="preserve">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that illustration are 26.4 and 17.3. Mean customer value is 18.2 on the frontier platform and 22.8 on the stable platform.</w:t>
      </w:r>
    </w:p>
    <w:p>
      <w:pPr>
        <w:pStyle w:val="BodyText"/>
      </w:pPr>
      <w:r>
        <w:rPr>
          <w:iCs/>
          <w:i/>
        </w:rPr>
        <w:t xml:space="preserve">[Figure 4 here: probability of choosing the frontier owner in the</w:t>
      </w:r>
      <w:r>
        <w:rPr>
          <w:iCs/>
          <w:i/>
        </w:rPr>
        <w:t xml:space="preserve"> </w:t>
      </w:r>
      <m:oMath>
        <m:r>
          <m:t>H</m:t>
        </m:r>
        <m:r>
          <m:rPr>
            <m:sty m:val="p"/>
          </m:rPr>
          <m:t>=</m:t>
        </m:r>
        <m:r>
          <m:t>20</m:t>
        </m:r>
      </m:oMath>
      <w:r>
        <w:rPr>
          <w:iCs/>
          <w:i/>
        </w:rPr>
        <w:t xml:space="preserve"> </w:t>
      </w:r>
      <w:r>
        <w:rPr>
          <w:iCs/>
          <w:i/>
        </w:rPr>
        <w:t xml:space="preserve">asymmetric illustration. Reuse the figure from the original submission.]</w:t>
      </w:r>
    </w:p>
    <w:bookmarkEnd w:id="29"/>
    <w:bookmarkStart w:id="35" w:name="robustness-and-extensions"/>
    <w:p>
      <w:pPr>
        <w:pStyle w:val="Heading2"/>
      </w:pPr>
      <w:r>
        <w:t xml:space="preserve">7. Robustness and Extensions</w:t>
      </w:r>
    </w:p>
    <w:bookmarkStart w:id="30" w:name="regular-arrivals"/>
    <w:p>
      <w:pPr>
        <w:pStyle w:val="Heading3"/>
      </w:pPr>
      <w:r>
        <w:t xml:space="preserve">7.1 Regular arrivals</w:t>
      </w:r>
    </w:p>
    <w:p>
      <w:pPr>
        <w:pStyle w:val="FirstParagraph"/>
      </w:pPr>
      <w:r>
        <w:t xml:space="preserve">Replace the exponential epoch length by a gamma law matched to each family’s mean gap and CV,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0.96 to 0.99).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30"/>
    <w:bookmarkStart w:id="31" w:name="threshold-loss"/>
    <w:p>
      <w:pPr>
        <w:pStyle w:val="Heading3"/>
      </w:pPr>
      <w:r>
        <w:t xml:space="preserve">7.2 Threshold loss</w:t>
      </w:r>
    </w:p>
    <w:p>
      <w:pPr>
        <w:pStyle w:val="FirstParagraph"/>
      </w:pPr>
      <w:r>
        <w:t xml:space="preserve">If the adapter creates value only above a quality floor</w:t>
      </w:r>
      <w:r>
        <w:t xml:space="preserve"> </w:t>
      </w:r>
      <m:oMath>
        <m:sSub>
          <m:e>
            <m:r>
              <m:t>R</m:t>
            </m:r>
          </m:e>
          <m:sub>
            <m:r>
              <m:rPr>
                <m:sty m:val="p"/>
              </m:rPr>
              <m:t>min</m:t>
            </m:r>
          </m:sub>
        </m:sSub>
      </m:oMath>
      <w:r>
        <w:t xml:space="preserve">,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and leaves a costly method above it widens</w:t>
      </w:r>
      <w:r>
        <w:t xml:space="preserve"> </w:t>
      </w:r>
      <m:oMath>
        <m:r>
          <m:t>Γ</m:t>
        </m:r>
      </m:oMath>
      <w:r>
        <w:t xml:space="preserve">. Linear loss understates the value of transfer exactly when the upgrade is large. It does not overturn weak dominance of copy when copy itself stays above the floor.</w:t>
      </w:r>
    </w:p>
    <w:bookmarkEnd w:id="31"/>
    <w:bookmarkStart w:id="32" w:name="a-two-period-switching-extension"/>
    <w:p>
      <w:pPr>
        <w:pStyle w:val="Heading3"/>
      </w:pPr>
      <w:r>
        <w:t xml:space="preserve">7.3 A two-period switching extension</w:t>
      </w:r>
    </w:p>
    <w:p>
      <w:pPr>
        <w:pStyle w:val="FirstParagraph"/>
      </w:pPr>
      <w:r>
        <w:t xml:space="preserve">Section 6 assumes a firm stays with its first owner. Consider a two-period variant. In period 0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Firms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Interpret</w:t>
      </w:r>
      <w:r>
        <w:t xml:space="preserve"> </w:t>
      </w:r>
      <m:oMath>
        <m:r>
          <m:t>ω</m:t>
        </m:r>
      </m:oMath>
      <w:r>
        <w:t xml:space="preserve"> </w:t>
      </w:r>
      <w:r>
        <w:t xml:space="preserve">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to period-1 quality and price, because the period-1 outside option is closer. In logit, that is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Section 5 channel) and a switching-in effect. The second effect is business-stealing. In a symmetric equilibrium business-stealing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is harder to recoup. Compatibility investment therefore falls even as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will overstate the case for owner-provided compatibility as a customer-friendly investment. We do not claim a closed-form analogue of Proposition 9 under switching.</w:t>
      </w:r>
    </w:p>
    <w:bookmarkEnd w:id="32"/>
    <w:bookmarkStart w:id="33"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This is still a proxy, because the firm’s option value is not the full infinite-horizon object, but it lets the owner respond to a</w:t>
      </w:r>
      <w:r>
        <w:t xml:space="preserve"> </w:t>
      </w:r>
      <m:oMath>
        <m:r>
          <m:t>μ</m:t>
        </m:r>
      </m:oMath>
      <w:r>
        <w:t xml:space="preserve">-dependent threshold.</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33"/>
    <w:bookmarkStart w:id="34" w:name="logit-specificity-of-one-third"/>
    <w:p>
      <w:pPr>
        <w:pStyle w:val="Heading3"/>
      </w:pPr>
      <w:r>
        <w:t xml:space="preserve">7.5 Logit specificity of one-third</w:t>
      </w:r>
    </w:p>
    <w:p>
      <w:pPr>
        <w:pStyle w:val="FirstParagraph"/>
      </w:pPr>
      <w:r>
        <w:t xml:space="preserve">The one-third weight uses two logit facts: the own-price markup</w:t>
      </w:r>
      <w:r>
        <w:t xml:space="preserve"> </w:t>
      </w:r>
      <m:oMath>
        <m:r>
          <m:t>p</m:t>
        </m:r>
        <m:r>
          <m:rPr>
            <m:sty m:val="p"/>
          </m:rPr>
          <m:t>=</m:t>
        </m:r>
        <m:r>
          <m:t>2</m:t>
        </m:r>
        <m:r>
          <m:t>η</m:t>
        </m:r>
      </m:oMath>
      <w:r>
        <w:t xml:space="preserve"> </w:t>
      </w:r>
      <w:r>
        <w:t xml:space="preserve">at symmetry, and a quality shock that splits one-third into price and one-third into share. Under Hotelling the analogous weight differs. Pure-strategy price equilibria fail when</w:t>
      </w:r>
      <w:r>
        <w:t xml:space="preserve"> </w:t>
      </w:r>
      <m:oMath>
        <m:r>
          <m:t>η</m:t>
        </m:r>
      </m:oMath>
      <w:r>
        <w:t xml:space="preserve"> </w:t>
      </w:r>
      <w:r>
        <w:t xml:space="preserve">is small relative to value heterogeneity. The one-third rule should be read as: competing owners internalize a constant that is strictly less than one-half, and in the standard discrete-choice workhorse that constant is one-third.</w:t>
      </w:r>
    </w:p>
    <w:bookmarkEnd w:id="34"/>
    <w:bookmarkEnd w:id="35"/>
    <w:bookmarkStart w:id="39" w:name="implications-for-research-and-practice"/>
    <w:p>
      <w:pPr>
        <w:pStyle w:val="Heading2"/>
      </w:pPr>
      <w:r>
        <w:t xml:space="preserve">8. Implications for Research and Practice</w:t>
      </w:r>
    </w:p>
    <w:bookmarkStart w:id="36"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its own option structure, with a free partial transfer (copy) knocking out blanket retraining and a costly tool surviving only in a bounded intermediate band. Empirical work on IT asset value should therefore measure recovery under upgrades, not only adoption timing.</w:t>
      </w:r>
    </w:p>
    <w:p>
      <w:pPr>
        <w:pStyle w:val="BodyText"/>
      </w:pPr>
      <w:r>
        <w:rPr>
          <w:iCs/>
          <w:i/>
        </w:rPr>
        <w:t xml:space="preserve">Platform governance.</w:t>
      </w:r>
      <w:r>
        <w:t xml:space="preserve"> </w:t>
      </w:r>
      <w:r>
        <w:t xml:space="preserve">Release cadence and compatibility support are governance instruments that the platform owner sets jointly. Treating them separately misses their complementarity and the distributional consequence that follows. A testable implication is that, across platforms, announcements of migration or compatibility tooling should be followed by higher release frequency, and that the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This suggests studying asset-level heterogeneity, not only customer-level heterogeneity, in platform choice.</w:t>
      </w:r>
    </w:p>
    <w:bookmarkEnd w:id="36"/>
    <w:bookmarkStart w:id="37" w:name="implications-for-practice"/>
    <w:p>
      <w:pPr>
        <w:pStyle w:val="Heading3"/>
      </w:pPr>
      <w:r>
        <w:t xml:space="preserve">8.2 Implications for practice</w:t>
      </w:r>
    </w:p>
    <w:p>
      <w:pPr>
        <w:pStyle w:val="FirstParagraph"/>
      </w:pPr>
      <w:r>
        <w:t xml:space="preserve">Five implications do not depend on a named transfer algorithm.</w:t>
      </w:r>
    </w:p>
    <w:p>
      <w:pPr>
        <w:numPr>
          <w:ilvl w:val="0"/>
          <w:numId w:val="1001"/>
        </w:numPr>
        <w:pStyle w:val="Compact"/>
      </w:pPr>
      <w:r>
        <w:rPr>
          <w:bCs/>
          <w:b/>
        </w:rPr>
        <w:t xml:space="preserve">Triage by value.</w:t>
      </w:r>
      <w:r>
        <w:t xml:space="preserve"> </w:t>
      </w:r>
      <w:r>
        <w:t xml:space="preserve">Triage complementary assets by value relative to retraining cost, and let the platform’s estimated</w:t>
      </w:r>
      <w:r>
        <w:t xml:space="preserve"> </w:t>
      </w:r>
      <m:oMath>
        <m:r>
          <m:t>μ</m:t>
        </m:r>
      </m:oMath>
      <w:r>
        <w:t xml:space="preserve"> </w:t>
      </w:r>
      <w:r>
        <w:t xml:space="preserve">set the boundaries. Copy below a low cutoff, consider a costly transfer tool in the middle, retrain only above a high cutoff.</w:t>
      </w:r>
    </w:p>
    <w:p>
      <w:pPr>
        <w:numPr>
          <w:ilvl w:val="0"/>
          <w:numId w:val="1001"/>
        </w:numPr>
        <w:pStyle w:val="Compact"/>
      </w:pPr>
      <w:r>
        <w:rPr>
          <w:bCs/>
          <w:b/>
        </w:rPr>
        <w:t xml:space="preserve">Buy tools against</w:t>
      </w:r>
      <w:r>
        <w:rPr>
          <w:bCs/>
          <w:b/>
        </w:rPr>
        <w:t xml:space="preserve"> </w:t>
      </w:r>
      <m:oMath>
        <m:r>
          <m:t>Γ</m:t>
        </m:r>
      </m:oMath>
      <w:r>
        <w:rPr>
          <w:bCs/>
          <w:b/>
        </w:rPr>
        <w:t xml:space="preserve">.</w:t>
      </w:r>
      <w:r>
        <w:t xml:space="preserve"> </w:t>
      </w:r>
      <w:r>
        <w:t xml:space="preserve">Buy transfer tools when measured</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After small upgrades that inequality typically fails because free copy is already close to retraining.</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Owners of the highest-value assets, who retrain anyway, can be made worse off by those tools. For those assets, a contractual cap on release frequency or a long-term-support line can be worth more than a better converter.</w:t>
      </w:r>
    </w:p>
    <w:p>
      <w:pPr>
        <w:numPr>
          <w:ilvl w:val="0"/>
          <w:numId w:val="1001"/>
        </w:numPr>
        <w:pStyle w:val="Compact"/>
      </w:pPr>
      <w:r>
        <w:rPr>
          <w:bCs/>
          <w:b/>
        </w:rPr>
        <w:t xml:space="preserve">Segment across platforms.</w:t>
      </w:r>
      <w:r>
        <w:t xml:space="preserve"> </w:t>
      </w:r>
      <w:r>
        <w:t xml:space="preserve">If owners separate into frontier and stable platforms, park high-value and regulated adapters on the stable line and mid-value adapters on the frontier line.</w:t>
      </w:r>
    </w:p>
    <w:p>
      <w:pPr>
        <w:numPr>
          <w:ilvl w:val="0"/>
          <w:numId w:val="1001"/>
        </w:numPr>
        <w:pStyle w:val="Compact"/>
      </w:pPr>
      <w:r>
        <w:rPr>
          <w:bCs/>
          <w:b/>
        </w:rPr>
        <w:t xml:space="preserve">Time retraining.</w:t>
      </w:r>
      <w:r>
        <w:t xml:space="preserve"> </w:t>
      </w:r>
      <w:r>
        <w:t xml:space="preserve">When the next dated release is near, defer retraining of adapters that sit close to</w:t>
      </w:r>
      <w:r>
        <w:t xml:space="preserve"> </w:t>
      </w:r>
      <m:oMath>
        <m:sSup>
          <m:e>
            <m:r>
              <m:t>v</m:t>
            </m:r>
          </m:e>
          <m:sup>
            <m:r>
              <m:rPr>
                <m:sty m:val="p"/>
              </m:rPr>
              <m:t>*</m:t>
            </m:r>
          </m:sup>
        </m:sSup>
      </m:oMath>
      <w:r>
        <w:t xml:space="preserve">.</w:t>
      </w:r>
    </w:p>
    <w:bookmarkEnd w:id="37"/>
    <w:bookmarkStart w:id="38" w:name="limitations-and-future-research"/>
    <w:p>
      <w:pPr>
        <w:pStyle w:val="Heading3"/>
      </w:pPr>
      <w:r>
        <w:t xml:space="preserve">8.3 Limitations and future research</w:t>
      </w:r>
    </w:p>
    <w:p>
      <w:pPr>
        <w:pStyle w:val="FirstParagraph"/>
      </w:pPr>
      <w:r>
        <w:t xml:space="preserve">Value is taken as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the recovery measurements are small-scale (160M to 0.5B parameters, one task, one seed); and open lines can be discontinued. The first empirical priority is</w:t>
      </w:r>
      <w:r>
        <w:t xml:space="preserve"> </w:t>
      </w:r>
      <m:oMath>
        <m:d>
          <m:dPr>
            <m:begChr m:val="("/>
            <m:endChr m:val=")"/>
            <m:sepChr m:val=""/>
            <m:grow/>
          </m:dPr>
          <m:e>
            <m:r>
              <m:t>g</m:t>
            </m:r>
            <m:r>
              <m:rPr>
                <m:sty m:val="p"/>
              </m:rPr>
              <m:t>,</m:t>
            </m:r>
            <m:r>
              <m:t>σ</m:t>
            </m:r>
          </m:e>
        </m:d>
      </m:oMath>
      <w:r>
        <w:t xml:space="preserve"> </w:t>
      </w:r>
      <w:r>
        <w:t xml:space="preserve">from service logs and a historical cost accounting of copy versus retrain-every-time on a real adapter portfolio. A natural field-data test of Proposition 6 is whether the introduction of owner-provided migration tooling predicts a subsequent change in release frequency.</w:t>
      </w:r>
    </w:p>
    <w:bookmarkEnd w:id="38"/>
    <w:bookmarkEnd w:id="39"/>
    <w:bookmarkStart w:id="40" w:name="conclusion"/>
    <w:p>
      <w:pPr>
        <w:pStyle w:val="Heading2"/>
      </w:pPr>
      <w:r>
        <w:t xml:space="preserve">9. Conclusion</w:t>
      </w:r>
    </w:p>
    <w:p>
      <w:pPr>
        <w:pStyle w:val="FirstParagraph"/>
      </w:pPr>
      <w:r>
        <w:t xml:space="preserve">The paper’s theoretical claim is not that any particular converter is optimal. It is that complementary assets on an evolving platform create a maintenance option; that a free partial transfer already knocks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in the logit workhorse the fraction is one-third. Platforms are not only bundles of options for adopters (Fichman 2004). They are also the agents that choose how fast those options expire.</w:t>
      </w:r>
    </w:p>
    <w:bookmarkEnd w:id="40"/>
    <w:bookmarkStart w:id="41"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41"/>
    <w:bookmarkStart w:id="42" w:name="appendix-a.-proofs"/>
    <w:p>
      <w:pPr>
        <w:pStyle w:val="Heading2"/>
      </w:pPr>
      <w:r>
        <w:t xml:space="preserve">Appendix A. Proofs</w:t>
      </w:r>
    </w:p>
    <w:p>
      <w:pPr>
        <w:pStyle w:val="FirstParagraph"/>
      </w:pPr>
      <w:r>
        <w:rPr>
          <w:bCs/>
          <w:b/>
        </w:rPr>
        <w:t xml:space="preserve">Proof of Proposition 1.</w:t>
      </w:r>
      <w:r>
        <w:t xml:space="preserve"> </w:t>
      </w:r>
      <w:r>
        <w:t xml:space="preserve">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r>
        <w:t xml:space="preserve"> </w:t>
      </w:r>
      <m:oMath>
        <m:r>
          <m:rPr>
            <m:sty m:val="p"/>
          </m:rPr>
          <m:t>▫</m:t>
        </m:r>
      </m:oMath>
    </w:p>
    <w:p>
      <w:pPr>
        <w:pStyle w:val="BodyText"/>
      </w:pPr>
      <w:r>
        <w:rPr>
          <w:bCs/>
          <w:b/>
        </w:rPr>
        <w:t xml:space="preserve">Proof of Proposition 2.</w:t>
      </w:r>
      <w:r>
        <w:t xml:space="preserve"> </w:t>
      </w: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BodyText"/>
      </w:pPr>
      <w:r>
        <w:rPr>
          <w:bCs/>
          <w:b/>
        </w:rPr>
        <w:t xml:space="preserve">Proof of Proposition 3.</w:t>
      </w:r>
      <w:r>
        <w:t xml:space="preserve"> </w:t>
      </w:r>
      <w:r>
        <w:t xml:space="preserve">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4.</w:t>
      </w:r>
      <w:r>
        <w:t xml:space="preserve"> </w:t>
      </w:r>
      <w:r>
        <w:t xml:space="preserve">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r>
        <w:t xml:space="preserve"> </w:t>
      </w:r>
      <m:oMath>
        <m:r>
          <m:rPr>
            <m:sty m:val="p"/>
          </m:rPr>
          <m:t>▫</m:t>
        </m:r>
      </m:oMath>
    </w:p>
    <w:p>
      <w:pPr>
        <w:pStyle w:val="BodyText"/>
      </w:pPr>
      <w:r>
        <w:rPr>
          <w:bCs/>
          <w:b/>
        </w:rPr>
        <w:t xml:space="preserve">Proof of Proposition 5.</w:t>
      </w:r>
      <w:r>
        <w:t xml:space="preserve"> </w:t>
      </w: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w:t>
      </w:r>
      <w:r>
        <w:t xml:space="preserve"> </w:t>
      </w:r>
      <m:oMath>
        <m:r>
          <m:rPr>
            <m:sty m:val="p"/>
          </m:rPr>
          <m:t>▫</m:t>
        </m:r>
      </m:oMath>
    </w:p>
    <w:p>
      <w:pPr>
        <w:pStyle w:val="BodyText"/>
      </w:pPr>
      <w:r>
        <w:rPr>
          <w:bCs/>
          <w:b/>
        </w:rPr>
        <w:t xml:space="preserve">Proof of Proposition 7.</w:t>
      </w:r>
      <w:r>
        <w:t xml:space="preserve"> </w:t>
      </w: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Proposition 6.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BodyText"/>
      </w:pPr>
      <w:r>
        <w:rPr>
          <w:bCs/>
          <w:b/>
        </w:rPr>
        <w:t xml:space="preserve">Proof of Proposition 8.</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6,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p>
      <w:pPr>
        <w:pStyle w:val="BodyText"/>
      </w:pPr>
      <w:r>
        <w:rPr>
          <w:bCs/>
          <w:b/>
        </w:rPr>
        <w:t xml:space="preserve">Proof of Proposition 9.</w:t>
      </w:r>
      <w:r>
        <w:t xml:space="preserve"> </w:t>
      </w:r>
      <w:r>
        <w:t xml:space="preserve">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r>
        <w:t xml:space="preserve"> </w:t>
      </w:r>
      <m:oMath>
        <m:r>
          <m:rPr>
            <m:sty m:val="p"/>
          </m:rPr>
          <m:t>▫</m:t>
        </m:r>
      </m:oMath>
    </w:p>
    <w:p>
      <w:pPr>
        <w:pStyle w:val="BodyText"/>
      </w:pPr>
      <w:r>
        <w:rPr>
          <w:bCs/>
          <w:b/>
        </w:rPr>
        <w:t xml:space="preserve">Proof of Proposition 10.</w:t>
      </w:r>
      <w:r>
        <w:t xml:space="preserve"> </w:t>
      </w: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Proposition 9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BodyText"/>
      </w:pPr>
      <w:r>
        <w:rPr>
          <w:bCs/>
          <w:b/>
        </w:rPr>
        <w:t xml:space="preserve">Proof of Proposition 11.</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6.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Proposition 12 is a grid search, not a proof. The two-period switching extension in Section 7.3 is a first-order characterization, not an equilibrium existence theorem.</w:t>
      </w:r>
    </w:p>
    <w:bookmarkEnd w:id="42"/>
    <w:bookmarkStart w:id="43" w:name="X73743ec89cd3668a7c72495198c509c295815b4"/>
    <w:p>
      <w:pPr>
        <w:pStyle w:val="Heading2"/>
      </w:pPr>
      <w:r>
        <w:t xml:space="preserve">Appendix B. Online Appendix: Calibration Pairs</w:t>
      </w:r>
    </w:p>
    <w:p>
      <w:pPr>
        <w:pStyle w:val="FirstParagraph"/>
      </w:pPr>
      <w:r>
        <w:t xml:space="preserve">The following table is the measurement used to pin</w:t>
      </w:r>
      <w:r>
        <w:t xml:space="preserve"> </w:t>
      </w:r>
      <m:oMath>
        <m:d>
          <m:dPr>
            <m:begChr m:val="("/>
            <m:endChr m:val=")"/>
            <m:sepChr m:val=""/>
            <m:grow/>
          </m:dPr>
          <m:e>
            <m:r>
              <m:t>R</m:t>
            </m:r>
            <m:r>
              <m:rPr>
                <m:sty m:val="p"/>
              </m:rPr>
              <m:t>,</m:t>
            </m:r>
            <m:r>
              <m:t>C</m:t>
            </m:r>
          </m:e>
        </m:d>
      </m:oMath>
      <w:r>
        <w:t xml:space="preserve"> </w:t>
      </w:r>
      <w:r>
        <w:t xml:space="preserve">in Section 3.3. Models have 160M to 0.5B parameters, one task (GSM8K), one seed, and a short CPU training budget.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Pair</w:t>
            </w:r>
          </w:p>
        </w:tc>
        <w:tc>
          <w:tcPr/>
          <w:p>
            <w:pPr>
              <w:pStyle w:val="Compact"/>
              <w:jc w:val="right"/>
            </w:pPr>
            <m:oMath>
              <m:sSub>
                <m:e>
                  <m:r>
                    <m:t>R</m:t>
                  </m:r>
                </m:e>
                <m:sub>
                  <m:r>
                    <m:t>C</m:t>
                  </m:r>
                </m:sub>
              </m:sSub>
            </m:oMath>
          </w:p>
        </w:tc>
        <w:tc>
          <w:tcPr/>
          <w:p>
            <w:pPr>
              <w:pStyle w:val="Compact"/>
              <w:jc w:val="right"/>
            </w:pPr>
            <m:oMath>
              <m:sSub>
                <m:e>
                  <m:r>
                    <m:t>R</m:t>
                  </m:r>
                </m:e>
                <m:sub>
                  <m:r>
                    <m:t>A</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right"/>
            </w:pPr>
            <w:r>
              <w:t xml:space="preserve">0.945</w:t>
            </w:r>
          </w:p>
        </w:tc>
        <w:tc>
          <w:tcPr/>
          <w:p>
            <w:pPr>
              <w:pStyle w:val="Compact"/>
              <w:jc w:val="right"/>
            </w:pPr>
            <w:r>
              <w:t xml:space="preserve">0.941</w:t>
            </w:r>
          </w:p>
        </w:tc>
        <w:tc>
          <w:tcPr/>
          <w:p>
            <w:pPr>
              <w:pStyle w:val="Compact"/>
              <w:jc w:val="right"/>
            </w:pPr>
            <w:r>
              <w:t xml:space="preserve">0.358</w:t>
            </w:r>
          </w:p>
        </w:tc>
      </w:tr>
      <w:tr>
        <w:tc>
          <w:tcPr/>
          <w:p>
            <w:pPr>
              <w:pStyle w:val="Compact"/>
              <w:jc w:val="left"/>
            </w:pPr>
            <w:r>
              <w:t xml:space="preserve">Pythia-160M, +30k steps</w:t>
            </w:r>
          </w:p>
        </w:tc>
        <w:tc>
          <w:tcPr/>
          <w:p>
            <w:pPr>
              <w:pStyle w:val="Compact"/>
              <w:jc w:val="right"/>
            </w:pPr>
            <w:r>
              <w:t xml:space="preserve">0.940</w:t>
            </w:r>
          </w:p>
        </w:tc>
        <w:tc>
          <w:tcPr/>
          <w:p>
            <w:pPr>
              <w:pStyle w:val="Compact"/>
              <w:jc w:val="right"/>
            </w:pPr>
            <w:r>
              <w:t xml:space="preserve">0.952</w:t>
            </w:r>
          </w:p>
        </w:tc>
        <w:tc>
          <w:tcPr/>
          <w:p>
            <w:pPr>
              <w:pStyle w:val="Compact"/>
              <w:jc w:val="right"/>
            </w:pPr>
            <w:r>
              <w:t xml:space="preserve">0.348</w:t>
            </w:r>
          </w:p>
        </w:tc>
      </w:tr>
      <w:tr>
        <w:tc>
          <w:tcPr/>
          <w:p>
            <w:pPr>
              <w:pStyle w:val="Compact"/>
              <w:jc w:val="left"/>
            </w:pPr>
            <w:r>
              <w:t xml:space="preserve">Pythia-160M, +70k steps</w:t>
            </w:r>
          </w:p>
        </w:tc>
        <w:tc>
          <w:tcPr/>
          <w:p>
            <w:pPr>
              <w:pStyle w:val="Compact"/>
              <w:jc w:val="right"/>
            </w:pPr>
            <w:r>
              <w:t xml:space="preserve">0.051</w:t>
            </w:r>
          </w:p>
        </w:tc>
        <w:tc>
          <w:tcPr/>
          <w:p>
            <w:pPr>
              <w:pStyle w:val="Compact"/>
              <w:jc w:val="right"/>
            </w:pPr>
            <w:r>
              <w:t xml:space="preserve">0.500</w:t>
            </w:r>
          </w:p>
        </w:tc>
        <w:tc>
          <w:tcPr/>
          <w:p>
            <w:pPr>
              <w:pStyle w:val="Compact"/>
              <w:jc w:val="right"/>
            </w:pPr>
            <w:r>
              <w:t xml:space="preserve">0.334</w:t>
            </w:r>
          </w:p>
        </w:tc>
      </w:tr>
      <w:tr>
        <w:tc>
          <w:tcPr/>
          <w:p>
            <w:pPr>
              <w:pStyle w:val="Compact"/>
              <w:jc w:val="left"/>
            </w:pPr>
            <w:r>
              <w:t xml:space="preserve">SmolLM2-360M, Base → Instruct</w:t>
            </w:r>
          </w:p>
        </w:tc>
        <w:tc>
          <w:tcPr/>
          <w:p>
            <w:pPr>
              <w:pStyle w:val="Compact"/>
              <w:jc w:val="right"/>
            </w:pPr>
            <w:r>
              <w:t xml:space="preserve">0.703</w:t>
            </w:r>
          </w:p>
        </w:tc>
        <w:tc>
          <w:tcPr/>
          <w:p>
            <w:pPr>
              <w:pStyle w:val="Compact"/>
              <w:jc w:val="right"/>
            </w:pPr>
            <w:r>
              <w:t xml:space="preserve">0.698</w:t>
            </w:r>
          </w:p>
        </w:tc>
        <w:tc>
          <w:tcPr/>
          <w:p>
            <w:pPr>
              <w:pStyle w:val="Compact"/>
              <w:jc w:val="right"/>
            </w:pPr>
            <w:r>
              <w:t xml:space="preserve">0.612</w:t>
            </w:r>
          </w:p>
        </w:tc>
      </w:tr>
      <w:tr>
        <w:tc>
          <w:tcPr/>
          <w:p>
            <w:pPr>
              <w:pStyle w:val="Compact"/>
              <w:jc w:val="left"/>
            </w:pPr>
            <w:r>
              <w:t xml:space="preserve">Qwen2.5-0.5B, Base → Instruct</w:t>
            </w:r>
          </w:p>
        </w:tc>
        <w:tc>
          <w:tcPr/>
          <w:p>
            <w:pPr>
              <w:pStyle w:val="Compact"/>
              <w:jc w:val="right"/>
            </w:pPr>
            <w:r>
              <w:t xml:space="preserve">0.630</w:t>
            </w:r>
          </w:p>
        </w:tc>
        <w:tc>
          <w:tcPr/>
          <w:p>
            <w:pPr>
              <w:pStyle w:val="Compact"/>
              <w:jc w:val="right"/>
            </w:pPr>
            <w:r>
              <w:t xml:space="preserve">0.658</w:t>
            </w:r>
          </w:p>
        </w:tc>
        <w:tc>
          <w:tcPr/>
          <w:p>
            <w:pPr>
              <w:pStyle w:val="Compact"/>
              <w:jc w:val="right"/>
            </w:pPr>
            <w:r>
              <w:t xml:space="preserve">0.433</w:t>
            </w:r>
          </w:p>
        </w:tc>
      </w:tr>
    </w:tbl>
    <w:p>
      <w:pPr>
        <w:pStyle w:val="BodyText"/>
      </w:pPr>
      <w:r>
        <w:rPr>
          <w:iCs/>
          <w:i/>
        </w:rPr>
        <w:t xml:space="preserve">Table B.1. Recovery rates and compute-only cost ratios on five open model pairs.</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Cost is forward passes plus per-layer linear algebra. Full protocol: public checkpoints from EleutherAI/pythia-160m (steps 73000, 113000, 133000 → 143000), HuggingFaceTB/SmolLM2-360M, and Qwen/Qwen2.5-0.5B; rank-8 LoRA on every linear layer in the decoder; 500 GSM8K training problems; 300 AdamW steps; 128 unlabeled calibration prompts.</w:t>
      </w:r>
    </w:p>
    <w:bookmarkEnd w:id="43"/>
    <w:bookmarkStart w:id="44" w:name="appendix-c.-date-verification"/>
    <w:p>
      <w:pPr>
        <w:pStyle w:val="Heading2"/>
      </w:pPr>
      <w:r>
        <w:t xml:space="preserve">Appendix C.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rPr>
                <w:bCs/>
                <w:b/>
              </w:rPr>
              <w:t xml:space="preserve">[VERIFY against model cards before submission]</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44"/>
    <w:bookmarkStart w:id="45" w:name="appendix-d.-replication-materials"/>
    <w:p>
      <w:pPr>
        <w:pStyle w:val="Heading2"/>
      </w:pPr>
      <w:r>
        <w:t xml:space="preserve">Appendix D. Replication Materials</w:t>
      </w:r>
    </w:p>
    <w:p>
      <w:pPr>
        <w:pStyle w:val="FirstParagraph"/>
      </w:pPr>
      <w:r>
        <w:t xml:space="preserve">The replication package contains the release-history file, the intensity-estimation script, the robustness script, the owner-model and dynamic-threshold scripts, the figure script, and saved numerical output. It does not contain weights or training logs from the five small-model pairs; those are calibration inputs described in Appendix B. No proprietary or subscription data are used. An anonymized copy of the package will be provided to reviewers on request.</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Sets the Clock? Release Cadence, Compatibility Tools, and the Maintenance of Complementary Assets on Foundation-Model Platforms</dc:title>
  <dc:creator/>
  <cp:keywords/>
  <dcterms:created xsi:type="dcterms:W3CDTF">2026-10-29T05:04:32Z</dcterms:created>
  <dcterms:modified xsi:type="dcterms:W3CDTF">2026-10-29T05:04:32Z</dcterms:modified>
</cp:coreProperties>
</file>

<file path=docProps/custom.xml><?xml version="1.0" encoding="utf-8"?>
<Properties xmlns="http://schemas.openxmlformats.org/officeDocument/2006/custom-properties" xmlns:vt="http://schemas.openxmlformats.org/officeDocument/2006/docPropsVTypes"/>
</file>