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[Author names and affiliations — to be added]</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seems to depend on the state. In 410 tariff and trade tweets, prior uncertainty is supported (Holm-adjusted p &lt; 0.001) although it is confounded with volatility clustering, novelty and the interaction are not, responses in the expected direction are small (0.05–0.09% of the index), and a pre-registered state-dependent sign proposition fails, in the opposite direction.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for the news-media precursor, Tetlock 2007), and the closest work on presidential communication studies tweets and firm values or intraday reactions (Born et al. 2017; Ge et al. [verify]).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independent 2017–2021 samples of the same author’s tweets (oil and Iran; tariffs and trade) under plans registered before returns were examined: the propositions about novelty and the interaction are not supported in either, prior uncertainty is supported in the tariff tweets with a volatility-clustering caveat, the sign of the oil response differs between the closed-strait and open-strait periods, and a pre-registered state-dependent sign proposition fails.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seven propositions, each with a pre-registered operationalization (P1–P5 in Section 3.5; P6 and P7 in the plans cited in Sections 4.3 and 4.8).</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 (P6 is not supported in the pre-registered test of Section 4.8.)</w:t>
      </w:r>
      <w:r>
        <w:t xml:space="preserve"> </w:t>
      </w:r>
      <w:r>
        <w:t xml:space="preserve">P7 (timing surprisal): a post also carries information in when it arrives. If the market holds a predictive distribution over the poster’s timing, a post at an improbable time has high surprisal, S = −ln f(gap | past), and, holding content novelty, prior uncertainty and market state constant, should be followed by a larger |reaction|. (P7 is not supported; Section 4.3.)</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3"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p>
      <w:pPr>
        <w:pStyle w:val="BodyText"/>
      </w:pPr>
      <w:r>
        <w:rPr>
          <w:bCs/>
          <w:b/>
        </w:rPr>
        <w:t xml:space="preserve">Alternative arrival models and other accounts.</w:t>
      </w:r>
      <w:r>
        <w:t xml:space="preserve"> </w:t>
      </w:r>
      <w:r>
        <w:t xml:space="preserve">Poisson is not the only candidate, and the negative binomial (a Poisson–Gamma mixture) is a particular one. Table 0 compares daily-count models by AIC for the Truth Social series, for the 2017–2021 Twitter series (all original tweets and the two topic subsets of Sections 4.7–4.8),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pre-registered comparison with matched ordinary accounts is specified (ANALYSIS_PLAN_ACCOUNTS.md)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0. Alternative models for the arrival of posts (ΔAIC relative to the best model in each row; Poisson ΔAIC 150 to 3,700 in all rows; descriptive, not pre-registered; RESULTS_ARRIVALS_MODELS.md).</w:t>
      </w:r>
    </w:p>
    <w:p>
      <w:pPr>
        <w:pStyle w:val="BodyText"/>
      </w:pPr>
      <w:r>
        <w:rPr>
          <w:bCs/>
          <w:b/>
        </w:rPr>
        <w:t xml:space="preserve">Do external events explain the over-dispersion?</w:t>
      </w:r>
      <w:r>
        <w:t xml:space="preserve"> </w:t>
      </w: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(ANALYSIS_PLAN_EVENTS.md).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p>
      <w:pPr>
        <w:pStyle w:val="BodyText"/>
      </w:pPr>
      <w:r>
        <w:rPr>
          <w:bCs/>
          <w:b/>
        </w:rPr>
        <w:t xml:space="preserve">Matched-hour placebo and pre-post drift.</w:t>
      </w:r>
      <w:r>
        <w:t xml:space="preserve"> </w:t>
      </w:r>
      <w:r>
        <w:t xml:space="preserve">To check that the co-movement is not an artefact of the hours in which posts happen to fall, we drew fake post times in the same clock hour on neighbouring days (with the same weekday status, at least two hours from any labelled post; 10,000 draws; ANALYSIS_PLAN_H5C_H8.md). On the adjudicated human-labelled posts (26 de-escalation, 14 escalation, after a three-hour cluster filter), the mean directional 30-minute return after the post is +0.62% for de-escalation and +0.53% for escalation, against placebo means of +0.05% and 95th percentiles of 0.22% and 0.26% (shares of placebo draws at least as large: below 0.0001 and 0.0003). The same test with model labels gives smaller but comparable results. The 30 minutes before the post also exceed the placebo for de-escalation (+0.57%, and +0.86% over the preceding hour; both below 0.0001) and, on the 30-minute window only, for escalation (+0.29%, p = 0.016). Tick counts in the half hour before a de-escalation post are 28% above those of comparable hours. We therefore describe the pre-post movement as drift larger than in comparable hours whose cause is not identified: it does not show leakage or the conduct of any party, and the market may be reacting to news that the post then repeats. Which of the three posting classes was reported first elsewhere makes no difference to the pre-post drift (30 events, p = 0.90).</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replication,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robustness, TF-IDF novelty</w:t>
            </w:r>
          </w:p>
        </w:tc>
        <w:tc>
          <w:tcPr/>
          <w:p>
            <w:pPr>
              <w:pStyle w:val="Compact"/>
              <w:jc w:val="left"/>
            </w:pPr>
            <w:r>
              <w:t xml:space="preserve">+0.52 (SE 0.36)</w:t>
            </w:r>
          </w:p>
        </w:tc>
        <w:tc>
          <w:tcPr/>
          <w:p>
            <w:pPr>
              <w:pStyle w:val="Compact"/>
              <w:jc w:val="left"/>
            </w:pPr>
            <w:r>
              <w:t xml:space="preserve">0.073</w:t>
            </w:r>
          </w:p>
        </w:tc>
        <w:tc>
          <w:tcPr/>
          <w:p>
            <w:pPr>
              <w:pStyle w:val="Compact"/>
              <w:jc w:val="left"/>
            </w:pPr>
            <w:r>
              <w:t xml:space="preserve">—</w:t>
            </w:r>
          </w:p>
        </w:tc>
      </w:tr>
      <w:tr>
        <w:tc>
          <w:tcPr/>
          <w:p>
            <w:pPr>
              <w:pStyle w:val="Compact"/>
              <w:jc w:val="left"/>
            </w:pPr>
            <w:r>
              <w:t xml:space="preserve">P2 prior uncertainty U</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P3 N_c × U</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Supported (marginal)</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Consistent</w:t>
            </w:r>
          </w:p>
        </w:tc>
      </w:tr>
      <w:tr>
        <w:tc>
          <w:tcPr/>
          <w:p>
            <w:pPr>
              <w:pStyle w:val="Compact"/>
              <w:jc w:val="left"/>
            </w:pPr>
            <w:r>
              <w:t xml:space="preserve">P7 timing surprisal S (pooled, n = 685)</w:t>
            </w:r>
          </w:p>
        </w:tc>
        <w:tc>
          <w:tcPr/>
          <w:p>
            <w:pPr>
              <w:pStyle w:val="Compact"/>
              <w:jc w:val="left"/>
            </w:pPr>
            <w:r>
              <w:t xml:space="preserve">+0.04 SD (SE 0.065)</w:t>
            </w:r>
          </w:p>
        </w:tc>
        <w:tc>
          <w:tcPr/>
          <w:p>
            <w:pPr>
              <w:pStyle w:val="Compact"/>
              <w:jc w:val="left"/>
            </w:pPr>
            <w:r>
              <w:t xml:space="preserve">0.27</w:t>
            </w:r>
          </w:p>
        </w:tc>
        <w:tc>
          <w:tcPr/>
          <w:p>
            <w:pPr>
              <w:pStyle w:val="Compact"/>
              <w:jc w:val="left"/>
            </w:pPr>
            <w:r>
              <w:t xml:space="preserve">Not supported</w:t>
            </w:r>
          </w:p>
        </w:tc>
      </w:tr>
      <w:tr>
        <w:tc>
          <w:tcPr/>
          <w:p>
            <w:pPr>
              <w:pStyle w:val="Compact"/>
              <w:jc w:val="left"/>
            </w:pPr>
            <w:r>
              <w:t xml:space="preserve">P5 redundancy</w:t>
            </w:r>
          </w:p>
        </w:tc>
        <w:tc>
          <w:tcPr/>
          <w:p>
            <w:pPr>
              <w:pStyle w:val="Compact"/>
              <w:jc w:val="left"/>
            </w:pPr>
            <w:r>
              <w:t xml:space="preserve">corr(N_c, same-topic posts in prior 24 h) −0.10</w:t>
            </w:r>
          </w:p>
        </w:tc>
        <w:tc>
          <w:tcPr/>
          <w:p>
            <w:pPr>
              <w:pStyle w:val="Compact"/>
              <w:jc w:val="left"/>
            </w:pPr>
            <w:r>
              <w:t xml:space="preserve">—</w:t>
            </w:r>
          </w:p>
        </w:tc>
        <w:tc>
          <w:tcPr/>
          <w:p>
            <w:pPr>
              <w:pStyle w:val="Compact"/>
              <w:jc w:val="left"/>
            </w:pPr>
            <w: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(ANALYSIS_PLAN_TIMING.md,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5dc7f9b3b0e8d4672e4bbe835f31e80bcbadda9"/>
    <w:p>
      <w:pPr>
        <w:pStyle w:val="Heading3"/>
      </w:pPr>
      <w:r>
        <w:t xml:space="preserve">4.8 A pre-registered test in the tariff and trade tweets</w:t>
      </w:r>
    </w:p>
    <w:p>
      <w:pPr>
        <w:pStyle w:val="FirstParagraph"/>
      </w:pPr>
      <w:r>
        <w:t xml:space="preserve">The state-dependence reading of Section 4.7 was formed after the oil results, so it could not be tested on them. For the tariff, trade, and China tweets of 2017–2021 (937 original tweets; 632 after the three-hour filter; 410 with a tick window of the S&amp;P 500 index CFD; labels from two model instances, κ = 0.80, human labels pending)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have not been analysed [to be completed before submission].</w:t>
      </w:r>
    </w:p>
    <w:bookmarkEnd w:id="51"/>
    <w:bookmarkStart w:id="52" w:name="Xf655f0ebd1e15d3db48b53f73279bc9929d44ce"/>
    <w:p>
      <w:pPr>
        <w:pStyle w:val="Heading3"/>
      </w:pPr>
      <w:r>
        <w:t xml:space="preserve">4.9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(ANALYSIS_PLAN_LLM_RELEASES.md; ANALYSIS_PLAN_LLM_STOCK.md).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4.2)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52"/>
    <w:bookmarkEnd w:id="53"/>
    <w:bookmarkStart w:id="59" w:name="discussion"/>
    <w:p>
      <w:pPr>
        <w:pStyle w:val="Heading2"/>
      </w:pPr>
      <w:r>
        <w:t xml:space="preserve">5. Discussion</w:t>
      </w:r>
    </w:p>
    <w:bookmarkStart w:id="54" w:name="what-the-evidence-supports"/>
    <w:p>
      <w:pPr>
        <w:pStyle w:val="Heading3"/>
      </w:pPr>
      <w:r>
        <w:t xml:space="preserve">5.1 What the evidence supports</w:t>
      </w:r>
    </w:p>
    <w:p>
      <w:pPr>
        <w:pStyle w:val="FirstParagraph"/>
      </w:pPr>
      <w:r>
        <w:t xml:space="preserve">The evidence supports a small number of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in the oil samples the sign of the directional response differed between the closed-strait and open-strait periods: with the strait closed, de-escalation moved oil; with it open, escalation did. We offered the proposition that this reflects the prior (P6), and the pre-registered test in the tariff tweets rejected it, so the difference remains an observation we cannot yet explain. Sixth, the timing of a post, as opposed to its content, carries no detectable additional information about the 30-minute reaction (P7). Seventh, posting is not Poisson in any series we examined; it is overdispersed and, in multi-year series, self-exciting, a pattern that Elon Musk’s account also shows. Taken together, the measurable implications of the information-theoretic account that held are the descriptive ones (mutual information in the closure sample, and prior uncertainty in the volatility-confounded tariff sample); those about novelty, interaction, state-dependent sign and timing did not. An exploratory probe of another actor who times his own events, LLM developers, found the same non-Poisson, calendar-bound arrival and larger absolute market moves on release days, without a direction (Section 4.9). Daily conflict events remove at most a quarter of the dispersion of posting, so an account in which posts merely report Poisson external events is not supported (Section 4.1).</w:t>
      </w:r>
    </w:p>
    <w:bookmarkEnd w:id="54"/>
    <w:bookmarkStart w:id="55"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5"/>
    <w:bookmarkStart w:id="56"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6"/>
    <w:bookmarkStart w:id="57" w:name="limitations"/>
    <w:p>
      <w:pPr>
        <w:pStyle w:val="Heading3"/>
      </w:pPr>
      <w:r>
        <w:t xml:space="preserve">5.4 Limitations</w:t>
      </w:r>
    </w:p>
    <w:p>
      <w:pPr>
        <w:pStyle w:val="FirstParagraph"/>
      </w:pPr>
      <w:r>
        <w:t xml:space="preserve">The tests of Sections 4.1 and 4.9 (arrival models, event explanation, LLM releases) were run after the main results were seen and are exploratory; the event counts come from a media-based database that the posts themselves influence, the release list is crowd-edited, and the 31 listed-developer releases give little power. 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tariff sample loses 35% of events to closed markets, relies on model labels that humans accept for only about half of the model-agreed signals, and its supported uncertainty result is confounded with volatility clustering.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7"/>
    <w:bookmarkStart w:id="58" w:name="future-research"/>
    <w:p>
      <w:pPr>
        <w:pStyle w:val="Heading3"/>
      </w:pPr>
      <w:r>
        <w:t xml:space="preserve">5.5 Future research</w:t>
      </w:r>
    </w:p>
    <w:p>
      <w:pPr>
        <w:pStyle w:val="FirstParagraph"/>
      </w:pPr>
      <w:r>
        <w:t xml:space="preserve">The most informative next steps are a pre-registered comparison of dispersion and self-excitation between accounts of people who use posts to influence others and matched ordinary accounts (ANALYSIS_PLAN_ACCOUNTS.md; registered, not run, because suitable data have not been established), a comparison group of externally caused events for the self-timed-event probe, release times of day for tick-level analysis of releases, and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8"/>
    <w:bookmarkEnd w:id="59"/>
    <w:bookmarkStart w:id="60"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60"/>
    <w:bookmarkStart w:id="61"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1"/>
    <w:bookmarkStart w:id="62" w:name="references"/>
    <w:p>
      <w:pPr>
        <w:pStyle w:val="Heading2"/>
      </w:pPr>
      <w:r>
        <w:t xml:space="preserve">References</w:t>
      </w:r>
    </w:p>
    <w:p>
      <w:pPr>
        <w:pStyle w:val="FirstParagraph"/>
      </w:pPr>
      <w:r>
        <w:t xml:space="preserve">[All references must be checked against the originals, including volume, page, and year, before submission; items marked</w:t>
      </w:r>
      <w:r>
        <w:t xml:space="preserve"> </w:t>
      </w:r>
      <w:r>
        <w:t xml:space="preserve">“</w:t>
      </w:r>
      <w:r>
        <w:t xml:space="preserve">verify</w:t>
      </w:r>
      <w:r>
        <w:t xml:space="preserve">”</w:t>
      </w:r>
      <w:r>
        <w:t xml:space="preserve"> </w:t>
      </w:r>
      <w:r>
        <w:t xml:space="preserve">are not confirmed.]</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[verify].</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[verify].</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[verify].</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J. Gleditsch (ed.), Cham: Springer, pp. 113–127. [verify]</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[year].</w:t>
      </w:r>
      <w:r>
        <w:t xml:space="preserve"> </w:t>
      </w:r>
      <w:r>
        <w:t xml:space="preserve">“</w:t>
      </w:r>
      <w:r>
        <w:t xml:space="preserve">Stock Market Reactions to Presidential Social Media Usage: Evidence from Company-Specific Tweets,</w:t>
      </w:r>
      <w:r>
        <w:t xml:space="preserve">”</w:t>
      </w:r>
      <w:r>
        <w:t xml:space="preserve"> </w:t>
      </w:r>
      <w:r>
        <w:t xml:space="preserve">[journal, volume, pages] [verify].</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[verify]</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Database of Events, Language, and Tone,</w:t>
      </w:r>
      <w:r>
        <w:t xml:space="preserve">”</w:t>
      </w:r>
      <w:r>
        <w:t xml:space="preserve"> </w:t>
      </w:r>
      <w:r>
        <w:t xml:space="preserve">paper presented at the International Studies Association Annual Convention. [verify]</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[verify]</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Pittsburgh: Boxwood Press. [verify]</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2"/>
    <w:bookmarkStart w:id="63"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(de-escalation +0.62 vs placebo 95th pct 0.22; escalation +0.53 vs 0.26); H8a: pre-post drift also exceeds placebo for de-escalation (+0.57, +0.86)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supported for de-escalation (p = 0.0002, 0.030); escalation +0.48% (p = 0.007)</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supported (p = 0.041)</w:t>
            </w:r>
          </w:p>
        </w:tc>
      </w:tr>
    </w:tbl>
    <w:bookmarkEnd w:id="63"/>
    <w:bookmarkStart w:id="64"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4"/>
    <w:bookmarkStart w:id="65"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5"/>
    <w:bookmarkEnd w:id="66"/>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2026-10-14T22:17:12Z</dcterms:created>
  <dcterms:modified xsi:type="dcterms:W3CDTF">2026-10-14T22:17:12Z</dcterms:modified>
</cp:coreProperties>
</file>

<file path=docProps/custom.xml><?xml version="1.0" encoding="utf-8"?>
<Properties xmlns="http://schemas.openxmlformats.org/officeDocument/2006/custom-properties" xmlns:vt="http://schemas.openxmlformats.org/officeDocument/2006/docPropsVTypes"/>
</file>