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increasingly read as evidence that creative work is being displaced. Information systems research separates acquiring an innovation from assimilating it into work. We model a firm that reassigns a visual task to a generator only when output acceptance exceeds a threshold set by generation, review, and human production costs. Review cost depends on organizational complements, so near-free acquisition can run ahead of assimilation. Eurostat data show that 9.6 percent of EU firms use AI that generates pictures, video, or audio, and that firms which considered AI cite missing expertise (70 percent) and legal uncertainty (54 percent) far more than lack of usefulness (18 percent). A detectability bound shows that European and Canadian job-advert designs could not detect even complete assimilation at platform-sized effects; the small gradients they find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 xml:space="preserve">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 xml:space="preserve">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It provides a detectability bound that tells researchers when occupation-level hiring designs can and cannot be informative about generative-AI assimilation, and it shows that a common empirical strategy currently attributes to the technology declines that the technology cannot have produced.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A large literature maps AI capabilities onto occupational tasks (Webb 2020; Felten, Raj, and Seamans 2021; Eloundou et al. 2023). Exposure measures describe where a technology could matter, not where it has been acquired or assimilated. Task-based models separate displacement, reinstatement, and productivity effects of automation (Acemoglu and Restrepo 2018, 2019), and models of unbalanced growth show that tasks that cannot be automated become bottlenecks (Baumol 1967; Aghion, Jones, and Jones 2019); we use both ideas in Section 3.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Cs/>
          <w:color w:val="000000"/>
          <w:sz w:val="24"/>
          <w:szCs w:val="24"/>
        </w:rPr>
        <w:t>3.4 Review as a Bottleneck Task</w:t>
      </w:r>
    </w:p>
    <w:p>
      <w:pPr>
        <w:spacing w:after="160" w:line="276"/>
        <w:jc w:val="both"/>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276"/>
        <w:jc w:val="both"/>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276"/>
        <w:jc w:val="both"/>
      </w:pPr>
      <w:r>
        <w:rPr>
          <w:rFonts w:ascii="Times New Roman" w:cs="Times New Roman" w:eastAsia="Times New Roman" w:hAnsi="Times New Roman"/>
        </w:rPr>
        <w:t xml:space="preserve">The floor is a bottleneck in the sense of Baumol (1967) and Aghion, Jones, and Jones (2019): when a task that can be automated is complementary to one that cannot, the task that cannot be automated becomes the binding constraint, and its share of the remaining labor rises as the generator improves.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spacing w:after="120" w:before="280"/>
      </w:pPr>
      <w:r>
        <w:rPr>
          <w:rFonts w:ascii="Times New Roman" w:cs="Times New Roman" w:eastAsia="Times New Roman" w:hAnsi="Times New Roman"/>
          <w:bCs/>
          <w:color w:val="000000"/>
          <w:sz w:val="24"/>
          <w:szCs w:val="24"/>
        </w:rPr>
        <w:t>3.5 Displacement, Reinstatement, and Scale</w:t>
      </w:r>
    </w:p>
    <w:p>
      <w:pPr>
        <w:spacing w:after="160" w:line="276"/>
        <w:jc w:val="both"/>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276"/>
        <w:jc w:val="both"/>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and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276"/>
        <w:jc w:val="both"/>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spacing w:after="120" w:before="280"/>
      </w:pPr>
      <w:r>
        <w:rPr>
          <w:rFonts w:ascii="Times New Roman" w:cs="Times New Roman" w:eastAsia="Times New Roman" w:hAnsi="Times New Roman"/>
          <w:bCs/>
          <w:color w:val="000000"/>
          <w:sz w:val="24"/>
          <w:szCs w:val="24"/>
        </w:rPr>
        <w:t>3.6 Adjustment Through Attrition</w:t>
      </w:r>
    </w:p>
    <w:p>
      <w:pPr>
        <w:spacing w:after="160" w:line="276"/>
        <w:jc w:val="both"/>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276"/>
        <w:jc w:val="both"/>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276"/>
        <w:jc w:val="both"/>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spacing w:after="120" w:before="280"/>
      </w:pPr>
      <w:r>
        <w:rPr>
          <w:rFonts w:ascii="Times New Roman" w:cs="Times New Roman" w:eastAsia="Times New Roman" w:hAnsi="Times New Roman"/>
          <w:bCs/>
          <w:color w:val="000000"/>
          <w:sz w:val="24"/>
          <w:szCs w:val="24"/>
        </w:rPr>
        <w:t>3.7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2"/>
        <w:spacing w:after="120" w:before="280"/>
      </w:pPr>
      <w:r>
        <w:rPr>
          <w:rFonts w:ascii="Times New Roman" w:cs="Times New Roman" w:eastAsia="Times New Roman" w:hAnsi="Times New Roman"/>
          <w:bCs/>
          <w:color w:val="000000"/>
          <w:sz w:val="24"/>
          <w:szCs w:val="24"/>
        </w:rPr>
        <w:t>7.5 Sector-Level Acquisition and Employment</w:t>
      </w:r>
    </w:p>
    <w:p>
      <w:pPr>
        <w:spacing w:after="160" w:line="276"/>
        <w:jc w:val="both"/>
      </w:pPr>
      <w:r>
        <w:rPr>
          <w:rFonts w:ascii="Times New Roman" w:cs="Times New Roman" w:eastAsia="Times New Roman" w:hAnsi="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correlates 0.59 across 20 sectors with the sector’s reported employee-change index (descriptive only).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would imply a coefficient of about −0.053 times </w:t>
      </w:r>
      <w:r>
        <w:rPr>
          <w:rFonts w:ascii="Times New Roman" w:cs="Times New Roman" w:eastAsia="Times New Roman" w:hAnsi="Times New Roman"/>
          <w:i/>
        </w:rPr>
        <w:t>s</w:t>
      </w:r>
      <w:r>
        <w:rPr>
          <w:rFonts w:ascii="Times New Roman" w:cs="Times New Roman" w:eastAsia="Times New Roman" w:hAnsi="Times New Roman"/>
        </w:rPr>
        <w:t xml:space="preserve">, the share of sector employment in visual-production occupations, per standard deviation of acquisition. Because </w:t>
      </w:r>
      <w:r>
        <w:rPr>
          <w:rFonts w:ascii="Times New Roman" w:cs="Times New Roman" w:eastAsia="Times New Roman" w:hAnsi="Times New Roman"/>
          <w:i/>
        </w:rPr>
        <w:t>s</w:t>
      </w:r>
      <w:r>
        <w:rPr>
          <w:rFonts w:ascii="Times New Roman" w:cs="Times New Roman" w:eastAsia="Times New Roman" w:hAnsi="Times New Roman"/>
        </w:rPr>
        <w:t xml:space="preserve"> 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Cs/>
          <w:color w:val="000000"/>
          <w:sz w:val="24"/>
          <w:szCs w:val="24"/>
        </w:rPr>
        <w:t>10.2 A Macroeconomic Reading</w:t>
      </w:r>
    </w:p>
    <w:p>
      <w:pPr>
        <w:spacing w:after="160" w:line="276"/>
        <w:jc w:val="both"/>
      </w:pPr>
      <w:r>
        <w:rPr>
          <w:rFonts w:ascii="Times New Roman" w:cs="Times New Roman" w:eastAsia="Times New Roman" w:hAnsi="Times New Roman"/>
        </w:rPr>
        <w:t>The results fit a standard macroeconomic account of technology shocks. General-purpose technologies take effect only after complementary investments in organization and skills, so adoption can run ahead of measured effects (David 1990; Bresnahan and Trajtenberg 1995; Brynjolfsson, Rock, and Syverson 2021). The task-based framework (Acemoglu and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w:t>
      </w:r>
    </w:p>
    <w:p>
      <w:pPr>
        <w:spacing w:after="160" w:line="276"/>
        <w:jc w:val="both"/>
      </w:pPr>
      <w:r>
        <w:rPr>
          <w:rFonts w:ascii="Times New Roman" w:cs="Times New Roman" w:eastAsia="Times New Roman" w:hAnsi="Times New Roman"/>
        </w:rPr>
        <w:t>Two features of labor adjustment shape what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spacing w:after="160" w:line="276"/>
        <w:jc w:val="both"/>
      </w:pPr>
      <w:r>
        <w:rPr>
          <w:rFonts w:ascii="Times New Roman" w:cs="Times New Roman" w:eastAsia="Times New Roman" w:hAnsi="Times New Roman"/>
        </w:rPr>
        <w:t>On timing, the evidence supports neither a prediction that effects will take decades nor the view that the future cannot be known. Table 6 gives earliest detection dates that range from 2025 for very large effects in high-acquisition sectors to 2035 for moderate effects under slow diffusion in the average firm, and never, in this design, for platform-sized effects. What the data cannot say is whether assimilation is occurring now. Answering that requires firm-level data that link use, complementary assets, task reassignment, and hiring.</w:t>
      </w:r>
    </w:p>
    <w:p>
      <w:pPr>
        <w:pStyle w:val="Heading2"/>
        <w:spacing w:after="120" w:before="280"/>
      </w:pPr>
      <w:r>
        <w:rPr>
          <w:rFonts w:ascii="Times New Roman" w:cs="Times New Roman" w:eastAsia="Times New Roman" w:hAnsi="Times New Roman"/>
          <w:bCs/>
          <w:color w:val="000000"/>
          <w:sz w:val="24"/>
          <w:szCs w:val="24"/>
        </w:rPr>
        <w:t>10.3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Cs/>
          <w:color w:val="000000"/>
          <w:sz w:val="24"/>
          <w:szCs w:val="24"/>
        </w:rPr>
        <w:t>10.4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Cs/>
          <w:color w:val="000000"/>
          <w:sz w:val="26"/>
          <w:szCs w:val="26"/>
        </w:rPr>
        <w:t>Appendix C. Derivations for Section 3</w:t>
      </w:r>
    </w:p>
    <w:p>
      <w:pPr>
        <w:spacing w:after="160" w:line="276"/>
        <w:jc w:val="both"/>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276"/>
        <w:jc w:val="both"/>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276"/>
        <w:jc w:val="both"/>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Acemoglu, D., and Restrepo, P. 2018. The race between man and machine: Implications of technology for growth, factor shares, and employment.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108(6):1488–1542.</w:t>
      </w:r>
    </w:p>
    <w:p>
      <w:pPr>
        <w:spacing w:after="100"/>
        <w:ind w:left="360" w:hanging="360"/>
      </w:pPr>
      <w:r>
        <w:rPr>
          <w:rFonts w:ascii="Times New Roman" w:cs="Times New Roman" w:eastAsia="Times New Roman" w:hAnsi="Times New Roman"/>
          <w:sz w:val="21"/>
          <w:szCs w:val="21"/>
        </w:rPr>
        <w:t xml:space="preserve">Acemoglu, D., and Restrepo, P. 2019. Automation and new tasks: How technology displaces and reinstates labor. </w:t>
      </w:r>
      <w:r>
        <w:rPr>
          <w:rFonts w:ascii="Times New Roman" w:cs="Times New Roman" w:eastAsia="Times New Roman" w:hAnsi="Times New Roman"/>
          <w:i/>
          <w:sz w:val="21"/>
          <w:szCs w:val="21"/>
        </w:rPr>
        <w:t>Journal of Economic Perspectives</w:t>
      </w:r>
      <w:r>
        <w:rPr>
          <w:rFonts w:ascii="Times New Roman" w:cs="Times New Roman" w:eastAsia="Times New Roman" w:hAnsi="Times New Roman"/>
          <w:sz w:val="21"/>
          <w:szCs w:val="21"/>
        </w:rPr>
        <w:t xml:space="preserve"> 33(2):3–30.</w:t>
      </w:r>
    </w:p>
    <w:p>
      <w:pPr>
        <w:spacing w:after="100"/>
        <w:ind w:left="360" w:hanging="360"/>
      </w:pPr>
      <w:r>
        <w:rPr>
          <w:rFonts w:ascii="Times New Roman" w:cs="Times New Roman" w:eastAsia="Times New Roman" w:hAnsi="Times New Roman"/>
          <w:sz w:val="21"/>
          <w:szCs w:val="21"/>
        </w:rPr>
        <w:t xml:space="preserve">Aghion, P., Jones, B. F., and Jones, C. I. 2019. Artificial intelligence and economic growth. In </w:t>
      </w:r>
      <w:r>
        <w:rPr>
          <w:rFonts w:ascii="Times New Roman" w:cs="Times New Roman" w:eastAsia="Times New Roman" w:hAnsi="Times New Roman"/>
          <w:i/>
          <w:sz w:val="21"/>
          <w:szCs w:val="21"/>
        </w:rPr>
        <w:t>The Economics of Artificial Intelligence: An Agenda</w:t>
      </w:r>
      <w:r>
        <w:rPr>
          <w:rFonts w:ascii="Times New Roman" w:cs="Times New Roman" w:eastAsia="Times New Roman" w:hAnsi="Times New Roman"/>
          <w:sz w:val="21"/>
          <w:szCs w:val="21"/>
        </w:rPr>
        <w:t>, edited by A. Agrawal, J. Gans, and A. Goldfarb. Chicago: University of Chicago Press.</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Baumol, W. J. 1967. Macroeconomics of unbalanced growth: The anatomy of urban crisis.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57(3):415–426.</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U.S. Census Bureau. Business Trends and Outlook Survey (BTOS), sector estimates. Public-use tables.</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