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software maintainability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relative to other debt signals, but do not test the mechanisms.</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 chief among them that the effects depend on the order of events and not on the quality of the tool.</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is written for information systems researchers who study the value, risks, and governance of AI tools in organizations, and for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changes the order of events in the decision. Before assistance, E and Q are compared before either exists, and both lie in the future. With assistance, an implementation, often an instance of E, exists as soon as the prompt returns, and the developer’s decision becomes whether to accept it or to do more work. We call this the</w:t>
      </w:r>
      <w:r>
        <w:t xml:space="preserve"> </w:t>
      </w:r>
      <w:r>
        <w:rPr>
          <w:iCs/>
          <w:i/>
        </w:rPr>
        <w:t xml:space="preserve">frame shift</w:t>
      </w:r>
      <w:r>
        <w:t xml:space="preserve"> </w:t>
      </w:r>
      <w:r>
        <w:t xml:space="preserve">and define it by a single structural condition: the frame has shifted when the implementation is generated before the quality decision is made. The shifted frame has three features, each of which engages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rPr>
          <w:bCs/>
          <w:b/>
        </w:rPr>
        <w:t xml:space="preserve">Why this is a structural claim and not a relabeling of known biases.</w:t>
      </w:r>
      <w:r>
        <w:t xml:space="preserve"> </w:t>
      </w:r>
      <w:r>
        <w:t xml:space="preserve">Each bias in our account is familiar, and we do not claim otherwise. The claim concerns</w:t>
      </w:r>
      <w:r>
        <w:t xml:space="preserve"> </w:t>
      </w:r>
      <w:r>
        <w:rPr>
          <w:iCs/>
          <w:i/>
        </w:rPr>
        <w:t xml:space="preserve">when they bind</w:t>
      </w:r>
      <w:r>
        <w:t xml:space="preserve">. Present bias, loss aversion, imperfect perception, and default effects are properties of people and interfaces that exist in any setting, but whether one of them affects a particular decision depends on the decision’s structure, and the frame shift is what gives each of them something to act on. Present bias requires a cost that arrives before the benefit it buys. In the choice regime the extra effort of building quality and the rework it avoids both lie in the future, so present bias scales both sides of the comparison equally and drops out. Loss aversion requires a reference point, and before generation there is no artifact whose removal could be felt as a loss. Imperfect perception requires something to perceive: a developer who writes a shortcut knows that she has, whereas one who receives a polished artifact must decide whether to inspect it, an information problem that does not exist before generation. A default requires an option that is already selected for her. Lemma 1 in Section 4.3 makes this precise. In the choice regime, the probability of debt, the self-admitted share, and the lapse rate are the same for every value of the four wedges; in the acceptance regime, debt depends on each of them. The biases are latent before generation and active after it. What the technology changes is not how biased the developer is but which decision those biases apply to.</w:t>
      </w:r>
    </w:p>
    <w:p>
      <w:pPr>
        <w:pStyle w:val="BodyText"/>
      </w:pPr>
      <w:r>
        <w:t xml:space="preserve">This structure gives the theory empirical content that a list of biases does not.</w:t>
      </w:r>
      <w:r>
        <w:t xml:space="preserve"> </w:t>
      </w:r>
      <w:r>
        <w:rPr>
          <w:iCs/>
          <w:i/>
        </w:rPr>
        <w:t xml:space="preserve">First, the wedges should depend on the order of events and on little else.</w:t>
      </w:r>
      <w:r>
        <w:t xml:space="preserve"> </w:t>
      </w:r>
      <w:r>
        <w:t xml:space="preserve">Hold fixed the developer, the tool, the quality of the artifact, the stated costs, and the value of speed, and move the quality decision before generation, for example by requiring the developer to commit to an expedient-or-quality approach before the assistant produces code. The possession effect, the lapse of planned refactoring, and the self-admitted share should then return to their rational values (P12). Rational acceleration predicts no such dependence, because it operates through the value of speed and the price of quality, neither of which the order of events changes. A trait account, in which some developers are simply more biased, predicts differences between developers and none within one developer across orderings. And an account that attributes the debt to the lower quality of generated code predicts that decisions about an artifact of a given quality do not depend on when the decision is taken. A rational developer can also behave differently before and after generation if the artifact reveals information about the work ahead; Section 4.7 shows that this channel is bounded by the dispersion of the signal, has a case-dependent sign, and is absent when costs are stated.</w:t>
      </w:r>
      <w:r>
        <w:t xml:space="preserve"> </w:t>
      </w:r>
      <w:r>
        <w:rPr>
          <w:iCs/>
          <w:i/>
        </w:rPr>
        <w:t xml:space="preserve">Second, because the decision is the unit of analysis, the wedge in aggregate debt should scale with the share of work that is generation-first.</w:t>
      </w:r>
      <w:r>
        <w:t xml:space="preserve"> </w:t>
      </w:r>
      <w:r>
        <w:t xml:space="preserve">If a share</w:t>
      </w:r>
      <w:r>
        <w:t xml:space="preserve"> </w:t>
      </w:r>
      <m:oMath>
        <m:r>
          <m:t>θ</m:t>
        </m:r>
      </m:oMath>
      <w:r>
        <w:t xml:space="preserve"> </w:t>
      </w:r>
      <w:r>
        <w:t xml:space="preserve">of tasks is done that way, aggregate debt is</w:t>
      </w:r>
      <w:r>
        <w:t xml:space="preserve"> </w:t>
      </w:r>
      <m:oMath>
        <m:d>
          <m:dPr>
            <m:begChr m:val="("/>
            <m:endChr m:val=")"/>
            <m:sepChr m:val=""/>
            <m:grow/>
          </m:dPr>
          <m:e>
            <m:r>
              <m:t>1</m:t>
            </m:r>
            <m:r>
              <m:rPr>
                <m:sty m:val="p"/>
              </m:rPr>
              <m:t>−</m:t>
            </m:r>
            <m:r>
              <m:t>θ</m:t>
            </m:r>
          </m:e>
        </m:d>
        <m:sSub>
          <m:e>
            <m:r>
              <m:t>D</m:t>
            </m:r>
          </m:e>
          <m:sub>
            <m:r>
              <m:t>C</m:t>
            </m:r>
          </m:sub>
        </m:sSub>
        <m:r>
          <m:rPr>
            <m:sty m:val="p"/>
          </m:rPr>
          <m:t>+</m:t>
        </m:r>
        <m:r>
          <m:t>θ</m:t>
        </m:r>
        <m:sSub>
          <m:e>
            <m:r>
              <m:t>D</m:t>
            </m:r>
          </m:e>
          <m:sub>
            <m:r>
              <m:t>A</m:t>
            </m:r>
          </m:sub>
        </m:sSub>
      </m:oMath>
      <w:r>
        <w:t xml:space="preserve"> </w:t>
      </w:r>
      <w:r>
        <w:t xml:space="preserve">and its behavioral wedge is</w:t>
      </w:r>
      <w:r>
        <w:t xml:space="preserve"> </w:t>
      </w:r>
      <m:oMath>
        <m:r>
          <m:t>θ</m:t>
        </m:r>
        <m:d>
          <m:dPr>
            <m:begChr m:val="["/>
            <m:endChr m:val="]"/>
            <m:sepChr m:val=""/>
            <m:grow/>
          </m:dPr>
          <m:e>
            <m:sSub>
              <m:e>
                <m:r>
                  <m:t>D</m:t>
                </m:r>
              </m:e>
              <m:sub>
                <m:r>
                  <m:t>A</m:t>
                </m:r>
              </m:sub>
            </m:sSub>
            <m:r>
              <m:rPr>
                <m:sty m:val="p"/>
              </m:rPr>
              <m:t>−</m:t>
            </m:r>
            <m:sSubSup>
              <m:e>
                <m:r>
                  <m:t>D</m:t>
                </m:r>
              </m:e>
              <m:sub>
                <m:r>
                  <m:t>A</m:t>
                </m:r>
              </m:sub>
              <m:sup>
                <m:r>
                  <m:rPr>
                    <m:sty m:val="p"/>
                  </m:rPr>
                  <m:t>*</m:t>
                </m:r>
              </m:sup>
            </m:sSubSup>
          </m:e>
        </m:d>
      </m:oMath>
      <w:r>
        <w:t xml:space="preserve"> </w:t>
      </w:r>
      <w:r>
        <w:t xml:space="preserve">(Section 4.4), so the intensity of use, and not adoption alone, is the relevant variable.</w:t>
      </w:r>
      <w:r>
        <w:t xml:space="preserve"> </w:t>
      </w:r>
      <w:r>
        <w:rPr>
          <w:iCs/>
          <w:i/>
        </w:rPr>
        <w:t xml:space="preserve">Third, the frame is not fixed.</w:t>
      </w:r>
      <w:r>
        <w:t xml:space="preserve"> </w:t>
      </w:r>
      <w:r>
        <w:t xml:space="preserve">Whether an artifact precedes the decision, and how costly it is to reject, are features of the interface, and Section 4.6 asks who sets them.</w:t>
      </w:r>
    </w:p>
    <w:p>
      <w:pPr>
        <w:pStyle w:val="BodyText"/>
      </w:pPr>
      <w:r>
        <w:rPr>
          <w:bCs/>
          <w:b/>
        </w:rPr>
        <w:t xml:space="preserve">Relation to neighboring ideas.</w:t>
      </w:r>
      <w:r>
        <w:t xml:space="preserve"> </w:t>
      </w:r>
      <w:r>
        <w:t xml:space="preserve">Choice architecture (Thaler and Sunstein 2008) treats the frame in which a decision is presented as given and asks how it can be redesigned. Here the technology itself creates the frame, and the question is how a change in technology reorganizes a decision that was previously made in a different order. The theory also differs from rational inattention (Sims 2003), which predicts that people inspect less when inspection is costly. That prediction is already part of our rational benchmark, in which the developer inspects optimally given the cost of inspecting and the value of what she might find; as Result 2(b) shows, the benchmark then yields a self-admitted share of</w:t>
      </w:r>
      <w:r>
        <w:t xml:space="preserve"> </w:t>
      </w:r>
      <m:oMath>
        <m:r>
          <m:t>σ</m:t>
        </m:r>
      </m:oMath>
      <w:r>
        <w:t xml:space="preserve">, no possession effect, and no lapses. What the wedges add is behavior that a cost-of-inspection account does not produce in this model.</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twelve propositions they imply. The propositions are the empirical hypotheses of the verbal theory; Section 4 formalizes the timing, appearance, and possession mechanisms at the level of a single decision, and the ownership and incentive mechanisms (P6 and P9 to P11) are stated as hypotheses and are not formalized in this paper.</w:t>
      </w:r>
    </w:p>
    <w:p>
      <w:pPr>
        <w:pStyle w:val="BodyText"/>
        <w:keepNext/>
      </w:pPr>
      <w:r>
        <w:rPr>
          <w:bCs/>
          <w:b/>
        </w:rPr>
        <w:t xml:space="preserve">Table 1. Mechanisms and propositions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699"/>
        <w:gridCol w:w="4799"/>
        <w:gridCol w:w="2368"/>
        <w:gridCol w:w="1494"/>
      </w:tblGrid>
      <w:tr>
        <w:trPr>
          <w:tblHeader w:val="true"/>
          <w:cantSplit/>
          <w:tblHeader/>
        </w:trPr>
        <w:tc>
          <w:tcPr>
            <w:tcW w:w="699"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P</w:t>
            </w:r>
          </w:p>
        </w:tc>
        <w:tc>
          <w:tcPr>
            <w:tcW w:w="4799"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Statement</w:t>
            </w:r>
          </w:p>
        </w:tc>
        <w:tc>
          <w:tcPr>
            <w:tcW w:w="2368"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Mechanism</w:t>
            </w:r>
          </w:p>
        </w:tc>
        <w:tc>
          <w:tcPr>
            <w:tcW w:w="1494"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Component</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w:t>
            </w:r>
          </w:p>
        </w:tc>
        <w:tc>
          <w:tcPr>
            <w:tcW w:w="4799" w:type="dxa"/>
          </w:tcPr>
          <w:p>
            <w:pPr>
              <w:pStyle w:val="Compact"/>
              <w:spacing w:before="0" w:after="0" w:line="240" w:lineRule="auto"/>
              <w:ind w:firstLine="0"/>
              <w:jc w:val="left"/>
            </w:pPr>
            <w:r>
              <w:rPr>
                <w:rFonts w:ascii="Times New Roman" w:hAnsi="Times New Roman"/>
                <w:sz w:val="20"/>
              </w:rPr>
              <w:t xml:space="preserve">(a) Refactoring per active contributor declines as the share of LLM-authored code rises. (b) Holding the cost of refactoring fixed, possessing a working generated artifact increases deferral and the lapse of planned refactoring.</w:t>
            </w:r>
          </w:p>
        </w:tc>
        <w:tc>
          <w:tcPr>
            <w:tcW w:w="2368" w:type="dxa"/>
          </w:tcPr>
          <w:p>
            <w:pPr>
              <w:pStyle w:val="Compact"/>
              <w:spacing w:before="0" w:after="0" w:line="240" w:lineRule="auto"/>
              <w:ind w:firstLine="0"/>
              <w:jc w:val="left"/>
            </w:pPr>
            <w:r>
              <w:rPr>
                <w:rFonts w:ascii="Times New Roman" w:hAnsi="Times New Roman"/>
                <w:sz w:val="20"/>
              </w:rPr>
              <w:t xml:space="preserve">Present bias; planning fallacy</w:t>
            </w:r>
          </w:p>
        </w:tc>
        <w:tc>
          <w:tcPr>
            <w:tcW w:w="1494" w:type="dxa"/>
          </w:tcPr>
          <w:p>
            <w:pPr>
              <w:pStyle w:val="Compact"/>
              <w:spacing w:before="0" w:after="0" w:line="240" w:lineRule="auto"/>
              <w:ind w:firstLine="0"/>
              <w:jc w:val="left"/>
            </w:pPr>
            <w:r>
              <w:rPr>
                <w:rFonts w:ascii="Times New Roman" w:hAnsi="Times New Roman"/>
                <w:sz w:val="20"/>
              </w:rPr>
              <w:t xml:space="preserve">Timing</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P2</w:t>
            </w:r>
          </w:p>
        </w:tc>
        <w:tc>
          <w:tcPr>
            <w:tcW w:w="4799" w:type="dxa"/>
          </w:tcPr>
          <w:p>
            <w:pPr>
              <w:pStyle w:val="Compact"/>
              <w:spacing w:before="0" w:after="0" w:line="240" w:lineRule="auto"/>
              <w:ind w:firstLine="0"/>
              <w:jc w:val="left"/>
            </w:pPr>
            <w:r>
              <w:rPr>
                <w:rFonts w:ascii="Times New Roman" w:hAnsi="Times New Roman"/>
                <w:sz w:val="20"/>
              </w:rPr>
              <w:t xml:space="preserve">Comments deferring quality work on LLM-authored code are resolved less often and later than comparable comments on human-authored code.</w:t>
            </w:r>
          </w:p>
        </w:tc>
        <w:tc>
          <w:tcPr>
            <w:tcW w:w="2368" w:type="dxa"/>
          </w:tcPr>
          <w:p>
            <w:pPr>
              <w:pStyle w:val="Compact"/>
              <w:spacing w:before="0" w:after="0" w:line="240" w:lineRule="auto"/>
              <w:ind w:firstLine="0"/>
              <w:jc w:val="left"/>
            </w:pPr>
            <w:r>
              <w:rPr>
                <w:rFonts w:ascii="Times New Roman" w:hAnsi="Times New Roman"/>
                <w:sz w:val="20"/>
              </w:rPr>
              <w:t xml:space="preserve">Present bias</w:t>
            </w:r>
          </w:p>
        </w:tc>
        <w:tc>
          <w:tcPr>
            <w:tcW w:w="1494" w:type="dxa"/>
          </w:tcPr>
          <w:p>
            <w:pPr>
              <w:pStyle w:val="Compact"/>
              <w:spacing w:before="0" w:after="0" w:line="240" w:lineRule="auto"/>
              <w:ind w:firstLine="0"/>
              <w:jc w:val="left"/>
            </w:pPr>
            <w:r>
              <w:rPr>
                <w:rFonts w:ascii="Times New Roman" w:hAnsi="Times New Roman"/>
                <w:sz w:val="20"/>
              </w:rPr>
              <w:t xml:space="preserve">Timing</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P3</w:t>
            </w:r>
          </w:p>
        </w:tc>
        <w:tc>
          <w:tcPr>
            <w:tcW w:w="4799" w:type="dxa"/>
          </w:tcPr>
          <w:p>
            <w:pPr>
              <w:pStyle w:val="Compact"/>
              <w:spacing w:before="0" w:after="0" w:line="240" w:lineRule="auto"/>
              <w:ind w:firstLine="0"/>
              <w:jc w:val="left"/>
            </w:pPr>
            <w:r>
              <w:rPr>
                <w:rFonts w:ascii="Times New Roman" w:hAnsi="Times New Roman"/>
                <w:sz w:val="20"/>
              </w:rPr>
              <w:t xml:space="preserve">At equal measured structural quality, reviewers rate LLM-authored code higher.</w:t>
            </w:r>
          </w:p>
        </w:tc>
        <w:tc>
          <w:tcPr>
            <w:tcW w:w="2368" w:type="dxa"/>
          </w:tcPr>
          <w:p>
            <w:pPr>
              <w:pStyle w:val="Compact"/>
              <w:spacing w:before="0" w:after="0" w:line="240" w:lineRule="auto"/>
              <w:ind w:firstLine="0"/>
              <w:jc w:val="left"/>
            </w:pPr>
            <w:r>
              <w:rPr>
                <w:rFonts w:ascii="Times New Roman" w:hAnsi="Times New Roman"/>
                <w:sz w:val="20"/>
              </w:rPr>
              <w:t xml:space="preserve">Fluency heuristic</w:t>
            </w:r>
          </w:p>
        </w:tc>
        <w:tc>
          <w:tcPr>
            <w:tcW w:w="1494" w:type="dxa"/>
          </w:tcPr>
          <w:p>
            <w:pPr>
              <w:pStyle w:val="Compact"/>
              <w:spacing w:before="0" w:after="0" w:line="240" w:lineRule="auto"/>
              <w:ind w:firstLine="0"/>
              <w:jc w:val="left"/>
            </w:pPr>
            <w:r>
              <w:rPr>
                <w:rFonts w:ascii="Times New Roman" w:hAnsi="Times New Roman"/>
                <w:sz w:val="20"/>
              </w:rPr>
              <w:t xml:space="preserve">Appearance</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P4</w:t>
            </w:r>
          </w:p>
        </w:tc>
        <w:tc>
          <w:tcPr>
            <w:tcW w:w="4799" w:type="dxa"/>
          </w:tcPr>
          <w:p>
            <w:pPr>
              <w:pStyle w:val="Compact"/>
              <w:spacing w:before="0" w:after="0" w:line="240" w:lineRule="auto"/>
              <w:ind w:firstLine="0"/>
              <w:jc w:val="left"/>
            </w:pPr>
            <w:r>
              <w:rPr>
                <w:rFonts w:ascii="Times New Roman" w:hAnsi="Times New Roman"/>
                <w:sz w:val="20"/>
              </w:rPr>
              <w:t xml:space="preserve">For a given amount of statically detected debt introduced by a change, LLM-assisted changes carry fewer self-admitted debt markers.</w:t>
            </w:r>
          </w:p>
        </w:tc>
        <w:tc>
          <w:tcPr>
            <w:tcW w:w="2368" w:type="dxa"/>
          </w:tcPr>
          <w:p>
            <w:pPr>
              <w:pStyle w:val="Compact"/>
              <w:spacing w:before="0" w:after="0" w:line="240" w:lineRule="auto"/>
              <w:ind w:firstLine="0"/>
              <w:jc w:val="left"/>
            </w:pPr>
            <w:r>
              <w:rPr>
                <w:rFonts w:ascii="Times New Roman" w:hAnsi="Times New Roman"/>
                <w:sz w:val="20"/>
              </w:rPr>
              <w:t xml:space="preserve">Fluency heuristic</w:t>
            </w:r>
          </w:p>
        </w:tc>
        <w:tc>
          <w:tcPr>
            <w:tcW w:w="1494" w:type="dxa"/>
          </w:tcPr>
          <w:p>
            <w:pPr>
              <w:pStyle w:val="Compact"/>
              <w:spacing w:before="0" w:after="0" w:line="240" w:lineRule="auto"/>
              <w:ind w:firstLine="0"/>
              <w:jc w:val="left"/>
            </w:pPr>
            <w:r>
              <w:rPr>
                <w:rFonts w:ascii="Times New Roman" w:hAnsi="Times New Roman"/>
                <w:sz w:val="20"/>
              </w:rPr>
              <w:t xml:space="preserve">Appearance</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P5</w:t>
            </w:r>
          </w:p>
        </w:tc>
        <w:tc>
          <w:tcPr>
            <w:tcW w:w="4799" w:type="dxa"/>
          </w:tcPr>
          <w:p>
            <w:pPr>
              <w:pStyle w:val="Compact"/>
              <w:spacing w:before="0" w:after="0" w:line="240" w:lineRule="auto"/>
              <w:ind w:firstLine="0"/>
              <w:jc w:val="left"/>
            </w:pPr>
            <w:r>
              <w:rPr>
                <w:rFonts w:ascii="Times New Roman" w:hAnsi="Times New Roman"/>
                <w:sz w:val="20"/>
              </w:rPr>
              <w:t xml:space="preserve">LLM-assisted commits add more relative to what they delete, and the surplus is concentrated in duplicated and unreachable code.</w:t>
            </w:r>
          </w:p>
        </w:tc>
        <w:tc>
          <w:tcPr>
            <w:tcW w:w="2368" w:type="dxa"/>
          </w:tcPr>
          <w:p>
            <w:pPr>
              <w:pStyle w:val="Compact"/>
              <w:spacing w:before="0" w:after="0" w:line="240" w:lineRule="auto"/>
              <w:ind w:firstLine="0"/>
              <w:jc w:val="left"/>
            </w:pPr>
            <w:r>
              <w:rPr>
                <w:rFonts w:ascii="Times New Roman" w:hAnsi="Times New Roman"/>
                <w:sz w:val="20"/>
              </w:rPr>
              <w:t xml:space="preserve">Loss aversion</w:t>
            </w:r>
          </w:p>
        </w:tc>
        <w:tc>
          <w:tcPr>
            <w:tcW w:w="1494" w:type="dxa"/>
          </w:tcPr>
          <w:p>
            <w:pPr>
              <w:pStyle w:val="Compact"/>
              <w:spacing w:before="0" w:after="0" w:line="240" w:lineRule="auto"/>
              <w:ind w:firstLine="0"/>
              <w:jc w:val="left"/>
            </w:pPr>
            <w:r>
              <w:rPr>
                <w:rFonts w:ascii="Times New Roman" w:hAnsi="Times New Roman"/>
                <w:sz w:val="20"/>
              </w:rPr>
              <w:t xml:space="preserve">Possession</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P6</w:t>
            </w:r>
          </w:p>
        </w:tc>
        <w:tc>
          <w:tcPr>
            <w:tcW w:w="4799" w:type="dxa"/>
          </w:tcPr>
          <w:p>
            <w:pPr>
              <w:pStyle w:val="Compact"/>
              <w:spacing w:before="0" w:after="0" w:line="240" w:lineRule="auto"/>
              <w:ind w:firstLine="0"/>
              <w:jc w:val="left"/>
            </w:pPr>
            <w:r>
              <w:rPr>
                <w:rFonts w:ascii="Times New Roman" w:hAnsi="Times New Roman"/>
                <w:sz w:val="20"/>
              </w:rPr>
              <w:t xml:space="preserve">At equal severity and complexity, defects in code a developer generated are fixed more slowly than defects in code she wrote.</w:t>
            </w:r>
          </w:p>
        </w:tc>
        <w:tc>
          <w:tcPr>
            <w:tcW w:w="2368" w:type="dxa"/>
          </w:tcPr>
          <w:p>
            <w:pPr>
              <w:pStyle w:val="Compact"/>
              <w:spacing w:before="0" w:after="0" w:line="240" w:lineRule="auto"/>
              <w:ind w:firstLine="0"/>
              <w:jc w:val="left"/>
            </w:pPr>
            <w:r>
              <w:rPr>
                <w:rFonts w:ascii="Times New Roman" w:hAnsi="Times New Roman"/>
                <w:sz w:val="20"/>
              </w:rPr>
              <w:t xml:space="preserve">Effort-based valuation</w:t>
            </w:r>
          </w:p>
        </w:tc>
        <w:tc>
          <w:tcPr>
            <w:tcW w:w="1494" w:type="dxa"/>
          </w:tcPr>
          <w:p>
            <w:pPr>
              <w:pStyle w:val="Compact"/>
              <w:spacing w:before="0" w:after="0" w:line="240" w:lineRule="auto"/>
              <w:ind w:firstLine="0"/>
              <w:jc w:val="left"/>
            </w:pPr>
            <w:r>
              <w:rPr>
                <w:rFonts w:ascii="Times New Roman" w:hAnsi="Times New Roman"/>
                <w:sz w:val="20"/>
              </w:rPr>
              <w:t xml:space="preserve">Possession</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P7</w:t>
            </w:r>
          </w:p>
        </w:tc>
        <w:tc>
          <w:tcPr>
            <w:tcW w:w="4799" w:type="dxa"/>
          </w:tcPr>
          <w:p>
            <w:pPr>
              <w:pStyle w:val="Compact"/>
              <w:spacing w:before="0" w:after="0" w:line="240" w:lineRule="auto"/>
              <w:ind w:firstLine="0"/>
              <w:jc w:val="left"/>
            </w:pPr>
            <w:r>
              <w:rPr>
                <w:rFonts w:ascii="Times New Roman" w:hAnsi="Times New Roman"/>
                <w:sz w:val="20"/>
              </w:rPr>
              <w:t xml:space="preserve">LLM-authored pull requests receive less review time per changed line and fewer substantive comments, with a gap that widens with size.</w:t>
            </w:r>
          </w:p>
        </w:tc>
        <w:tc>
          <w:tcPr>
            <w:tcW w:w="2368" w:type="dxa"/>
          </w:tcPr>
          <w:p>
            <w:pPr>
              <w:pStyle w:val="Compact"/>
              <w:spacing w:before="0" w:after="0" w:line="240" w:lineRule="auto"/>
              <w:ind w:firstLine="0"/>
              <w:jc w:val="left"/>
            </w:pPr>
            <w:r>
              <w:rPr>
                <w:rFonts w:ascii="Times New Roman" w:hAnsi="Times New Roman"/>
                <w:sz w:val="20"/>
              </w:rPr>
              <w:t xml:space="preserve">Automation bias</w:t>
            </w:r>
          </w:p>
        </w:tc>
        <w:tc>
          <w:tcPr>
            <w:tcW w:w="1494" w:type="dxa"/>
          </w:tcPr>
          <w:p>
            <w:pPr>
              <w:pStyle w:val="Compact"/>
              <w:spacing w:before="0" w:after="0" w:line="240" w:lineRule="auto"/>
              <w:ind w:firstLine="0"/>
              <w:jc w:val="left"/>
            </w:pPr>
            <w:r>
              <w:rPr>
                <w:rFonts w:ascii="Times New Roman" w:hAnsi="Times New Roman"/>
                <w:sz w:val="20"/>
              </w:rPr>
              <w:t xml:space="preserve">Appearance</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P8</w:t>
            </w:r>
          </w:p>
        </w:tc>
        <w:tc>
          <w:tcPr>
            <w:tcW w:w="4799" w:type="dxa"/>
          </w:tcPr>
          <w:p>
            <w:pPr>
              <w:pStyle w:val="Compact"/>
              <w:spacing w:before="0" w:after="0" w:line="240" w:lineRule="auto"/>
              <w:ind w:firstLine="0"/>
              <w:jc w:val="left"/>
            </w:pPr>
            <w:r>
              <w:rPr>
                <w:rFonts w:ascii="Times New Roman" w:hAnsi="Times New Roman"/>
                <w:sz w:val="20"/>
              </w:rPr>
              <w:t xml:space="preserve">Acceptance of inline suggestions varies less with suggestion quality than with the interface cost of rejection.</w:t>
            </w:r>
          </w:p>
        </w:tc>
        <w:tc>
          <w:tcPr>
            <w:tcW w:w="2368" w:type="dxa"/>
          </w:tcPr>
          <w:p>
            <w:pPr>
              <w:pStyle w:val="Compact"/>
              <w:spacing w:before="0" w:after="0" w:line="240" w:lineRule="auto"/>
              <w:ind w:firstLine="0"/>
              <w:jc w:val="left"/>
            </w:pPr>
            <w:r>
              <w:rPr>
                <w:rFonts w:ascii="Times New Roman" w:hAnsi="Times New Roman"/>
                <w:sz w:val="20"/>
              </w:rPr>
              <w:t xml:space="preserve">Default effect</w:t>
            </w:r>
          </w:p>
        </w:tc>
        <w:tc>
          <w:tcPr>
            <w:tcW w:w="1494" w:type="dxa"/>
          </w:tcPr>
          <w:p>
            <w:pPr>
              <w:pStyle w:val="Compact"/>
              <w:spacing w:before="0" w:after="0" w:line="240" w:lineRule="auto"/>
              <w:ind w:firstLine="0"/>
              <w:jc w:val="left"/>
            </w:pPr>
            <w:r>
              <w:rPr>
                <w:rFonts w:ascii="Times New Roman" w:hAnsi="Times New Roman"/>
                <w:sz w:val="20"/>
              </w:rPr>
              <w:t xml:space="preserve">Possession</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P9</w:t>
            </w:r>
          </w:p>
        </w:tc>
        <w:tc>
          <w:tcPr>
            <w:tcW w:w="4799" w:type="dxa"/>
          </w:tcPr>
          <w:p>
            <w:pPr>
              <w:pStyle w:val="Compact"/>
              <w:spacing w:before="0" w:after="0" w:line="240" w:lineRule="auto"/>
              <w:ind w:firstLine="0"/>
              <w:jc w:val="left"/>
            </w:pPr>
            <w:r>
              <w:rPr>
                <w:rFonts w:ascii="Times New Roman" w:hAnsi="Times New Roman"/>
                <w:sz w:val="20"/>
              </w:rPr>
              <w:t xml:space="preserve">Debt introduced by LLM-assisted changes concentrates in modules the author does not maintain.</w:t>
            </w:r>
          </w:p>
        </w:tc>
        <w:tc>
          <w:tcPr>
            <w:tcW w:w="2368" w:type="dxa"/>
          </w:tcPr>
          <w:p>
            <w:pPr>
              <w:pStyle w:val="Compact"/>
              <w:spacing w:before="0" w:after="0" w:line="240" w:lineRule="auto"/>
              <w:ind w:firstLine="0"/>
              <w:jc w:val="left"/>
            </w:pPr>
            <w:r>
              <w:rPr>
                <w:rFonts w:ascii="Times New Roman" w:hAnsi="Times New Roman"/>
                <w:sz w:val="20"/>
              </w:rPr>
              <w:t xml:space="preserve">Moral hazard</w:t>
            </w:r>
          </w:p>
        </w:tc>
        <w:tc>
          <w:tcPr>
            <w:tcW w:w="1494" w:type="dxa"/>
          </w:tcPr>
          <w:p>
            <w:pPr>
              <w:pStyle w:val="Compact"/>
              <w:spacing w:before="0" w:after="0" w:line="240" w:lineRule="auto"/>
              <w:ind w:firstLine="0"/>
              <w:jc w:val="left"/>
            </w:pPr>
            <w:r>
              <w:rPr>
                <w:rFonts w:ascii="Times New Roman" w:hAnsi="Times New Roman"/>
                <w:sz w:val="20"/>
              </w:rPr>
              <w:t xml:space="preserve">Incentive amplifier</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P10</w:t>
            </w:r>
          </w:p>
        </w:tc>
        <w:tc>
          <w:tcPr>
            <w:tcW w:w="4799" w:type="dxa"/>
          </w:tcPr>
          <w:p>
            <w:pPr>
              <w:pStyle w:val="Compact"/>
              <w:spacing w:before="0" w:after="0" w:line="240" w:lineRule="auto"/>
              <w:ind w:firstLine="0"/>
              <w:jc w:val="left"/>
            </w:pPr>
            <w:r>
              <w:rPr>
                <w:rFonts w:ascii="Times New Roman" w:hAnsi="Times New Roman"/>
                <w:sz w:val="20"/>
              </w:rPr>
              <w:t xml:space="preserve">Duplication rises with LLM adoption, more so in repositories with more contributors and weaker ownership.</w:t>
            </w:r>
          </w:p>
        </w:tc>
        <w:tc>
          <w:tcPr>
            <w:tcW w:w="2368" w:type="dxa"/>
          </w:tcPr>
          <w:p>
            <w:pPr>
              <w:pStyle w:val="Compact"/>
              <w:spacing w:before="0" w:after="0" w:line="240" w:lineRule="auto"/>
              <w:ind w:firstLine="0"/>
              <w:jc w:val="left"/>
            </w:pPr>
            <w:r>
              <w:rPr>
                <w:rFonts w:ascii="Times New Roman" w:hAnsi="Times New Roman"/>
                <w:sz w:val="20"/>
              </w:rPr>
              <w:t xml:space="preserve">Common pool; rebound</w:t>
            </w:r>
          </w:p>
        </w:tc>
        <w:tc>
          <w:tcPr>
            <w:tcW w:w="1494" w:type="dxa"/>
          </w:tcPr>
          <w:p>
            <w:pPr>
              <w:pStyle w:val="Compact"/>
              <w:spacing w:before="0" w:after="0" w:line="240" w:lineRule="auto"/>
              <w:ind w:firstLine="0"/>
              <w:jc w:val="left"/>
            </w:pPr>
            <w:r>
              <w:rPr>
                <w:rFonts w:ascii="Times New Roman" w:hAnsi="Times New Roman"/>
                <w:sz w:val="20"/>
              </w:rPr>
              <w:t xml:space="preserve">Incentive amplifier</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P11</w:t>
            </w:r>
          </w:p>
        </w:tc>
        <w:tc>
          <w:tcPr>
            <w:tcW w:w="4799" w:type="dxa"/>
          </w:tcPr>
          <w:p>
            <w:pPr>
              <w:pStyle w:val="Compact"/>
              <w:spacing w:before="0" w:after="0" w:line="240" w:lineRule="auto"/>
              <w:ind w:firstLine="0"/>
              <w:jc w:val="left"/>
            </w:pPr>
            <w:r>
              <w:rPr>
                <w:rFonts w:ascii="Times New Roman" w:hAnsi="Times New Roman"/>
                <w:sz w:val="20"/>
              </w:rPr>
              <w:t xml:space="preserve">The association between LLM adoption and debt growth is stronger where individual throughput is rewarded and maintainability is not measured.</w:t>
            </w:r>
          </w:p>
        </w:tc>
        <w:tc>
          <w:tcPr>
            <w:tcW w:w="2368" w:type="dxa"/>
          </w:tcPr>
          <w:p>
            <w:pPr>
              <w:pStyle w:val="Compact"/>
              <w:spacing w:before="0" w:after="0" w:line="240" w:lineRule="auto"/>
              <w:ind w:firstLine="0"/>
              <w:jc w:val="left"/>
            </w:pPr>
            <w:r>
              <w:rPr>
                <w:rFonts w:ascii="Times New Roman" w:hAnsi="Times New Roman"/>
                <w:sz w:val="20"/>
              </w:rPr>
              <w:t xml:space="preserve">Metric targeting</w:t>
            </w:r>
          </w:p>
        </w:tc>
        <w:tc>
          <w:tcPr>
            <w:tcW w:w="1494" w:type="dxa"/>
          </w:tcPr>
          <w:p>
            <w:pPr>
              <w:pStyle w:val="Compact"/>
              <w:spacing w:before="0" w:after="0" w:line="240" w:lineRule="auto"/>
              <w:ind w:firstLine="0"/>
              <w:jc w:val="left"/>
            </w:pPr>
            <w:r>
              <w:rPr>
                <w:rFonts w:ascii="Times New Roman" w:hAnsi="Times New Roman"/>
                <w:sz w:val="20"/>
              </w:rPr>
              <w:t xml:space="preserve">Incentive amplifier</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P12</w:t>
            </w:r>
          </w:p>
        </w:tc>
        <w:tc>
          <w:tcPr>
            <w:tcW w:w="4799" w:type="dxa"/>
          </w:tcPr>
          <w:p>
            <w:pPr>
              <w:pStyle w:val="Compact"/>
              <w:spacing w:before="0" w:after="0" w:line="240" w:lineRule="auto"/>
              <w:ind w:firstLine="0"/>
              <w:jc w:val="left"/>
            </w:pPr>
            <w:r>
              <w:rPr>
                <w:rFonts w:ascii="Times New Roman" w:hAnsi="Times New Roman"/>
                <w:sz w:val="20"/>
              </w:rPr>
              <w:t xml:space="preserve">Holding the developer, the tool, the artifact’s quality, the stated costs, and the value of speed fixed, requiring the quality decision to be made before generation returns the possession effect, the lapse of planned refactoring, and the self-admitted share to their rational values.</w:t>
            </w:r>
          </w:p>
        </w:tc>
        <w:tc>
          <w:tcPr>
            <w:tcW w:w="2368" w:type="dxa"/>
          </w:tcPr>
          <w:p>
            <w:pPr>
              <w:pStyle w:val="Compact"/>
              <w:spacing w:before="0" w:after="0" w:line="240" w:lineRule="auto"/>
              <w:ind w:firstLine="0"/>
              <w:jc w:val="left"/>
            </w:pPr>
            <w:r>
              <w:rPr>
                <w:rFonts w:ascii="Times New Roman" w:hAnsi="Times New Roman"/>
                <w:sz w:val="20"/>
              </w:rPr>
              <w:t xml:space="preserve">Frame shift (order of events)</w:t>
            </w:r>
          </w:p>
        </w:tc>
        <w:tc>
          <w:tcPr>
            <w:tcW w:w="1494" w:type="dxa"/>
          </w:tcPr>
          <w:p>
            <w:pPr>
              <w:pStyle w:val="Compact"/>
              <w:spacing w:before="0" w:after="0" w:line="240" w:lineRule="auto"/>
              <w:ind w:firstLine="0"/>
              <w:jc w:val="left"/>
            </w:pPr>
            <w:r>
              <w:rPr>
                <w:rFonts w:ascii="Times New Roman" w:hAnsi="Times New Roman"/>
                <w:sz w:val="20"/>
              </w:rPr>
              <w:t xml:space="preserve">All</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keepNext/>
      </w:pPr>
      <w:r>
        <w:rPr>
          <w:bCs/>
          <w:b/>
        </w:rPr>
        <w:t xml:space="preserve">Table 2. Competing predictions of rational acceleration and the behavioral theory</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3579"/>
        <w:gridCol w:w="2200"/>
        <w:gridCol w:w="3581"/>
      </w:tblGrid>
      <w:tr>
        <w:trPr>
          <w:tblHeader w:val="true"/>
          <w:cantSplit/>
          <w:tblHeader/>
        </w:trPr>
        <w:tc>
          <w:tcPr>
            <w:tcW w:w="3579"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Prediction</w:t>
            </w:r>
          </w:p>
        </w:tc>
        <w:tc>
          <w:tcPr>
            <w:tcW w:w="2200"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Rational acceleration</w:t>
            </w:r>
          </w:p>
        </w:tc>
        <w:tc>
          <w:tcPr>
            <w:tcW w:w="3581"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Behavioral theory</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Aggregate debt after LLM adoption</w:t>
            </w:r>
          </w:p>
        </w:tc>
        <w:tc>
          <w:tcPr>
            <w:tcW w:w="2200" w:type="dxa"/>
          </w:tcPr>
          <w:p>
            <w:pPr>
              <w:pStyle w:val="Compact"/>
              <w:spacing w:before="0" w:after="0" w:line="240" w:lineRule="auto"/>
              <w:ind w:firstLine="0"/>
              <w:jc w:val="left"/>
            </w:pPr>
            <w:r>
              <w:rPr>
                <w:rFonts w:ascii="Times New Roman" w:hAnsi="Times New Roman"/>
                <w:sz w:val="20"/>
              </w:rPr>
              <w:t xml:space="preserve">Rises</w:t>
            </w:r>
          </w:p>
        </w:tc>
        <w:tc>
          <w:tcPr>
            <w:tcW w:w="3581" w:type="dxa"/>
          </w:tcPr>
          <w:p>
            <w:pPr>
              <w:pStyle w:val="Compact"/>
              <w:spacing w:before="0" w:after="0" w:line="240" w:lineRule="auto"/>
              <w:ind w:firstLine="0"/>
              <w:jc w:val="left"/>
            </w:pPr>
            <w:r>
              <w:rPr>
                <w:rFonts w:ascii="Times New Roman" w:hAnsi="Times New Roman"/>
                <w:sz w:val="20"/>
              </w:rPr>
              <w:t xml:space="preserve">Rises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Self-admitted debt per unit of detected debt introduced (P4)</w:t>
            </w:r>
          </w:p>
        </w:tc>
        <w:tc>
          <w:tcPr>
            <w:tcW w:w="2200" w:type="dxa"/>
          </w:tcPr>
          <w:p>
            <w:pPr>
              <w:pStyle w:val="Compact"/>
              <w:spacing w:before="0" w:after="0" w:line="240" w:lineRule="auto"/>
              <w:ind w:firstLine="0"/>
              <w:jc w:val="left"/>
            </w:pPr>
            <w:r>
              <w:rPr>
                <w:rFonts w:ascii="Times New Roman" w:hAnsi="Times New Roman"/>
                <w:sz w:val="20"/>
              </w:rPr>
              <w:t xml:space="preserve">No difference by authorship</w:t>
            </w:r>
          </w:p>
        </w:tc>
        <w:tc>
          <w:tcPr>
            <w:tcW w:w="3581" w:type="dxa"/>
          </w:tcPr>
          <w:p>
            <w:pPr>
              <w:pStyle w:val="Compact"/>
              <w:spacing w:before="0" w:after="0" w:line="240" w:lineRule="auto"/>
              <w:ind w:firstLine="0"/>
              <w:jc w:val="left"/>
            </w:pPr>
            <w:r>
              <w:rPr>
                <w:rFonts w:ascii="Times New Roman" w:hAnsi="Times New Roman"/>
                <w:sz w:val="20"/>
              </w:rPr>
              <w:t xml:space="preserve">Lower for LLM-assisted changes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Substantive review per changed line (P7)</w:t>
            </w:r>
          </w:p>
        </w:tc>
        <w:tc>
          <w:tcPr>
            <w:tcW w:w="2200" w:type="dxa"/>
          </w:tcPr>
          <w:p>
            <w:pPr>
              <w:pStyle w:val="Compact"/>
              <w:spacing w:before="0" w:after="0" w:line="240" w:lineRule="auto"/>
              <w:ind w:firstLine="0"/>
              <w:jc w:val="left"/>
            </w:pPr>
            <w:r>
              <w:rPr>
                <w:rFonts w:ascii="Times New Roman" w:hAnsi="Times New Roman"/>
                <w:sz w:val="20"/>
              </w:rPr>
              <w:t xml:space="preserve">No lower for LLM-assisted changes</w:t>
            </w:r>
          </w:p>
        </w:tc>
        <w:tc>
          <w:tcPr>
            <w:tcW w:w="3581" w:type="dxa"/>
          </w:tcPr>
          <w:p>
            <w:pPr>
              <w:pStyle w:val="Compact"/>
              <w:spacing w:before="0" w:after="0" w:line="240" w:lineRule="auto"/>
              <w:ind w:firstLine="0"/>
              <w:jc w:val="left"/>
            </w:pPr>
            <w:r>
              <w:rPr>
                <w:rFonts w:ascii="Times New Roman" w:hAnsi="Times New Roman"/>
                <w:sz w:val="20"/>
              </w:rPr>
              <w:t xml:space="preserve">Lower for LLM-assisted changes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Net-addition bias in single-contributor code (P5)</w:t>
            </w:r>
          </w:p>
        </w:tc>
        <w:tc>
          <w:tcPr>
            <w:tcW w:w="2200" w:type="dxa"/>
          </w:tcPr>
          <w:p>
            <w:pPr>
              <w:pStyle w:val="Compact"/>
              <w:spacing w:before="0" w:after="0" w:line="240" w:lineRule="auto"/>
              <w:ind w:firstLine="0"/>
              <w:jc w:val="left"/>
            </w:pPr>
            <w:r>
              <w:rPr>
                <w:rFonts w:ascii="Times New Roman" w:hAnsi="Times New Roman"/>
                <w:sz w:val="20"/>
              </w:rPr>
              <w:t xml:space="preserve">Absent</w:t>
            </w:r>
          </w:p>
        </w:tc>
        <w:tc>
          <w:tcPr>
            <w:tcW w:w="3581" w:type="dxa"/>
          </w:tcPr>
          <w:p>
            <w:pPr>
              <w:pStyle w:val="Compact"/>
              <w:spacing w:before="0" w:after="0" w:line="240" w:lineRule="auto"/>
              <w:ind w:firstLine="0"/>
              <w:jc w:val="left"/>
            </w:pPr>
            <w:r>
              <w:rPr>
                <w:rFonts w:ascii="Times New Roman" w:hAnsi="Times New Roman"/>
                <w:sz w:val="20"/>
              </w:rPr>
              <w:t xml:space="preserve">Present</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Deferral with artifact in hand at equal cost; completion of planned refactoring (P1b, P2)</w:t>
            </w:r>
          </w:p>
        </w:tc>
        <w:tc>
          <w:tcPr>
            <w:tcW w:w="2200" w:type="dxa"/>
          </w:tcPr>
          <w:p>
            <w:pPr>
              <w:pStyle w:val="Compact"/>
              <w:spacing w:before="0" w:after="0" w:line="240" w:lineRule="auto"/>
              <w:ind w:firstLine="0"/>
              <w:jc w:val="left"/>
            </w:pPr>
            <w:r>
              <w:rPr>
                <w:rFonts w:ascii="Times New Roman" w:hAnsi="Times New Roman"/>
                <w:sz w:val="20"/>
              </w:rPr>
              <w:t xml:space="preserve">No possession effect; plans carried out</w:t>
            </w:r>
          </w:p>
        </w:tc>
        <w:tc>
          <w:tcPr>
            <w:tcW w:w="3581" w:type="dxa"/>
          </w:tcPr>
          <w:p>
            <w:pPr>
              <w:pStyle w:val="Compact"/>
              <w:spacing w:before="0" w:after="0" w:line="240" w:lineRule="auto"/>
              <w:ind w:firstLine="0"/>
              <w:jc w:val="left"/>
            </w:pPr>
            <w:r>
              <w:rPr>
                <w:rFonts w:ascii="Times New Roman" w:hAnsi="Times New Roman"/>
                <w:sz w:val="20"/>
              </w:rPr>
              <w:t xml:space="preserve">Possession raises deferral; plans lapse</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Debt under developer-controlled versus organization-controlled configuration of the assistant (Result 6)</w:t>
            </w:r>
          </w:p>
        </w:tc>
        <w:tc>
          <w:tcPr>
            <w:tcW w:w="2200" w:type="dxa"/>
          </w:tcPr>
          <w:p>
            <w:pPr>
              <w:pStyle w:val="Compact"/>
              <w:spacing w:before="0" w:after="0" w:line="240" w:lineRule="auto"/>
              <w:ind w:firstLine="0"/>
              <w:jc w:val="left"/>
            </w:pPr>
            <w:r>
              <w:rPr>
                <w:rFonts w:ascii="Times New Roman" w:hAnsi="Times New Roman"/>
                <w:sz w:val="20"/>
              </w:rPr>
              <w:t xml:space="preserve">No difference</w:t>
            </w:r>
          </w:p>
        </w:tc>
        <w:tc>
          <w:tcPr>
            <w:tcW w:w="3581" w:type="dxa"/>
          </w:tcPr>
          <w:p>
            <w:pPr>
              <w:pStyle w:val="Compact"/>
              <w:spacing w:before="0" w:after="0" w:line="240" w:lineRule="auto"/>
              <w:ind w:firstLine="0"/>
              <w:jc w:val="left"/>
            </w:pPr>
            <w:r>
              <w:rPr>
                <w:rFonts w:ascii="Times New Roman" w:hAnsi="Times New Roman"/>
                <w:sz w:val="20"/>
              </w:rPr>
              <w:t xml:space="preserve">Lower under organization control</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Duplication rising with team size; debt in nonowned modules; stronger effects under throughput metrics (P9 to P11)</w:t>
            </w:r>
          </w:p>
        </w:tc>
        <w:tc>
          <w:tcPr>
            <w:tcW w:w="2200" w:type="dxa"/>
          </w:tcPr>
          <w:p>
            <w:pPr>
              <w:pStyle w:val="Compact"/>
              <w:spacing w:before="0" w:after="0" w:line="240" w:lineRule="auto"/>
              <w:ind w:firstLine="0"/>
              <w:jc w:val="left"/>
            </w:pPr>
            <w:r>
              <w:rPr>
                <w:rFonts w:ascii="Times New Roman" w:hAnsi="Times New Roman"/>
                <w:sz w:val="20"/>
              </w:rPr>
              <w:t xml:space="preserve">Yes</w:t>
            </w:r>
          </w:p>
        </w:tc>
        <w:tc>
          <w:tcPr>
            <w:tcW w:w="3581" w:type="dxa"/>
          </w:tcPr>
          <w:p>
            <w:pPr>
              <w:pStyle w:val="Compact"/>
              <w:spacing w:before="0" w:after="0" w:line="240" w:lineRule="auto"/>
              <w:ind w:firstLine="0"/>
              <w:jc w:val="left"/>
            </w:pPr>
            <w:r>
              <w:rPr>
                <w:rFonts w:ascii="Times New Roman" w:hAnsi="Times New Roman"/>
                <w:sz w:val="20"/>
              </w:rPr>
              <w:t xml:space="preserve">Yes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Order of events: quality decision made before versus after generation (P12)</w:t>
            </w:r>
          </w:p>
        </w:tc>
        <w:tc>
          <w:tcPr>
            <w:tcW w:w="2200" w:type="dxa"/>
          </w:tcPr>
          <w:p>
            <w:pPr>
              <w:pStyle w:val="Compact"/>
              <w:spacing w:before="0" w:after="0" w:line="240" w:lineRule="auto"/>
              <w:ind w:firstLine="0"/>
              <w:jc w:val="left"/>
            </w:pPr>
            <w:r>
              <w:rPr>
                <w:rFonts w:ascii="Times New Roman" w:hAnsi="Times New Roman"/>
                <w:sz w:val="20"/>
              </w:rPr>
              <w:t xml:space="preserve">No change in the three statistics</w:t>
            </w:r>
          </w:p>
        </w:tc>
        <w:tc>
          <w:tcPr>
            <w:tcW w:w="3581" w:type="dxa"/>
          </w:tcPr>
          <w:p>
            <w:pPr>
              <w:pStyle w:val="Compact"/>
              <w:spacing w:before="0" w:after="0" w:line="240" w:lineRule="auto"/>
              <w:ind w:firstLine="0"/>
              <w:jc w:val="left"/>
            </w:pPr>
            <w:r>
              <w:rPr>
                <w:rFonts w:ascii="Times New Roman" w:hAnsi="Times New Roman"/>
                <w:sz w:val="20"/>
              </w:rPr>
              <w:t xml:space="preserve">Statistics return to rational values when the decision precedes generation</w:t>
            </w:r>
          </w:p>
        </w:tc>
      </w:tr>
    </w:tbl>
    <w:p>
      <w:pPr>
        <w:pStyle w:val="BodyText"/>
        <w:spacing w:before="160"/>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8"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embeds the developer in a game with a tool vendor and her organization (4.6), and asks how far rational information can explain order dependence (4.7). Proofs of Results 1 to 3, 5 to 7, and 9 are in Appendix A; proofs of Results 4 and 8 are in Online Appendix OA1 and OA2.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bCs/>
          <w:b/>
        </w:rPr>
        <w:t xml:space="preserve">Lemma 1 (activation).</w:t>
      </w:r>
      <w:r>
        <w:t xml:space="preserve"> </w:t>
      </w:r>
      <w:r>
        <w:t xml:space="preserve">(a) In the choice regime,</w:t>
      </w:r>
      <w:r>
        <w:t xml:space="preserve"> </w:t>
      </w: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oMath>
      <w:r>
        <w:t xml:space="preserve">, the self-admitted share equals</w:t>
      </w:r>
      <w:r>
        <w:t xml:space="preserve"> </w:t>
      </w:r>
      <m:oMath>
        <m:r>
          <m:t>σ</m:t>
        </m:r>
      </m:oMath>
      <w:r>
        <w:t xml:space="preserve">, and the lapse rate is zero, for every value of</w:t>
      </w:r>
      <w:r>
        <w:t xml:space="preserve"> </w:t>
      </w:r>
      <m:oMath>
        <m:d>
          <m:dPr>
            <m:begChr m:val="("/>
            <m:endChr m:val=")"/>
            <m:sepChr m:val=""/>
            <m:grow/>
          </m:dPr>
          <m:e>
            <m:r>
              <m:t>β</m:t>
            </m:r>
            <m:r>
              <m:rPr>
                <m:sty m:val="p"/>
              </m:rPr>
              <m:t>,</m:t>
            </m:r>
            <m:r>
              <m:t>φ</m:t>
            </m:r>
            <m:r>
              <m:rPr>
                <m:sty m:val="p"/>
              </m:rPr>
              <m:t>,</m:t>
            </m:r>
            <m:r>
              <m:t>α</m:t>
            </m:r>
            <m:r>
              <m:rPr>
                <m:sty m:val="p"/>
              </m:rPr>
              <m:t>,</m:t>
            </m:r>
            <m:r>
              <m:t>λ</m:t>
            </m:r>
          </m:e>
        </m:d>
      </m:oMath>
      <w:r>
        <w:t xml:space="preserve">. (b) In the acceptance regime,</w:t>
      </w:r>
      <w:r>
        <w:t xml:space="preserve"> </w:t>
      </w:r>
      <m:oMath>
        <m:sSub>
          <m:e>
            <m:r>
              <m:t>D</m:t>
            </m:r>
          </m:e>
          <m:sub>
            <m:r>
              <m:t>A</m:t>
            </m:r>
          </m:sub>
        </m:sSub>
        <m:d>
          <m:dPr>
            <m:begChr m:val="("/>
            <m:endChr m:val=")"/>
            <m:sepChr m:val=""/>
            <m:grow/>
          </m:dPr>
          <m:e>
            <m:r>
              <m:t>v</m:t>
            </m:r>
          </m:e>
        </m:d>
      </m:oMath>
      <w:r>
        <w:t xml:space="preserve"> </w:t>
      </w:r>
      <w:r>
        <w:t xml:space="preserve">is weakly decreasing in</w:t>
      </w:r>
      <w:r>
        <w:t xml:space="preserve"> </w:t>
      </w:r>
      <m:oMath>
        <m:r>
          <m:t>β</m:t>
        </m:r>
      </m:oMath>
      <w:r>
        <w:t xml:space="preserve"> </w:t>
      </w:r>
      <w:r>
        <w:t xml:space="preserve">and in</w:t>
      </w:r>
      <w:r>
        <w:t xml:space="preserve"> </w:t>
      </w:r>
      <m:oMath>
        <m:r>
          <m:t>φ</m:t>
        </m:r>
      </m:oMath>
      <w:r>
        <w:t xml:space="preserve"> </w:t>
      </w:r>
      <w:r>
        <w:t xml:space="preserve">and weakly increasing in</w:t>
      </w:r>
      <w:r>
        <w:t xml:space="preserve"> </w:t>
      </w:r>
      <m:oMath>
        <m:r>
          <m:t>α</m:t>
        </m:r>
      </m:oMath>
      <w:r>
        <w:t xml:space="preserve"> </w:t>
      </w:r>
      <w:r>
        <w:t xml:space="preserve">and in</w:t>
      </w:r>
      <w:r>
        <w:t xml:space="preserve"> </w:t>
      </w:r>
      <m:oMath>
        <m:r>
          <m:t>λ</m:t>
        </m:r>
      </m:oMath>
      <w:r>
        <w:t xml:space="preserve">, and strictly so when the wedge changes a decision on a set of tasks of positive probability.</w:t>
      </w:r>
    </w:p>
    <w:p>
      <w:pPr>
        <w:pStyle w:val="BodyText"/>
      </w:pPr>
      <w:r>
        <w:t xml:space="preserve">Part (a) says that the four wedges have no domain in the choice regime; part (b) says that each acquires one in the acceptance regime. This is the sense in which the frame shift activates the biases.</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Remark (workflow mix).</w:t>
      </w:r>
      <w:r>
        <w:t xml:space="preserve"> </w:t>
      </w:r>
      <w:r>
        <w:t xml:space="preserve">If a share</w:t>
      </w:r>
      <w:r>
        <w:t xml:space="preserve"> </w:t>
      </w:r>
      <m:oMath>
        <m:r>
          <m:t>θ</m:t>
        </m:r>
      </m:oMath>
      <w:r>
        <w:t xml:space="preserve"> </w:t>
      </w:r>
      <w:r>
        <w:t xml:space="preserve">of tasks is done generation-first and the rest in the choice regime, aggregate debt is</w:t>
      </w:r>
      <w:r>
        <w:t xml:space="preserve"> </w:t>
      </w:r>
      <m:oMath>
        <m:r>
          <m:t>D</m:t>
        </m:r>
        <m:d>
          <m:dPr>
            <m:begChr m:val="("/>
            <m:endChr m:val=")"/>
            <m:sepChr m:val=""/>
            <m:grow/>
          </m:dPr>
          <m:e>
            <m:r>
              <m:t>θ</m:t>
            </m:r>
            <m:r>
              <m:rPr>
                <m:sty m:val="p"/>
              </m:rPr>
              <m:t>,</m:t>
            </m:r>
            <m:r>
              <m:t>v</m:t>
            </m:r>
          </m:e>
        </m:d>
        <m:r>
          <m:rPr>
            <m:sty m:val="p"/>
          </m:rPr>
          <m:t>=</m:t>
        </m:r>
        <m:d>
          <m:dPr>
            <m:begChr m:val="("/>
            <m:endChr m:val=")"/>
            <m:sepChr m:val=""/>
            <m:grow/>
          </m:dPr>
          <m:e>
            <m:r>
              <m:t>1</m:t>
            </m:r>
            <m:r>
              <m:rPr>
                <m:sty m:val="p"/>
              </m:rPr>
              <m:t>−</m:t>
            </m:r>
            <m:r>
              <m:t>θ</m:t>
            </m:r>
          </m:e>
        </m:d>
        <m:sSub>
          <m:e>
            <m:r>
              <m:t>D</m:t>
            </m:r>
          </m:e>
          <m:sub>
            <m:r>
              <m:t>C</m:t>
            </m:r>
          </m:sub>
        </m:sSub>
        <m:d>
          <m:dPr>
            <m:begChr m:val="("/>
            <m:endChr m:val=")"/>
            <m:sepChr m:val=""/>
            <m:grow/>
          </m:dPr>
          <m:e>
            <m:r>
              <m:t>v</m:t>
            </m:r>
          </m:e>
        </m:d>
        <m:r>
          <m:rPr>
            <m:sty m:val="p"/>
          </m:rPr>
          <m:t>+</m:t>
        </m:r>
        <m:r>
          <m:t>θ</m:t>
        </m:r>
        <m:sSub>
          <m:e>
            <m:r>
              <m:t>D</m:t>
            </m:r>
          </m:e>
          <m:sub>
            <m:r>
              <m:t>A</m:t>
            </m:r>
          </m:sub>
        </m:sSub>
        <m:d>
          <m:dPr>
            <m:begChr m:val="("/>
            <m:endChr m:val=")"/>
            <m:sepChr m:val=""/>
            <m:grow/>
          </m:dPr>
          <m:e>
            <m:r>
              <m:t>v</m:t>
            </m:r>
          </m:e>
        </m:d>
      </m:oMath>
      <w:r>
        <w:t xml:space="preserve">. Because</w:t>
      </w:r>
      <w:r>
        <w:t xml:space="preserve"> </w:t>
      </w:r>
      <m:oMath>
        <m:sSub>
          <m:e>
            <m:r>
              <m:t>D</m:t>
            </m:r>
          </m:e>
          <m:sub>
            <m:r>
              <m:t>C</m:t>
            </m:r>
          </m:sub>
        </m:sSub>
      </m:oMath>
      <w:r>
        <w:t xml:space="preserve"> </w:t>
      </w:r>
      <w:r>
        <w:t xml:space="preserve">does not depend on the wedges (Lemma 1), the behavioral wedge in aggregate debt is</w:t>
      </w:r>
      <w:r>
        <w:t xml:space="preserve"> </w:t>
      </w:r>
      <m:oMath>
        <m:r>
          <m:t>D</m:t>
        </m:r>
        <m:d>
          <m:dPr>
            <m:begChr m:val="("/>
            <m:endChr m:val=")"/>
            <m:sepChr m:val=""/>
            <m:grow/>
          </m:dPr>
          <m:e>
            <m:r>
              <m:t>θ</m:t>
            </m:r>
            <m:r>
              <m:rPr>
                <m:sty m:val="p"/>
              </m:rPr>
              <m:t>,</m:t>
            </m:r>
            <m:r>
              <m:t>v</m:t>
            </m:r>
          </m:e>
        </m:d>
        <m:r>
          <m:rPr>
            <m:sty m:val="p"/>
          </m:rPr>
          <m:t>−</m:t>
        </m:r>
        <m:sSup>
          <m:e>
            <m:r>
              <m:t>D</m:t>
            </m:r>
          </m:e>
          <m:sup>
            <m:r>
              <m:rPr>
                <m:sty m:val="p"/>
              </m:rPr>
              <m:t>*</m:t>
            </m:r>
          </m:sup>
        </m:sSup>
        <m:d>
          <m:dPr>
            <m:begChr m:val="("/>
            <m:endChr m:val=")"/>
            <m:sepChr m:val=""/>
            <m:grow/>
          </m:dPr>
          <m:e>
            <m:r>
              <m:t>θ</m:t>
            </m:r>
            <m:r>
              <m:rPr>
                <m:sty m:val="p"/>
              </m:rPr>
              <m:t>,</m:t>
            </m:r>
            <m:r>
              <m:t>v</m:t>
            </m:r>
          </m:e>
        </m:d>
        <m:r>
          <m:rPr>
            <m:sty m:val="p"/>
          </m:rPr>
          <m:t>=</m:t>
        </m:r>
        <m:r>
          <m:t>θ</m:t>
        </m:r>
        <m:r>
          <m:t> </m:t>
        </m:r>
        <m:d>
          <m:dPr>
            <m:begChr m:val="["/>
            <m:endChr m:val="]"/>
            <m:sepChr m:val=""/>
            <m:grow/>
          </m:dPr>
          <m:e>
            <m:sSub>
              <m:e>
                <m:r>
                  <m:t>D</m:t>
                </m:r>
              </m:e>
              <m:sub>
                <m:r>
                  <m:t>A</m:t>
                </m:r>
              </m:sub>
            </m:sSub>
            <m:d>
              <m:dPr>
                <m:begChr m:val="("/>
                <m:endChr m:val=")"/>
                <m:sepChr m:val=""/>
                <m:grow/>
              </m:dPr>
              <m:e>
                <m:r>
                  <m:t>v</m:t>
                </m:r>
              </m:e>
            </m:d>
            <m:r>
              <m:rPr>
                <m:sty m:val="p"/>
              </m:rPr>
              <m:t>−</m:t>
            </m:r>
            <m:sSubSup>
              <m:e>
                <m:r>
                  <m:t>D</m:t>
                </m:r>
              </m:e>
              <m:sub>
                <m:r>
                  <m:t>A</m:t>
                </m:r>
              </m:sub>
              <m:sup>
                <m:r>
                  <m:rPr>
                    <m:sty m:val="p"/>
                  </m:rPr>
                  <m:t>*</m:t>
                </m:r>
              </m:sup>
            </m:sSubSup>
            <m:d>
              <m:dPr>
                <m:begChr m:val="("/>
                <m:endChr m:val=")"/>
                <m:sepChr m:val=""/>
                <m:grow/>
              </m:dPr>
              <m:e>
                <m:r>
                  <m:t>v</m:t>
                </m:r>
              </m:e>
            </m:d>
          </m:e>
        </m:d>
      </m:oMath>
      <w:r>
        <w:t xml:space="preserve">, which scales with</w:t>
      </w:r>
      <w:r>
        <w:t xml:space="preserve"> </w:t>
      </w:r>
      <m:oMath>
        <m:r>
          <m:t>θ</m:t>
        </m:r>
      </m:oMath>
      <w:r>
        <w:t xml:space="preserve">.</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Start w:id="37" w:name="X5fa26700188c78a6270967b2fafe01a40ddc08f"/>
    <w:p>
      <w:pPr>
        <w:pStyle w:val="Heading2"/>
      </w:pPr>
      <w:r>
        <w:t xml:space="preserve">4.7 Robustness: Can Rational Information Explain Order Dependence?</w:t>
      </w:r>
    </w:p>
    <w:p>
      <w:pPr>
        <w:pStyle w:val="FirstParagraph"/>
      </w:pPr>
      <w:r>
        <w:t xml:space="preserve">A rational developer can also behave differently before and after generation if generating the artifact reveals information about the work ahead: that the code runs, that the task is easier than expected, or that the surrounding code is harder to change. This is a legitimate objection to the order-dependence implication (P12) and to the statistics that rest on it, and we address it inside the model. Let the rework cost</w:t>
      </w:r>
      <w:r>
        <w:t xml:space="preserve"> </w:t>
      </w:r>
      <m:oMath>
        <m:r>
          <m:t>R</m:t>
        </m:r>
      </m:oMath>
      <w:r>
        <w:t xml:space="preserve"> </w:t>
      </w:r>
      <w:r>
        <w:t xml:space="preserve">be unknown when the developer decides ex ante, with prior mean</w:t>
      </w:r>
      <w:r>
        <w:t xml:space="preserve"> </w:t>
      </w:r>
      <m:oMath>
        <m:acc>
          <m:accPr>
            <m:chr m:val="‾"/>
          </m:accPr>
          <m:e>
            <m:r>
              <m:t>R</m:t>
            </m:r>
          </m:e>
        </m:acc>
        <m:r>
          <m:rPr>
            <m:sty m:val="p"/>
          </m:rPr>
          <m:t>=</m:t>
        </m:r>
        <m:r>
          <m:rPr>
            <m:sty m:val="p"/>
            <m:scr m:val="double-struck"/>
          </m:rPr>
          <m:t>E</m:t>
        </m:r>
        <m:d>
          <m:dPr>
            <m:begChr m:val="["/>
            <m:endChr m:val="]"/>
            <m:sepChr m:val=""/>
            <m:grow/>
          </m:dPr>
          <m:e>
            <m:r>
              <m:t>R</m:t>
            </m:r>
          </m:e>
        </m:d>
      </m:oMath>
      <w:r>
        <w:t xml:space="preserve">, and let her observe a signal</w:t>
      </w:r>
      <w:r>
        <w:t xml:space="preserve"> </w:t>
      </w:r>
      <m:oMath>
        <m:r>
          <m:t>S</m:t>
        </m:r>
      </m:oMath>
      <w:r>
        <w:t xml:space="preserve"> </w:t>
      </w:r>
      <w:r>
        <w:t xml:space="preserve">about it only once the artifact exists, with posterior mean</w:t>
      </w:r>
      <w:r>
        <w:t xml:space="preserve"> </w:t>
      </w:r>
      <m:oMath>
        <m:r>
          <m:t>m</m:t>
        </m:r>
        <m:d>
          <m:dPr>
            <m:begChr m:val="("/>
            <m:endChr m:val=")"/>
            <m:sepChr m:val=""/>
            <m:grow/>
          </m:dPr>
          <m:e>
            <m:r>
              <m:t>S</m:t>
            </m:r>
          </m:e>
        </m:d>
        <m:r>
          <m:rPr>
            <m:sty m:val="p"/>
          </m:rPr>
          <m:t>=</m:t>
        </m:r>
        <m:r>
          <m:rPr>
            <m:sty m:val="p"/>
            <m:scr m:val="double-struck"/>
          </m:rPr>
          <m:t>E</m:t>
        </m:r>
        <m:d>
          <m:dPr>
            <m:begChr m:val="["/>
            <m:endChr m:val="]"/>
            <m:sepChr m:val=""/>
            <m:grow/>
          </m:dPr>
          <m:e>
            <m:r>
              <m:t>R</m:t>
            </m:r>
            <m:r>
              <m:rPr>
                <m:sty m:val="p"/>
              </m:rPr>
              <m:t>∣</m:t>
            </m:r>
            <m:r>
              <m:t>S</m:t>
            </m:r>
          </m:e>
        </m:d>
      </m:oMath>
      <w:r>
        <w:t xml:space="preserve">, so that</w:t>
      </w:r>
      <w:r>
        <w:t xml:space="preserve"> </w:t>
      </w:r>
      <m:oMath>
        <m:r>
          <m:rPr>
            <m:sty m:val="p"/>
            <m:scr m:val="double-struck"/>
          </m:rPr>
          <m:t>E</m:t>
        </m:r>
        <m:d>
          <m:dPr>
            <m:begChr m:val="["/>
            <m:endChr m:val="]"/>
            <m:sepChr m:val=""/>
            <m:grow/>
          </m:dPr>
          <m:e>
            <m:r>
              <m:t>m</m:t>
            </m:r>
            <m:d>
              <m:dPr>
                <m:begChr m:val="("/>
                <m:endChr m:val=")"/>
                <m:sepChr m:val=""/>
                <m:grow/>
              </m:dPr>
              <m:e>
                <m:r>
                  <m:t>S</m:t>
                </m:r>
              </m:e>
            </m:d>
          </m:e>
        </m:d>
        <m:r>
          <m:rPr>
            <m:sty m:val="p"/>
          </m:rPr>
          <m:t>=</m:t>
        </m:r>
        <m:acc>
          <m:accPr>
            <m:chr m:val="‾"/>
          </m:accPr>
          <m:e>
            <m:r>
              <m:t>R</m:t>
            </m:r>
          </m:e>
        </m:acc>
      </m:oMath>
      <w:r>
        <w:t xml:space="preserve">. A rational developer (</w:t>
      </w:r>
      <m:oMath>
        <m:r>
          <m:t>β</m:t>
        </m:r>
        <m:r>
          <m:rPr>
            <m:sty m:val="p"/>
          </m:rPr>
          <m:t>=</m:t>
        </m:r>
        <m:r>
          <m:t>φ</m:t>
        </m:r>
        <m:r>
          <m:rPr>
            <m:sty m:val="p"/>
          </m:rPr>
          <m:t>=</m:t>
        </m:r>
        <m:r>
          <m:t>λ</m:t>
        </m:r>
        <m:r>
          <m:rPr>
            <m:sty m:val="p"/>
          </m:rPr>
          <m:t>=</m:t>
        </m:r>
        <m:r>
          <m:t>1</m:t>
        </m:r>
      </m:oMath>
      <w:r>
        <w:t xml:space="preserve">,</w:t>
      </w:r>
      <w:r>
        <w:t xml:space="preserve"> </w:t>
      </w:r>
      <m:oMath>
        <m:r>
          <m:t>α</m:t>
        </m:r>
        <m:r>
          <m:rPr>
            <m:sty m:val="p"/>
          </m:rPr>
          <m:t>=</m:t>
        </m:r>
        <m:r>
          <m:t>0</m:t>
        </m:r>
      </m:oMath>
      <w:r>
        <w:t xml:space="preserve">) improves the code if and only if</w:t>
      </w:r>
      <w:r>
        <w:t xml:space="preserve"> </w:t>
      </w:r>
      <m:oMath>
        <m:r>
          <m:t>t</m:t>
        </m:r>
        <m:r>
          <m:rPr>
            <m:sty m:val="p"/>
          </m:rPr>
          <m:t>&lt;</m:t>
        </m:r>
        <m:r>
          <m:t>m</m:t>
        </m:r>
      </m:oMath>
      <w:r>
        <w:t xml:space="preserve">, where</w:t>
      </w:r>
      <w:r>
        <w:t xml:space="preserve"> </w:t>
      </w:r>
      <m:oMath>
        <m:r>
          <m:t>t</m:t>
        </m:r>
        <m:r>
          <m:rPr>
            <m:sty m:val="p"/>
          </m:rPr>
          <m:t>≡</m:t>
        </m:r>
        <m:r>
          <m:t>v</m:t>
        </m:r>
        <m:r>
          <m:t>c</m:t>
        </m:r>
        <m:r>
          <m:rPr>
            <m:sty m:val="p"/>
          </m:rPr>
          <m:t>/</m:t>
        </m:r>
        <m:r>
          <m:t>δ</m:t>
        </m:r>
      </m:oMath>
      <w:r>
        <w:t xml:space="preserve"> </w:t>
      </w:r>
      <w:r>
        <w:t xml:space="preserve">and</w:t>
      </w:r>
      <w:r>
        <w:t xml:space="preserve"> </w:t>
      </w:r>
      <m:oMath>
        <m:r>
          <m:t>m</m:t>
        </m:r>
      </m:oMath>
      <w:r>
        <w:t xml:space="preserve"> </w:t>
      </w:r>
      <w:r>
        <w:t xml:space="preserve">is her current posterior mean. For a given case, the</w:t>
      </w:r>
      <w:r>
        <w:t xml:space="preserve"> </w:t>
      </w:r>
      <w:r>
        <w:rPr>
          <w:iCs/>
          <w:i/>
        </w:rPr>
        <w:t xml:space="preserve">possession effect</w:t>
      </w:r>
      <w:r>
        <w:t xml:space="preserve"> </w:t>
      </w:r>
      <w:r>
        <w:t xml:space="preserve">is the probability of deferring after the artifact exists minus the probability of deferring ex ante.</w:t>
      </w:r>
    </w:p>
    <w:p>
      <w:pPr>
        <w:pStyle w:val="BodyText"/>
      </w:pPr>
      <w:r>
        <w:rPr>
          <w:bCs/>
          <w:b/>
        </w:rPr>
        <w:t xml:space="preserve">Result 9 (information and order).</w:t>
      </w:r>
      <w:r>
        <w:t xml:space="preserve"> </w:t>
      </w:r>
      <w:r>
        <w:t xml:space="preserve">(a) If the developer has the same information about</w:t>
      </w:r>
      <w:r>
        <w:t xml:space="preserve"> </w:t>
      </w:r>
      <m:oMath>
        <m:r>
          <m:t>R</m:t>
        </m:r>
      </m:oMath>
      <w:r>
        <w:t xml:space="preserve"> </w:t>
      </w:r>
      <w:r>
        <w:t xml:space="preserve">whenever she decides, in particular when</w:t>
      </w:r>
      <w:r>
        <w:t xml:space="preserve"> </w:t>
      </w:r>
      <m:oMath>
        <m:r>
          <m:t>R</m:t>
        </m:r>
      </m:oMath>
      <w:r>
        <w:t xml:space="preserve"> </w:t>
      </w:r>
      <w:r>
        <w:t xml:space="preserve">is stated, the rational thresholds coincide across orderings: the possession effect and the lapse rate are zero. (b) Otherwise, in a case with</w:t>
      </w:r>
      <w:r>
        <w:t xml:space="preserve"> </w:t>
      </w:r>
      <m:oMath>
        <m:acc>
          <m:accPr>
            <m:chr m:val="‾"/>
          </m:accPr>
          <m:e>
            <m:r>
              <m:t>R</m:t>
            </m:r>
          </m:e>
        </m:acc>
        <m:r>
          <m:rPr>
            <m:sty m:val="p"/>
          </m:rPr>
          <m:t>&gt;</m:t>
        </m:r>
        <m:r>
          <m:t>t</m:t>
        </m:r>
      </m:oMath>
      <w:r>
        <w:t xml:space="preserve">, so that improvement is warranted ex ante, the rational possession effect equals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It is bounded by</w:t>
      </w:r>
      <w:r>
        <w:t xml:space="preserve"> </w:t>
      </w:r>
      <m:oMath>
        <m:r>
          <m:t>V</m:t>
        </m:r>
        <m:r>
          <m:rPr>
            <m:sty m:val="p"/>
          </m:rPr>
          <m:t>/</m:t>
        </m:r>
        <m:d>
          <m:dPr>
            <m:begChr m:val="["/>
            <m:endChr m:val="]"/>
            <m:sepChr m:val=""/>
            <m:grow/>
          </m:dPr>
          <m:e>
            <m:r>
              <m:t>V</m:t>
            </m:r>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with</w:t>
      </w:r>
      <w:r>
        <w:t xml:space="preserve"> </w:t>
      </w:r>
      <m:oMath>
        <m:r>
          <m:t>V</m:t>
        </m:r>
        <m:r>
          <m:rPr>
            <m:sty m:val="p"/>
          </m:rPr>
          <m:t>=</m:t>
        </m:r>
        <m:r>
          <m:rPr>
            <m:sty m:val="p"/>
          </m:rPr>
          <m:t>V</m:t>
        </m:r>
        <m:r>
          <m:rPr>
            <m:sty m:val="p"/>
          </m:rPr>
          <m:t>a</m:t>
        </m:r>
        <m:r>
          <m:rPr>
            <m:sty m:val="p"/>
          </m:rPr>
          <m:t>r</m:t>
        </m:r>
        <m:d>
          <m:dPr>
            <m:begChr m:val="("/>
            <m:endChr m:val=")"/>
            <m:sepChr m:val=""/>
            <m:grow/>
          </m:dPr>
          <m:e>
            <m:r>
              <m:t>m</m:t>
            </m:r>
            <m:d>
              <m:dPr>
                <m:begChr m:val="("/>
                <m:endChr m:val=")"/>
                <m:sepChr m:val=""/>
                <m:grow/>
              </m:dPr>
              <m:e>
                <m:r>
                  <m:t>S</m:t>
                </m:r>
              </m:e>
            </m:d>
          </m:e>
        </m:d>
        <m:r>
          <m:rPr>
            <m:sty m:val="p"/>
          </m:rPr>
          <m:t>≤</m:t>
        </m:r>
        <m:r>
          <m:rPr>
            <m:sty m:val="p"/>
          </m:rPr>
          <m:t>V</m:t>
        </m:r>
        <m:r>
          <m:rPr>
            <m:sty m:val="p"/>
          </m:rPr>
          <m:t>a</m:t>
        </m:r>
        <m:r>
          <m:rPr>
            <m:sty m:val="p"/>
          </m:rPr>
          <m:t>r</m:t>
        </m:r>
        <m:d>
          <m:dPr>
            <m:begChr m:val="("/>
            <m:endChr m:val=")"/>
            <m:sepChr m:val=""/>
            <m:grow/>
          </m:dPr>
          <m:e>
            <m:r>
              <m:t>R</m:t>
            </m:r>
          </m:e>
        </m:d>
      </m:oMath>
      <w:r>
        <w:t xml:space="preserve">, and it vanishes as the signal becomes uninformative. In a case with</w:t>
      </w:r>
      <w:r>
        <w:t xml:space="preserve"> </w:t>
      </w:r>
      <m:oMath>
        <m:acc>
          <m:accPr>
            <m:chr m:val="‾"/>
          </m:accPr>
          <m:e>
            <m:r>
              <m:t>R</m:t>
            </m:r>
          </m:e>
        </m:acc>
        <m:r>
          <m:rPr>
            <m:sty m:val="p"/>
          </m:rPr>
          <m:t>≤</m:t>
        </m:r>
        <m:r>
          <m:t>t</m:t>
        </m:r>
      </m:oMath>
      <w:r>
        <w:t xml:space="preserve"> </w:t>
      </w:r>
      <w:r>
        <w:t xml:space="preserve">it is nonpositive. (c) For a developer with the same information and wedges</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the possession effect in a case with</w:t>
      </w:r>
      <w:r>
        <w:t xml:space="preserve"> </w:t>
      </w:r>
      <m:oMath>
        <m:acc>
          <m:accPr>
            <m:chr m:val="‾"/>
          </m:accPr>
          <m:e>
            <m:r>
              <m:t>R</m:t>
            </m:r>
          </m:e>
        </m:acc>
        <m:r>
          <m:rPr>
            <m:sty m:val="p"/>
          </m:rPr>
          <m:t>&gt;</m:t>
        </m:r>
        <m:r>
          <m:t>t</m:t>
        </m:r>
      </m:oMath>
      <w:r>
        <w:t xml:space="preserve"> </w:t>
      </w:r>
      <w:r>
        <w:t xml:space="preserve">is</w:t>
      </w:r>
      <w:r>
        <w:t xml:space="preserve"> </w:t>
      </w:r>
      <m:oMath>
        <m:r>
          <m:rPr>
            <m:sty m:val="p"/>
          </m:rPr>
          <m:t>Pr</m:t>
        </m:r>
        <m:d>
          <m:dPr>
            <m:begChr m:val="("/>
            <m:endChr m:val=")"/>
            <m:sepChr m:val=""/>
            <m:grow/>
          </m:dPr>
          <m:e>
            <m:r>
              <m:t>m</m:t>
            </m:r>
            <m:d>
              <m:dPr>
                <m:begChr m:val="("/>
                <m:endChr m:val=")"/>
                <m:sepChr m:val=""/>
                <m:grow/>
              </m:dPr>
              <m:e>
                <m:r>
                  <m:t>S</m:t>
                </m:r>
              </m:e>
            </m:d>
            <m:r>
              <m:rPr>
                <m:sty m:val="p"/>
              </m:rPr>
              <m:t>≤</m:t>
            </m:r>
            <m:r>
              <m:t>λ</m:t>
            </m:r>
            <m:r>
              <m:t>t</m:t>
            </m:r>
            <m:r>
              <m:rPr>
                <m:sty m:val="p"/>
              </m:rPr>
              <m:t>/</m:t>
            </m:r>
            <m:r>
              <m:t>β</m:t>
            </m:r>
          </m:e>
        </m:d>
      </m:oMath>
      <w:r>
        <w:t xml:space="preserve">, which exceeds the rational effect by</w:t>
      </w:r>
      <w:r>
        <w:t xml:space="preserve"> </w:t>
      </w:r>
      <m:oMath>
        <m:r>
          <m:rPr>
            <m:sty m:val="p"/>
          </m:rPr>
          <m:t>Pr</m:t>
        </m:r>
        <m:d>
          <m:dPr>
            <m:begChr m:val="("/>
            <m:endChr m:val=")"/>
            <m:sepChr m:val=""/>
            <m:grow/>
          </m:dPr>
          <m:e>
            <m:r>
              <m:t>t</m:t>
            </m:r>
            <m:r>
              <m:rPr>
                <m:sty m:val="p"/>
              </m:rPr>
              <m:t>&lt;</m:t>
            </m:r>
            <m:r>
              <m:t>m</m:t>
            </m:r>
            <m:d>
              <m:dPr>
                <m:begChr m:val="("/>
                <m:endChr m:val=")"/>
                <m:sepChr m:val=""/>
                <m:grow/>
              </m:dPr>
              <m:e>
                <m:r>
                  <m:t>S</m:t>
                </m:r>
              </m:e>
            </m:d>
            <m:r>
              <m:rPr>
                <m:sty m:val="p"/>
              </m:rPr>
              <m:t>≤</m:t>
            </m:r>
            <m:r>
              <m:t>λ</m:t>
            </m:r>
            <m:r>
              <m:t>t</m:t>
            </m:r>
            <m:r>
              <m:rPr>
                <m:sty m:val="p"/>
              </m:rPr>
              <m:t>/</m:t>
            </m:r>
            <m:r>
              <m:t>β</m:t>
            </m:r>
          </m:e>
        </m:d>
        <m:r>
          <m:rPr>
            <m:sty m:val="p"/>
          </m:rPr>
          <m:t>≥</m:t>
        </m:r>
        <m:r>
          <m:t>0</m:t>
        </m:r>
      </m:oMath>
      <w:r>
        <w:t xml:space="preserve">.</w:t>
      </w:r>
    </w:p>
    <w:p>
      <w:pPr>
        <w:pStyle w:val="BodyText"/>
      </w:pPr>
      <w:r>
        <w:t xml:space="preserve">Information therefore produces order effects of a different kind from the wedges. The informational effect depends on the case: it is nonnegative where improvement is warranted ex ante and nonpositive where it is not, because information moves decisions toward indifference. It is bounded by the dispersion of the signal, and it disappears when the signal is uninformative. The wedge effect is a one-directional shift of the deferral threshold by the factor</w:t>
      </w:r>
      <w:r>
        <w:t xml:space="preserve"> </w:t>
      </w:r>
      <m:oMath>
        <m:r>
          <m:t>λ</m:t>
        </m:r>
        <m:r>
          <m:rPr>
            <m:sty m:val="p"/>
          </m:rPr>
          <m:t>/</m:t>
        </m:r>
        <m:r>
          <m:t>β</m:t>
        </m:r>
      </m:oMath>
      <w:r>
        <w:t xml:space="preserve"> </w:t>
      </w:r>
      <w:r>
        <w:t xml:space="preserve">and does not depend on any signal. Two consequences follow. In an experiment that states</w:t>
      </w:r>
      <w:r>
        <w:t xml:space="preserve"> </w:t>
      </w:r>
      <m:oMath>
        <m:r>
          <m:t>R</m:t>
        </m:r>
      </m:oMath>
      <w:r>
        <w:t xml:space="preserve"> </w:t>
      </w:r>
      <w:r>
        <w:t xml:space="preserve">and the artifact’s quality, information is identical across orderings and part (a) applies, so any order effect cannot be informational. In field data, part (b) gives a way to bound the informational channel from the observed dispersion of rework costs across similar tasks: a possession effect in warranted cases that exceeds</w:t>
      </w:r>
      <w:r>
        <w:t xml:space="preserve"> </w:t>
      </w:r>
      <m:oMath>
        <m:r>
          <m:rPr>
            <m:sty m:val="p"/>
          </m:rPr>
          <m:t>V</m:t>
        </m:r>
        <m:r>
          <m:rPr>
            <m:sty m:val="p"/>
          </m:rPr>
          <m:t>a</m:t>
        </m:r>
        <m:r>
          <m:rPr>
            <m:sty m:val="p"/>
          </m:rPr>
          <m:t>r</m:t>
        </m:r>
        <m:d>
          <m:dPr>
            <m:begChr m:val="("/>
            <m:endChr m:val=")"/>
            <m:sepChr m:val=""/>
            <m:grow/>
          </m:dPr>
          <m:e>
            <m:r>
              <m:t>R</m:t>
            </m:r>
          </m:e>
        </m:d>
        <m:r>
          <m:rPr>
            <m:sty m:val="p"/>
          </m:rPr>
          <m:t>/</m:t>
        </m:r>
        <m:d>
          <m:dPr>
            <m:begChr m:val="["/>
            <m:endChr m:val="]"/>
            <m:sepChr m:val=""/>
            <m:grow/>
          </m:dPr>
          <m:e>
            <m:r>
              <m:rPr>
                <m:sty m:val="p"/>
              </m:rPr>
              <m:t>V</m:t>
            </m:r>
            <m:r>
              <m:rPr>
                <m:sty m:val="p"/>
              </m:rPr>
              <m:t>a</m:t>
            </m:r>
            <m:r>
              <m:rPr>
                <m:sty m:val="p"/>
              </m:rPr>
              <m:t>r</m:t>
            </m:r>
            <m:d>
              <m:dPr>
                <m:begChr m:val="("/>
                <m:endChr m:val=")"/>
                <m:sepChr m:val=""/>
                <m:grow/>
              </m:dPr>
              <m:e>
                <m:r>
                  <m:t>R</m:t>
                </m:r>
              </m:e>
            </m:d>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cannot be explained by information alone.</w:t>
      </w:r>
    </w:p>
    <w:bookmarkEnd w:id="37"/>
    <w:bookmarkEnd w:id="38"/>
    <w:bookmarkStart w:id="47"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 The construction of the data and additional results are in Online Appendix OA5 to OA8.</w:t>
      </w:r>
    </w:p>
    <w:bookmarkStart w:id="39"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9"/>
    <w:bookmarkStart w:id="40" w:name="net-addition-and-review-intensity-p5-p7"/>
    <w:p>
      <w:pPr>
        <w:pStyle w:val="Heading2"/>
      </w:pPr>
      <w:r>
        <w:t xml:space="preserve">5.2 Net Addition and Review Intensity (P5, P7)</w:t>
      </w:r>
    </w:p>
    <w:p>
      <w:pPr>
        <w:pStyle w:val="FirstParagraph"/>
        <w:keepNext/>
      </w:pPr>
      <w:r>
        <w:rPr>
          <w:bCs/>
          <w:b/>
        </w:rPr>
        <w:t xml:space="preserve">Table 3. Agent-authored versus human-authored pull requests within repositories, pooled over three windows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3503"/>
        <w:gridCol w:w="3524"/>
        <w:gridCol w:w="2333"/>
      </w:tblGrid>
      <w:tr>
        <w:trPr>
          <w:tblHeader w:val="true"/>
          <w:cantSplit/>
          <w:tblHeader/>
        </w:trPr>
        <w:tc>
          <w:tcPr>
            <w:tcW w:w="3503"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Outcome</w:t>
            </w:r>
          </w:p>
        </w:tc>
        <w:tc>
          <w:tcPr>
            <w:tcW w:w="3524"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Sample</w:t>
            </w:r>
          </w:p>
        </w:tc>
        <w:tc>
          <w:tcPr>
            <w:tcW w:w="2333"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Agent coefficient (SE)</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Net addition (log additions/deletions)</w:t>
            </w:r>
          </w:p>
        </w:tc>
        <w:tc>
          <w:tcPr>
            <w:tcW w:w="3524" w:type="dxa"/>
          </w:tcPr>
          <w:p>
            <w:pPr>
              <w:pStyle w:val="Compact"/>
              <w:spacing w:before="0" w:after="0" w:line="240" w:lineRule="auto"/>
              <w:ind w:firstLine="0"/>
              <w:jc w:val="left"/>
            </w:pPr>
            <w:r>
              <w:rPr>
                <w:rFonts w:ascii="Times New Roman" w:hAnsi="Times New Roman"/>
                <w:sz w:val="20"/>
              </w:rPr>
              <w:t xml:space="preserve">All repositories</w:t>
            </w:r>
          </w:p>
        </w:tc>
        <w:tc>
          <w:tcPr>
            <w:tcW w:w="2333" w:type="dxa"/>
          </w:tcPr>
          <w:p>
            <w:pPr>
              <w:pStyle w:val="Compact"/>
              <w:spacing w:before="0" w:after="0" w:line="240" w:lineRule="auto"/>
              <w:ind w:firstLine="0"/>
              <w:jc w:val="center"/>
            </w:pPr>
            <w:r>
              <w:rPr>
                <w:rFonts w:ascii="Times New Roman" w:hAnsi="Times New Roman"/>
                <w:sz w:val="20"/>
              </w:rPr>
              <w:t xml:space="preserve">+0.597 (0.022)</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Solo repositories</w:t>
            </w:r>
          </w:p>
        </w:tc>
        <w:tc>
          <w:tcPr>
            <w:tcW w:w="2333" w:type="dxa"/>
          </w:tcPr>
          <w:p>
            <w:pPr>
              <w:pStyle w:val="Compact"/>
              <w:spacing w:before="0" w:after="0" w:line="240" w:lineRule="auto"/>
              <w:ind w:firstLine="0"/>
              <w:jc w:val="center"/>
            </w:pPr>
            <w:r>
              <w:rPr>
                <w:rFonts w:ascii="Times New Roman" w:hAnsi="Times New Roman"/>
                <w:sz w:val="20"/>
              </w:rPr>
              <w:t xml:space="preserve">+0.625 (0.026)</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Team repositories</w:t>
            </w:r>
          </w:p>
        </w:tc>
        <w:tc>
          <w:tcPr>
            <w:tcW w:w="2333" w:type="dxa"/>
          </w:tcPr>
          <w:p>
            <w:pPr>
              <w:pStyle w:val="Compact"/>
              <w:spacing w:before="0" w:after="0" w:line="240" w:lineRule="auto"/>
              <w:ind w:firstLine="0"/>
              <w:jc w:val="center"/>
            </w:pPr>
            <w:r>
              <w:rPr>
                <w:rFonts w:ascii="Times New Roman" w:hAnsi="Times New Roman"/>
                <w:sz w:val="20"/>
              </w:rPr>
              <w:t xml:space="preserve">+0.538 (0.045)</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Any human review</w:t>
            </w:r>
          </w:p>
        </w:tc>
        <w:tc>
          <w:tcPr>
            <w:tcW w:w="3524" w:type="dxa"/>
          </w:tcPr>
          <w:p>
            <w:pPr>
              <w:pStyle w:val="Compact"/>
              <w:spacing w:before="0" w:after="0" w:line="240" w:lineRule="auto"/>
              <w:ind w:firstLine="0"/>
              <w:jc w:val="left"/>
            </w:pPr>
            <w:r>
              <w:rPr>
                <w:rFonts w:ascii="Times New Roman" w:hAnsi="Times New Roman"/>
                <w:sz w:val="20"/>
              </w:rPr>
              <w:t xml:space="preserve">All repositories</w:t>
            </w:r>
          </w:p>
        </w:tc>
        <w:tc>
          <w:tcPr>
            <w:tcW w:w="2333" w:type="dxa"/>
          </w:tcPr>
          <w:p>
            <w:pPr>
              <w:pStyle w:val="Compact"/>
              <w:spacing w:before="0" w:after="0" w:line="240" w:lineRule="auto"/>
              <w:ind w:firstLine="0"/>
              <w:jc w:val="center"/>
            </w:pPr>
            <w:r>
              <w:rPr>
                <w:rFonts w:ascii="Times New Roman" w:hAnsi="Times New Roman"/>
                <w:sz w:val="20"/>
              </w:rPr>
              <w:t xml:space="preserve">+0.026 (0.002)</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Excluding Copilot</w:t>
            </w:r>
          </w:p>
        </w:tc>
        <w:tc>
          <w:tcPr>
            <w:tcW w:w="2333" w:type="dxa"/>
          </w:tcPr>
          <w:p>
            <w:pPr>
              <w:pStyle w:val="Compact"/>
              <w:spacing w:before="0" w:after="0" w:line="240" w:lineRule="auto"/>
              <w:ind w:firstLine="0"/>
              <w:jc w:val="center"/>
            </w:pPr>
            <w:r>
              <w:rPr>
                <w:rFonts w:ascii="Times New Roman" w:hAnsi="Times New Roman"/>
                <w:sz w:val="20"/>
              </w:rPr>
              <w:t xml:space="preserve">−0.005 (0.001)</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Team repositories, excluding Copilot</w:t>
            </w:r>
          </w:p>
        </w:tc>
        <w:tc>
          <w:tcPr>
            <w:tcW w:w="2333" w:type="dxa"/>
          </w:tcPr>
          <w:p>
            <w:pPr>
              <w:pStyle w:val="Compact"/>
              <w:spacing w:before="0" w:after="0" w:line="240" w:lineRule="auto"/>
              <w:ind w:firstLine="0"/>
              <w:jc w:val="center"/>
            </w:pPr>
            <w:r>
              <w:rPr>
                <w:rFonts w:ascii="Times New Roman" w:hAnsi="Times New Roman"/>
                <w:sz w:val="20"/>
              </w:rPr>
              <w:t xml:space="preserve">−0.059 (0.008)</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Human review within 24 hours</w:t>
            </w:r>
          </w:p>
        </w:tc>
        <w:tc>
          <w:tcPr>
            <w:tcW w:w="3524" w:type="dxa"/>
          </w:tcPr>
          <w:p>
            <w:pPr>
              <w:pStyle w:val="Compact"/>
              <w:spacing w:before="0" w:after="0" w:line="240" w:lineRule="auto"/>
              <w:ind w:firstLine="0"/>
              <w:jc w:val="left"/>
            </w:pPr>
            <w:r>
              <w:rPr>
                <w:rFonts w:ascii="Times New Roman" w:hAnsi="Times New Roman"/>
                <w:sz w:val="20"/>
              </w:rPr>
              <w:t xml:space="preserve">Team repositories, excluding Copilot</w:t>
            </w:r>
          </w:p>
        </w:tc>
        <w:tc>
          <w:tcPr>
            <w:tcW w:w="2333" w:type="dxa"/>
          </w:tcPr>
          <w:p>
            <w:pPr>
              <w:pStyle w:val="Compact"/>
              <w:spacing w:before="0" w:after="0" w:line="240" w:lineRule="auto"/>
              <w:ind w:firstLine="0"/>
              <w:jc w:val="center"/>
            </w:pPr>
            <w:r>
              <w:rPr>
                <w:rFonts w:ascii="Times New Roman" w:hAnsi="Times New Roman"/>
                <w:sz w:val="20"/>
              </w:rPr>
              <w:t xml:space="preserve">−0.045 (0.007)</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Number of inline comments (log 1 + count)</w:t>
            </w:r>
          </w:p>
        </w:tc>
        <w:tc>
          <w:tcPr>
            <w:tcW w:w="3524" w:type="dxa"/>
          </w:tcPr>
          <w:p>
            <w:pPr>
              <w:pStyle w:val="Compact"/>
              <w:spacing w:before="0" w:after="0" w:line="240" w:lineRule="auto"/>
              <w:ind w:firstLine="0"/>
              <w:jc w:val="left"/>
            </w:pPr>
            <w:r>
              <w:rPr>
                <w:rFonts w:ascii="Times New Roman" w:hAnsi="Times New Roman"/>
                <w:sz w:val="20"/>
              </w:rPr>
              <w:t xml:space="preserve">Excluding Copilot</w:t>
            </w:r>
          </w:p>
        </w:tc>
        <w:tc>
          <w:tcPr>
            <w:tcW w:w="2333" w:type="dxa"/>
          </w:tcPr>
          <w:p>
            <w:pPr>
              <w:pStyle w:val="Compact"/>
              <w:spacing w:before="0" w:after="0" w:line="240" w:lineRule="auto"/>
              <w:ind w:firstLine="0"/>
              <w:jc w:val="center"/>
            </w:pPr>
            <w:r>
              <w:rPr>
                <w:rFonts w:ascii="Times New Roman" w:hAnsi="Times New Roman"/>
                <w:sz w:val="20"/>
              </w:rPr>
              <w:t xml:space="preserve">+0.001 (0.001)</w:t>
            </w:r>
          </w:p>
        </w:tc>
      </w:tr>
    </w:tbl>
    <w:p>
      <w:pPr>
        <w:pStyle w:val="BodyText"/>
        <w:spacing w:before="160"/>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40"/>
    <w:bookmarkStart w:id="41"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keepNext/>
      </w:pPr>
      <w:r>
        <w:rPr>
          <w:bCs/>
          <w:b/>
        </w:rPr>
        <w:t xml:space="preserve">Table 4. Marker density, agent patches against a human baseline (per 1,000 added lines)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4440"/>
        <w:gridCol w:w="1155"/>
        <w:gridCol w:w="1155"/>
        <w:gridCol w:w="2610"/>
      </w:tblGrid>
      <w:tr>
        <w:trPr>
          <w:tblHeader w:val="true"/>
          <w:cantSplit/>
          <w:tblHeader/>
        </w:trPr>
        <w:tc>
          <w:tcPr>
            <w:tcW w:w="4440"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Measure</w:t>
            </w:r>
          </w:p>
        </w:tc>
        <w:tc>
          <w:tcPr>
            <w:tcW w:w="1155"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Agent</w:t>
            </w:r>
          </w:p>
        </w:tc>
        <w:tc>
          <w:tcPr>
            <w:tcW w:w="1155"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Human</w:t>
            </w:r>
          </w:p>
        </w:tc>
        <w:tc>
          <w:tcPr>
            <w:tcW w:w="2610"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Ratio (95% CI)</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Self-admitted markers</w:t>
            </w:r>
          </w:p>
        </w:tc>
        <w:tc>
          <w:tcPr>
            <w:tcW w:w="1155" w:type="dxa"/>
          </w:tcPr>
          <w:p>
            <w:pPr>
              <w:pStyle w:val="Compact"/>
              <w:spacing w:before="0" w:after="0" w:line="240" w:lineRule="auto"/>
              <w:ind w:firstLine="0"/>
              <w:jc w:val="center"/>
            </w:pPr>
            <w:r>
              <w:rPr>
                <w:rFonts w:ascii="Times New Roman" w:hAnsi="Times New Roman"/>
                <w:sz w:val="20"/>
              </w:rPr>
              <w:t xml:space="preserve">0.62</w:t>
            </w:r>
          </w:p>
        </w:tc>
        <w:tc>
          <w:tcPr>
            <w:tcW w:w="1155" w:type="dxa"/>
          </w:tcPr>
          <w:p>
            <w:pPr>
              <w:pStyle w:val="Compact"/>
              <w:spacing w:before="0" w:after="0" w:line="240" w:lineRule="auto"/>
              <w:ind w:firstLine="0"/>
              <w:jc w:val="center"/>
            </w:pPr>
            <w:r>
              <w:rPr>
                <w:rFonts w:ascii="Times New Roman" w:hAnsi="Times New Roman"/>
                <w:sz w:val="20"/>
              </w:rPr>
              <w:t xml:space="preserve">1.38</w:t>
            </w:r>
          </w:p>
        </w:tc>
        <w:tc>
          <w:tcPr>
            <w:tcW w:w="2610" w:type="dxa"/>
          </w:tcPr>
          <w:p>
            <w:pPr>
              <w:pStyle w:val="Compact"/>
              <w:spacing w:before="0" w:after="0" w:line="240" w:lineRule="auto"/>
              <w:ind w:firstLine="0"/>
              <w:jc w:val="center"/>
            </w:pPr>
            <w:r>
              <w:rPr>
                <w:rFonts w:ascii="Times New Roman" w:hAnsi="Times New Roman"/>
                <w:sz w:val="20"/>
              </w:rPr>
              <w:t xml:space="preserve">0.45 (0.33–0.61)</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Smell score</w:t>
            </w:r>
          </w:p>
        </w:tc>
        <w:tc>
          <w:tcPr>
            <w:tcW w:w="1155" w:type="dxa"/>
          </w:tcPr>
          <w:p>
            <w:pPr>
              <w:pStyle w:val="Compact"/>
              <w:spacing w:before="0" w:after="0" w:line="240" w:lineRule="auto"/>
              <w:ind w:firstLine="0"/>
              <w:jc w:val="center"/>
            </w:pPr>
            <w:r>
              <w:rPr>
                <w:rFonts w:ascii="Times New Roman" w:hAnsi="Times New Roman"/>
                <w:sz w:val="20"/>
              </w:rPr>
              <w:t xml:space="preserve">35.9</w:t>
            </w:r>
          </w:p>
        </w:tc>
        <w:tc>
          <w:tcPr>
            <w:tcW w:w="1155" w:type="dxa"/>
          </w:tcPr>
          <w:p>
            <w:pPr>
              <w:pStyle w:val="Compact"/>
              <w:spacing w:before="0" w:after="0" w:line="240" w:lineRule="auto"/>
              <w:ind w:firstLine="0"/>
              <w:jc w:val="center"/>
            </w:pPr>
            <w:r>
              <w:rPr>
                <w:rFonts w:ascii="Times New Roman" w:hAnsi="Times New Roman"/>
                <w:sz w:val="20"/>
              </w:rPr>
              <w:t xml:space="preserve">11.2</w:t>
            </w:r>
          </w:p>
        </w:tc>
        <w:tc>
          <w:tcPr>
            <w:tcW w:w="2610" w:type="dxa"/>
          </w:tcPr>
          <w:p>
            <w:pPr>
              <w:pStyle w:val="Compact"/>
              <w:spacing w:before="0" w:after="0" w:line="240" w:lineRule="auto"/>
              <w:ind w:firstLine="0"/>
              <w:jc w:val="center"/>
            </w:pPr>
            <w:r>
              <w:rPr>
                <w:rFonts w:ascii="Times New Roman" w:hAnsi="Times New Roman"/>
                <w:sz w:val="20"/>
              </w:rPr>
              <w:t xml:space="preserve">3.22 (2.85–3.71)</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Smell score without repeated lines</w:t>
            </w:r>
          </w:p>
        </w:tc>
        <w:tc>
          <w:tcPr>
            <w:tcW w:w="1155" w:type="dxa"/>
          </w:tcPr>
          <w:p>
            <w:pPr>
              <w:pStyle w:val="Compact"/>
              <w:spacing w:before="0" w:after="0" w:line="240" w:lineRule="auto"/>
              <w:ind w:firstLine="0"/>
              <w:jc w:val="center"/>
            </w:pPr>
            <w:r>
              <w:rPr>
                <w:rFonts w:ascii="Times New Roman" w:hAnsi="Times New Roman"/>
                <w:sz w:val="20"/>
              </w:rPr>
              <w:t xml:space="preserve">13.1</w:t>
            </w:r>
          </w:p>
        </w:tc>
        <w:tc>
          <w:tcPr>
            <w:tcW w:w="1155" w:type="dxa"/>
          </w:tcPr>
          <w:p>
            <w:pPr>
              <w:pStyle w:val="Compact"/>
              <w:spacing w:before="0" w:after="0" w:line="240" w:lineRule="auto"/>
              <w:ind w:firstLine="0"/>
              <w:jc w:val="center"/>
            </w:pPr>
            <w:r>
              <w:rPr>
                <w:rFonts w:ascii="Times New Roman" w:hAnsi="Times New Roman"/>
                <w:sz w:val="20"/>
              </w:rPr>
              <w:t xml:space="preserve">4.3</w:t>
            </w:r>
          </w:p>
        </w:tc>
        <w:tc>
          <w:tcPr>
            <w:tcW w:w="2610" w:type="dxa"/>
          </w:tcPr>
          <w:p>
            <w:pPr>
              <w:pStyle w:val="Compact"/>
              <w:spacing w:before="0" w:after="0" w:line="240" w:lineRule="auto"/>
              <w:ind w:firstLine="0"/>
              <w:jc w:val="center"/>
            </w:pPr>
            <w:r>
              <w:rPr>
                <w:rFonts w:ascii="Times New Roman" w:hAnsi="Times New Roman"/>
                <w:sz w:val="20"/>
              </w:rPr>
              <w:t xml:space="preserve">3.04 (2.54–3.79)</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Markers per smell instance</w:t>
            </w:r>
          </w:p>
        </w:tc>
        <w:tc>
          <w:tcPr>
            <w:tcW w:w="1155" w:type="dxa"/>
          </w:tcPr>
          <w:p>
            <w:pPr>
              <w:pStyle w:val="Compact"/>
              <w:spacing w:before="0" w:after="0" w:line="240" w:lineRule="auto"/>
              <w:ind w:firstLine="0"/>
              <w:jc w:val="center"/>
            </w:pPr>
            <w:r>
              <w:rPr>
                <w:rFonts w:ascii="Times New Roman" w:hAnsi="Times New Roman"/>
                <w:sz w:val="20"/>
              </w:rPr>
              <w:t xml:space="preserve">0.017</w:t>
            </w:r>
          </w:p>
        </w:tc>
        <w:tc>
          <w:tcPr>
            <w:tcW w:w="1155" w:type="dxa"/>
          </w:tcPr>
          <w:p>
            <w:pPr>
              <w:pStyle w:val="Compact"/>
              <w:spacing w:before="0" w:after="0" w:line="240" w:lineRule="auto"/>
              <w:ind w:firstLine="0"/>
              <w:jc w:val="center"/>
            </w:pPr>
            <w:r>
              <w:rPr>
                <w:rFonts w:ascii="Times New Roman" w:hAnsi="Times New Roman"/>
                <w:sz w:val="20"/>
              </w:rPr>
              <w:t xml:space="preserve">0.124</w:t>
            </w:r>
          </w:p>
        </w:tc>
        <w:tc>
          <w:tcPr>
            <w:tcW w:w="2610" w:type="dxa"/>
          </w:tcPr>
          <w:p>
            <w:pPr>
              <w:pStyle w:val="Compact"/>
              <w:spacing w:before="0" w:after="0" w:line="240" w:lineRule="auto"/>
              <w:ind w:firstLine="0"/>
              <w:jc w:val="center"/>
            </w:pPr>
            <w:r>
              <w:rPr>
                <w:rFonts w:ascii="Times New Roman" w:hAnsi="Times New Roman"/>
                <w:sz w:val="20"/>
              </w:rPr>
              <w:t xml:space="preserve">0.14 (0.10–0.19)</w:t>
            </w:r>
          </w:p>
        </w:tc>
      </w:tr>
    </w:tbl>
    <w:p>
      <w:pPr>
        <w:pStyle w:val="BodyText"/>
        <w:spacing w:before="160"/>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1"/>
    <w:bookmarkStart w:id="45"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keepNext/>
      </w:pPr>
      <w:r>
        <w:rPr>
          <w:bCs/>
          <w:b/>
        </w:rPr>
        <w:t xml:space="preserve">Table 5. Event study: average effect after adoption, and placebo before adoption</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4491"/>
        <w:gridCol w:w="2124"/>
        <w:gridCol w:w="2745"/>
      </w:tblGrid>
      <w:tr>
        <w:trPr>
          <w:tblHeader w:val="true"/>
          <w:cantSplit/>
          <w:tblHeader/>
        </w:trPr>
        <w:tc>
          <w:tcPr>
            <w:tcW w:w="4491"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Outcome (repository mean)</w:t>
            </w:r>
          </w:p>
        </w:tc>
        <w:tc>
          <w:tcPr>
            <w:tcW w:w="2124"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After adoption (SE)</w:t>
            </w:r>
          </w:p>
        </w:tc>
        <w:tc>
          <w:tcPr>
            <w:tcW w:w="2745"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Before adoption, placebo (SE)</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Net addition, all pull requests</w:t>
            </w:r>
          </w:p>
        </w:tc>
        <w:tc>
          <w:tcPr>
            <w:tcW w:w="2124" w:type="dxa"/>
          </w:tcPr>
          <w:p>
            <w:pPr>
              <w:pStyle w:val="Compact"/>
              <w:spacing w:before="0" w:after="0" w:line="240" w:lineRule="auto"/>
              <w:ind w:firstLine="0"/>
              <w:jc w:val="center"/>
            </w:pPr>
            <w:r>
              <w:rPr>
                <w:rFonts w:ascii="Times New Roman" w:hAnsi="Times New Roman"/>
                <w:sz w:val="20"/>
              </w:rPr>
              <w:t xml:space="preserve">+0.089 (0.042)</w:t>
            </w:r>
          </w:p>
        </w:tc>
        <w:tc>
          <w:tcPr>
            <w:tcW w:w="2745" w:type="dxa"/>
          </w:tcPr>
          <w:p>
            <w:pPr>
              <w:pStyle w:val="Compact"/>
              <w:spacing w:before="0" w:after="0" w:line="240" w:lineRule="auto"/>
              <w:ind w:firstLine="0"/>
              <w:jc w:val="center"/>
            </w:pPr>
            <w:r>
              <w:rPr>
                <w:rFonts w:ascii="Times New Roman" w:hAnsi="Times New Roman"/>
                <w:sz w:val="20"/>
              </w:rPr>
              <w:t xml:space="preserve">+0.025 (0.039)</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Net addition, human pull requests only</w:t>
            </w:r>
          </w:p>
        </w:tc>
        <w:tc>
          <w:tcPr>
            <w:tcW w:w="2124" w:type="dxa"/>
          </w:tcPr>
          <w:p>
            <w:pPr>
              <w:pStyle w:val="Compact"/>
              <w:spacing w:before="0" w:after="0" w:line="240" w:lineRule="auto"/>
              <w:ind w:firstLine="0"/>
              <w:jc w:val="center"/>
            </w:pPr>
            <w:r>
              <w:rPr>
                <w:rFonts w:ascii="Times New Roman" w:hAnsi="Times New Roman"/>
                <w:sz w:val="20"/>
              </w:rPr>
              <w:t xml:space="preserve">+0.037 (0.042)</w:t>
            </w:r>
          </w:p>
        </w:tc>
        <w:tc>
          <w:tcPr>
            <w:tcW w:w="2745" w:type="dxa"/>
          </w:tcPr>
          <w:p>
            <w:pPr>
              <w:pStyle w:val="Compact"/>
              <w:spacing w:before="0" w:after="0" w:line="240" w:lineRule="auto"/>
              <w:ind w:firstLine="0"/>
              <w:jc w:val="center"/>
            </w:pPr>
            <w:r>
              <w:rPr>
                <w:rFonts w:ascii="Times New Roman" w:hAnsi="Times New Roman"/>
                <w:sz w:val="20"/>
              </w:rPr>
              <w:t xml:space="preserve">+0.026 (0.040)</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Share with a human review, all</w:t>
            </w:r>
          </w:p>
        </w:tc>
        <w:tc>
          <w:tcPr>
            <w:tcW w:w="2124" w:type="dxa"/>
          </w:tcPr>
          <w:p>
            <w:pPr>
              <w:pStyle w:val="Compact"/>
              <w:spacing w:before="0" w:after="0" w:line="240" w:lineRule="auto"/>
              <w:ind w:firstLine="0"/>
              <w:jc w:val="center"/>
            </w:pPr>
            <w:r>
              <w:rPr>
                <w:rFonts w:ascii="Times New Roman" w:hAnsi="Times New Roman"/>
                <w:sz w:val="20"/>
              </w:rPr>
              <w:t xml:space="preserve">−0.010 (0.011)</w:t>
            </w:r>
          </w:p>
        </w:tc>
        <w:tc>
          <w:tcPr>
            <w:tcW w:w="2745" w:type="dxa"/>
          </w:tcPr>
          <w:p>
            <w:pPr>
              <w:pStyle w:val="Compact"/>
              <w:spacing w:before="0" w:after="0" w:line="240" w:lineRule="auto"/>
              <w:ind w:firstLine="0"/>
              <w:jc w:val="center"/>
            </w:pPr>
            <w:r>
              <w:rPr>
                <w:rFonts w:ascii="Times New Roman" w:hAnsi="Times New Roman"/>
                <w:sz w:val="20"/>
              </w:rPr>
              <w:t xml:space="preserve">+0.005 (0.011)</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Share of refactoring-titled pull requests</w:t>
            </w:r>
          </w:p>
        </w:tc>
        <w:tc>
          <w:tcPr>
            <w:tcW w:w="2124" w:type="dxa"/>
          </w:tcPr>
          <w:p>
            <w:pPr>
              <w:pStyle w:val="Compact"/>
              <w:spacing w:before="0" w:after="0" w:line="240" w:lineRule="auto"/>
              <w:ind w:firstLine="0"/>
              <w:jc w:val="center"/>
            </w:pPr>
            <w:r>
              <w:rPr>
                <w:rFonts w:ascii="Times New Roman" w:hAnsi="Times New Roman"/>
                <w:sz w:val="20"/>
              </w:rPr>
              <w:t xml:space="preserve">+0.001 (0.005)</w:t>
            </w:r>
          </w:p>
        </w:tc>
        <w:tc>
          <w:tcPr>
            <w:tcW w:w="2745" w:type="dxa"/>
          </w:tcPr>
          <w:p>
            <w:pPr>
              <w:pStyle w:val="Compact"/>
              <w:spacing w:before="0" w:after="0" w:line="240" w:lineRule="auto"/>
              <w:ind w:firstLine="0"/>
              <w:jc w:val="center"/>
            </w:pPr>
            <w:r>
              <w:rPr>
                <w:rFonts w:ascii="Times New Roman" w:hAnsi="Times New Roman"/>
                <w:sz w:val="20"/>
              </w:rPr>
              <w:t xml:space="preserve">0.000 (0.005)</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Merge rate, all</w:t>
            </w:r>
          </w:p>
        </w:tc>
        <w:tc>
          <w:tcPr>
            <w:tcW w:w="2124" w:type="dxa"/>
          </w:tcPr>
          <w:p>
            <w:pPr>
              <w:pStyle w:val="Compact"/>
              <w:spacing w:before="0" w:after="0" w:line="240" w:lineRule="auto"/>
              <w:ind w:firstLine="0"/>
              <w:jc w:val="center"/>
            </w:pPr>
            <w:r>
              <w:rPr>
                <w:rFonts w:ascii="Times New Roman" w:hAnsi="Times New Roman"/>
                <w:sz w:val="20"/>
              </w:rPr>
              <w:t xml:space="preserve">−0.017 (0.008)</w:t>
            </w:r>
          </w:p>
        </w:tc>
        <w:tc>
          <w:tcPr>
            <w:tcW w:w="2745" w:type="dxa"/>
          </w:tcPr>
          <w:p>
            <w:pPr>
              <w:pStyle w:val="Compact"/>
              <w:spacing w:before="0" w:after="0" w:line="240" w:lineRule="auto"/>
              <w:ind w:firstLine="0"/>
              <w:jc w:val="center"/>
            </w:pPr>
            <w:r>
              <w:rPr>
                <w:rFonts w:ascii="Times New Roman" w:hAnsi="Times New Roman"/>
                <w:sz w:val="20"/>
              </w:rPr>
              <w:t xml:space="preserve">+0.010 (0.007)</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log(1 + pull-request count), all</w:t>
            </w:r>
          </w:p>
        </w:tc>
        <w:tc>
          <w:tcPr>
            <w:tcW w:w="2124" w:type="dxa"/>
          </w:tcPr>
          <w:p>
            <w:pPr>
              <w:pStyle w:val="Compact"/>
              <w:spacing w:before="0" w:after="0" w:line="240" w:lineRule="auto"/>
              <w:ind w:firstLine="0"/>
              <w:jc w:val="center"/>
            </w:pPr>
            <w:r>
              <w:rPr>
                <w:rFonts w:ascii="Times New Roman" w:hAnsi="Times New Roman"/>
                <w:sz w:val="20"/>
              </w:rPr>
              <w:t xml:space="preserve">+0.061 (0.019)</w:t>
            </w:r>
          </w:p>
        </w:tc>
        <w:tc>
          <w:tcPr>
            <w:tcW w:w="2745" w:type="dxa"/>
          </w:tcPr>
          <w:p>
            <w:pPr>
              <w:pStyle w:val="Compact"/>
              <w:spacing w:before="0" w:after="0" w:line="240" w:lineRule="auto"/>
              <w:ind w:firstLine="0"/>
              <w:jc w:val="center"/>
            </w:pPr>
            <w:r>
              <w:rPr>
                <w:rFonts w:ascii="Times New Roman" w:hAnsi="Times New Roman"/>
                <w:sz w:val="20"/>
              </w:rPr>
              <w:t xml:space="preserve">n.a.</w:t>
            </w:r>
          </w:p>
        </w:tc>
      </w:tr>
    </w:tbl>
    <w:p>
      <w:pPr>
        <w:pStyle w:val="CaptionedFigure"/>
        <w:spacing w:before="160"/>
      </w:pPr>
      <w:r>
        <w:drawing>
          <wp:inline>
            <wp:extent cx="5943600" cy="5118099"/>
            <wp:effectExtent b="0" l="0" r="0" t="0"/>
            <wp:docPr descr="Figure 1. Event-study estimates by period relative to adoption. Points are estimated effects relative to not-yet-treated repositories; bars are 95 percent confidence intervals. Open circles mark the base period, normalized to zero." title="" id="43" name="Picture"/>
            <a:graphic>
              <a:graphicData uri="http://schemas.openxmlformats.org/drawingml/2006/picture">
                <pic:pic>
                  <pic:nvPicPr>
                    <pic:cNvPr descr="event_study.png" id="44" name="Picture"/>
                    <pic:cNvPicPr>
                      <a:picLocks noChangeArrowheads="1" noChangeAspect="1"/>
                    </pic:cNvPicPr>
                  </pic:nvPicPr>
                  <pic:blipFill>
                    <a:blip r:embed="rId42"/>
                    <a:stretch>
                      <a:fillRect/>
                    </a:stretch>
                  </pic:blipFill>
                  <pic:spPr bwMode="auto">
                    <a:xfrm>
                      <a:off x="0" y="0"/>
                      <a:ext cx="5943600" cy="5118099"/>
                    </a:xfrm>
                    <a:prstGeom prst="rect">
                      <a:avLst/>
                    </a:prstGeom>
                    <a:noFill/>
                    <a:ln w="9525">
                      <a:noFill/>
                      <a:headEnd/>
                      <a:tailEnd/>
                    </a:ln>
                  </pic:spPr>
                </pic:pic>
              </a:graphicData>
            </a:graphic>
          </wp:inline>
        </w:drawing>
      </w:r>
    </w:p>
    <w:p>
      <w:pPr>
        <w:pStyle w:val="ImageCaption"/>
      </w:pPr>
      <w:r>
        <w:t xml:space="preserve">Figure 1. Event-study estimates by period relative to adoption. Points are estimated effects relative to not-yet-treated repositories; bars are 95 percent confidence intervals. Open circles mark the base period, normalized to zero.</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5"/>
    <w:bookmarkStart w:id="46"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The comparison of the choice and acceptance conditions is also the within-person test of the order-dependence implication (P12). Because the rework cost and the code are stated, the developer has the same information in every condition, so rational information cannot explain differences across conditions (Result 9a).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 The full protocol and its simulated power are in Online Appendix OA9.</w:t>
      </w:r>
    </w:p>
    <w:bookmarkEnd w:id="46"/>
    <w:bookmarkEnd w:id="47"/>
    <w:bookmarkStart w:id="52" w:name="discussion"/>
    <w:p>
      <w:pPr>
        <w:pStyle w:val="Heading1"/>
      </w:pPr>
      <w:r>
        <w:t xml:space="preserve">6. Discussion</w:t>
      </w:r>
    </w:p>
    <w:bookmarkStart w:id="48"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8"/>
    <w:bookmarkStart w:id="49"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9"/>
    <w:bookmarkStart w:id="50"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OA3). In field data the informational channel cannot be removed, and Result 9 bounds it but does not eliminate it.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50"/>
    <w:bookmarkStart w:id="51"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1"/>
    <w:bookmarkEnd w:id="52"/>
    <w:bookmarkStart w:id="53"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3"/>
    <w:bookmarkStart w:id="54"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Sims CA (2003) Implications of rational inattention.</w:t>
      </w:r>
      <w:r>
        <w:t xml:space="preserve"> </w:t>
      </w:r>
      <w:r>
        <w:rPr>
          <w:iCs/>
          <w:i/>
        </w:rPr>
        <w:t xml:space="preserve">J. Monetary Econom.</w:t>
      </w:r>
      <w:r>
        <w:t xml:space="preserve"> </w:t>
      </w:r>
      <w:r>
        <w:t xml:space="preserve">50(3):665–690.</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4"/>
    <w:bookmarkStart w:id="55" w:name="appendix-a.-proofs"/>
    <w:p>
      <w:pPr>
        <w:pStyle w:val="Heading1"/>
      </w:pPr>
      <w:r>
        <w:t xml:space="preserve">Appendix A. Proofs</w:t>
      </w:r>
    </w:p>
    <w:p>
      <w:pPr>
        <w:pStyle w:val="FirstParagraph"/>
      </w:pPr>
      <w:r>
        <w:rPr>
          <w:bCs/>
          <w:b/>
        </w:rPr>
        <w:t xml:space="preserve">Lemma 1.</w:t>
      </w:r>
      <w:r>
        <w:t xml:space="preserve"> </w:t>
      </w:r>
      <w:r>
        <w:t xml:space="preserve">(a) Condition (1) contains none of</w:t>
      </w:r>
      <w:r>
        <w:t xml:space="preserve"> </w:t>
      </w:r>
      <m:oMath>
        <m:r>
          <m:t>β</m:t>
        </m:r>
      </m:oMath>
      <w:r>
        <w:t xml:space="preserve">,</w:t>
      </w:r>
      <w:r>
        <w:t xml:space="preserve"> </w:t>
      </w:r>
      <m:oMath>
        <m:r>
          <m:t>φ</m:t>
        </m:r>
      </m:oMath>
      <w:r>
        <w:t xml:space="preserve">,</w:t>
      </w:r>
      <w:r>
        <w:t xml:space="preserve"> </w:t>
      </w:r>
      <m:oMath>
        <m:r>
          <m:t>α</m:t>
        </m:r>
      </m:oMath>
      <w:r>
        <w:t xml:space="preserve">,</w:t>
      </w:r>
      <w:r>
        <w:t xml:space="preserve"> </w:t>
      </w:r>
      <m:oMath>
        <m:r>
          <m:t>λ</m:t>
        </m:r>
      </m:oMath>
      <w:r>
        <w:t xml:space="preserve">, so the decision in the choice regime and its debt probability</w:t>
      </w:r>
      <w:r>
        <w:t xml:space="preserve"> </w:t>
      </w:r>
      <m:oMath>
        <m:r>
          <m:t>F</m:t>
        </m:r>
        <m:d>
          <m:dPr>
            <m:begChr m:val="("/>
            <m:endChr m:val=")"/>
            <m:sepChr m:val=""/>
            <m:grow/>
          </m:dPr>
          <m:e>
            <m:r>
              <m:t>v</m:t>
            </m:r>
            <m:r>
              <m:t>a</m:t>
            </m:r>
            <m:r>
              <m:rPr>
                <m:sty m:val="p"/>
              </m:rPr>
              <m:t>/</m:t>
            </m:r>
            <m:r>
              <m:t>δ</m:t>
            </m:r>
          </m:e>
        </m:d>
      </m:oMath>
      <w:r>
        <w:t xml:space="preserve"> </w:t>
      </w:r>
      <w:r>
        <w:t xml:space="preserve">do not depend on them. A shortcut chosen in this way is recognized, and so is admitted with probability</w:t>
      </w:r>
      <w:r>
        <w:t xml:space="preserve"> </w:t>
      </w:r>
      <m:oMath>
        <m:r>
          <m:t>σ</m:t>
        </m:r>
      </m:oMath>
      <w:r>
        <w:t xml:space="preserve">. The decision taken at date 0 determines what is built at date 1, so there is no plan that can later lapse. (b) This is the wedge argument in the proof of Result 1:</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Each makes debt pointwise weakly higher.</w:t>
      </w:r>
    </w:p>
    <w:p>
      <w:pPr>
        <w:pStyle w:val="BodyText"/>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p>
      <w:pPr>
        <w:pStyle w:val="BodyText"/>
      </w:pPr>
      <w:r>
        <w:rPr>
          <w:bCs/>
          <w:b/>
        </w:rPr>
        <w:t xml:space="preserve">Result 9.</w:t>
      </w:r>
      <w:r>
        <w:t xml:space="preserve"> </w:t>
      </w:r>
      <w:r>
        <w:t xml:space="preserve">(a) The rational rule depends on the information available only through the posterior mean, so identical information gives identical decisions in every ordering. With a plan at date 0 and execution at date 1 on the same information, the plan and its execution coincide, so no plan lapses. (b) With</w:t>
      </w:r>
      <w:r>
        <w:t xml:space="preserve"> </w:t>
      </w:r>
      <m:oMath>
        <m:acc>
          <m:accPr>
            <m:chr m:val="‾"/>
          </m:accPr>
          <m:e>
            <m:r>
              <m:t>R</m:t>
            </m:r>
          </m:e>
        </m:acc>
        <m:r>
          <m:rPr>
            <m:sty m:val="p"/>
          </m:rPr>
          <m:t>&gt;</m:t>
        </m:r>
        <m:r>
          <m:t>t</m:t>
        </m:r>
      </m:oMath>
      <w:r>
        <w:t xml:space="preserve"> </w:t>
      </w:r>
      <w:r>
        <w:t xml:space="preserve">the ex ante decision is to improve, so ex ante deferral is zero and the possession effect is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Cantelli’s inequality for a variable with mean</w:t>
      </w:r>
      <w:r>
        <w:t xml:space="preserve"> </w:t>
      </w:r>
      <m:oMath>
        <m:acc>
          <m:accPr>
            <m:chr m:val="‾"/>
          </m:accPr>
          <m:e>
            <m:r>
              <m:t>R</m:t>
            </m:r>
          </m:e>
        </m:acc>
      </m:oMath>
      <w:r>
        <w:t xml:space="preserve"> </w:t>
      </w:r>
      <w:r>
        <w:t xml:space="preserve">and variance</w:t>
      </w:r>
      <w:r>
        <w:t xml:space="preserve"> </w:t>
      </w:r>
      <m:oMath>
        <m:r>
          <m:t>V</m:t>
        </m:r>
      </m:oMath>
      <w:r>
        <w:t xml:space="preserve"> </w:t>
      </w:r>
      <w:r>
        <w:t xml:space="preserve">gives</w:t>
      </w:r>
      <w:r>
        <w:t xml:space="preserve"> </w:t>
      </w:r>
      <m:oMath>
        <m:r>
          <m:rPr>
            <m:sty m:val="p"/>
          </m:rPr>
          <m:t>Pr</m:t>
        </m:r>
        <m:d>
          <m:dPr>
            <m:begChr m:val="("/>
            <m:endChr m:val=")"/>
            <m:sepChr m:val=""/>
            <m:grow/>
          </m:dPr>
          <m:e>
            <m:r>
              <m:t>m</m:t>
            </m:r>
            <m:r>
              <m:rPr>
                <m:sty m:val="p"/>
              </m:rPr>
              <m:t>≤</m:t>
            </m:r>
            <m:acc>
              <m:accPr>
                <m:chr m:val="‾"/>
              </m:accPr>
              <m:e>
                <m:r>
                  <m:t>R</m:t>
                </m:r>
              </m:e>
            </m:acc>
            <m:r>
              <m:rPr>
                <m:sty m:val="p"/>
              </m:rPr>
              <m:t>−</m:t>
            </m:r>
            <m:r>
              <m:t>a</m:t>
            </m:r>
          </m:e>
        </m:d>
        <m:r>
          <m:rPr>
            <m:sty m:val="p"/>
          </m:rPr>
          <m:t>≤</m:t>
        </m:r>
        <m:r>
          <m:t>V</m:t>
        </m:r>
        <m:r>
          <m:rPr>
            <m:sty m:val="p"/>
          </m:rPr>
          <m:t>/</m:t>
        </m:r>
        <m:d>
          <m:dPr>
            <m:begChr m:val="("/>
            <m:endChr m:val=")"/>
            <m:sepChr m:val=""/>
            <m:grow/>
          </m:dPr>
          <m:e>
            <m:r>
              <m:t>V</m:t>
            </m:r>
            <m:r>
              <m:rPr>
                <m:sty m:val="p"/>
              </m:rPr>
              <m:t>+</m:t>
            </m:r>
            <m:sSup>
              <m:e>
                <m:r>
                  <m:t>a</m:t>
                </m:r>
              </m:e>
              <m:sup>
                <m:r>
                  <m:t>2</m:t>
                </m:r>
              </m:sup>
            </m:sSup>
          </m:e>
        </m:d>
      </m:oMath>
      <w:r>
        <w:t xml:space="preserve"> </w:t>
      </w:r>
      <w:r>
        <w:t xml:space="preserve">with</w:t>
      </w:r>
      <w:r>
        <w:t xml:space="preserve"> </w:t>
      </w:r>
      <m:oMath>
        <m:r>
          <m:t>a</m:t>
        </m:r>
        <m:r>
          <m:rPr>
            <m:sty m:val="p"/>
          </m:rPr>
          <m:t>=</m:t>
        </m:r>
        <m:acc>
          <m:accPr>
            <m:chr m:val="‾"/>
          </m:accPr>
          <m:e>
            <m:r>
              <m:t>R</m:t>
            </m:r>
          </m:e>
        </m:acc>
        <m:r>
          <m:rPr>
            <m:sty m:val="p"/>
          </m:rPr>
          <m:t>−</m:t>
        </m:r>
        <m:r>
          <m:t>t</m:t>
        </m:r>
        <m:r>
          <m:rPr>
            <m:sty m:val="p"/>
          </m:rPr>
          <m:t>&gt;</m:t>
        </m:r>
        <m:r>
          <m:t>0</m:t>
        </m:r>
      </m:oMath>
      <w:r>
        <w:t xml:space="preserve">, and</w:t>
      </w:r>
      <w:r>
        <w:t xml:space="preserve"> </w:t>
      </w:r>
      <m:oMath>
        <m:r>
          <m:t>V</m:t>
        </m:r>
        <m:r>
          <m:rPr>
            <m:sty m:val="p"/>
          </m:rPr>
          <m:t>≤</m:t>
        </m:r>
        <m:r>
          <m:rPr>
            <m:sty m:val="p"/>
          </m:rPr>
          <m:t>V</m:t>
        </m:r>
        <m:r>
          <m:rPr>
            <m:sty m:val="p"/>
          </m:rPr>
          <m:t>a</m:t>
        </m:r>
        <m:r>
          <m:rPr>
            <m:sty m:val="p"/>
          </m:rPr>
          <m:t>r</m:t>
        </m:r>
        <m:d>
          <m:dPr>
            <m:begChr m:val="("/>
            <m:endChr m:val=")"/>
            <m:sepChr m:val=""/>
            <m:grow/>
          </m:dPr>
          <m:e>
            <m:r>
              <m:t>R</m:t>
            </m:r>
          </m:e>
        </m:d>
      </m:oMath>
      <w:r>
        <w:t xml:space="preserve"> </w:t>
      </w:r>
      <w:r>
        <w:t xml:space="preserve">by the law of total variance. If</w:t>
      </w:r>
      <w:r>
        <w:t xml:space="preserve"> </w:t>
      </w:r>
      <m:oMath>
        <m:acc>
          <m:accPr>
            <m:chr m:val="‾"/>
          </m:accPr>
          <m:e>
            <m:r>
              <m:t>R</m:t>
            </m:r>
          </m:e>
        </m:acc>
        <m:r>
          <m:rPr>
            <m:sty m:val="p"/>
          </m:rPr>
          <m:t>≤</m:t>
        </m:r>
        <m:r>
          <m:t>t</m:t>
        </m:r>
      </m:oMath>
      <w:r>
        <w:t xml:space="preserve">, ex ante deferral is one and the post-generation probability cannot exceed one. If the signal is uninformative,</w:t>
      </w:r>
      <w:r>
        <w:t xml:space="preserve"> </w:t>
      </w:r>
      <m:oMath>
        <m:r>
          <m:t>m</m:t>
        </m:r>
        <m:d>
          <m:dPr>
            <m:begChr m:val="("/>
            <m:endChr m:val=")"/>
            <m:sepChr m:val=""/>
            <m:grow/>
          </m:dPr>
          <m:e>
            <m:r>
              <m:t>S</m:t>
            </m:r>
          </m:e>
        </m:d>
        <m:r>
          <m:rPr>
            <m:sty m:val="p"/>
          </m:rPr>
          <m:t>=</m:t>
        </m:r>
        <m:acc>
          <m:accPr>
            <m:chr m:val="‾"/>
          </m:accPr>
          <m:e>
            <m:r>
              <m:t>R</m:t>
            </m:r>
          </m:e>
        </m:acc>
        <m:r>
          <m:rPr>
            <m:sty m:val="p"/>
          </m:rPr>
          <m:t>&gt;</m:t>
        </m:r>
        <m:r>
          <m:t>t</m:t>
        </m:r>
      </m:oMath>
      <w:r>
        <w:t xml:space="preserve"> </w:t>
      </w:r>
      <w:r>
        <w:t xml:space="preserve">almost surely and the effect is zero. (c) The ex ante rule (1) does not involve</w:t>
      </w:r>
      <w:r>
        <w:t xml:space="preserve"> </w:t>
      </w:r>
      <m:oMath>
        <m:r>
          <m:t>β</m:t>
        </m:r>
      </m:oMath>
      <w:r>
        <w:t xml:space="preserve"> </w:t>
      </w:r>
      <w:r>
        <w:t xml:space="preserve">or</w:t>
      </w:r>
      <w:r>
        <w:t xml:space="preserve"> </w:t>
      </w:r>
      <m:oMath>
        <m:r>
          <m:t>λ</m:t>
        </m:r>
      </m:oMath>
      <w:r>
        <w:t xml:space="preserve">, so ex ante deferral is again zero; after generation she defers when</w:t>
      </w:r>
      <w:r>
        <w:t xml:space="preserve"> </w:t>
      </w:r>
      <m:oMath>
        <m:r>
          <m:t>m</m:t>
        </m:r>
        <m:d>
          <m:dPr>
            <m:begChr m:val="("/>
            <m:endChr m:val=")"/>
            <m:sepChr m:val=""/>
            <m:grow/>
          </m:dPr>
          <m:e>
            <m:r>
              <m:t>S</m:t>
            </m:r>
          </m:e>
        </m:d>
        <m:r>
          <m:rPr>
            <m:sty m:val="p"/>
          </m:rPr>
          <m:t>≤</m:t>
        </m:r>
        <m:r>
          <m:t>λ</m:t>
        </m:r>
        <m:r>
          <m:t>t</m:t>
        </m:r>
        <m:r>
          <m:rPr>
            <m:sty m:val="p"/>
          </m:rPr>
          <m:t>/</m:t>
        </m:r>
        <m:r>
          <m:t>β</m:t>
        </m:r>
      </m:oMath>
      <w:r>
        <w:t xml:space="preserve"> </w:t>
      </w:r>
      <w:r>
        <w:t xml:space="preserve">by the analogue of (2), and the difference from the rational effect is the probability of the interval</w:t>
      </w:r>
      <w:r>
        <w:t xml:space="preserve"> </w:t>
      </w:r>
      <m:oMath>
        <m:r>
          <m:rPr>
            <m:sty m:val="p"/>
          </m:rPr>
          <m:t>(</m:t>
        </m:r>
        <m:r>
          <m:t>t</m:t>
        </m:r>
        <m:r>
          <m:rPr>
            <m:sty m:val="p"/>
          </m:rPr>
          <m:t>,</m:t>
        </m:r>
        <m:r>
          <m:t>λ</m:t>
        </m:r>
        <m:r>
          <m:t>t</m:t>
        </m:r>
        <m:r>
          <m:rPr>
            <m:sty m:val="p"/>
          </m:rPr>
          <m:t>/</m:t>
        </m:r>
        <m:r>
          <m:t>β</m:t>
        </m:r>
        <m:r>
          <m:rPr>
            <m:sty m:val="p"/>
          </m:rPr>
          <m:t>]</m:t>
        </m:r>
      </m:oMath>
      <w:r>
        <w:t xml:space="preserve">.</w:t>
      </w:r>
    </w:p>
    <w:bookmarkEnd w:id="55"/>
    <w:sectPr>
      <w:footerReference w:type="default" r:id="rId9"/>
      <w:pgSz w:w="12240" w:h="158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2026-10-11T09:43:14Z</dcterms:created>
  <dcterms:modified xsi:type="dcterms:W3CDTF">2026-10-11T09:43:14Z</dcterms:modified>
</cp:coreProperties>
</file>

<file path=docProps/custom.xml><?xml version="1.0" encoding="utf-8"?>
<Properties xmlns="http://schemas.openxmlformats.org/officeDocument/2006/custom-properties" xmlns:vt="http://schemas.openxmlformats.org/officeDocument/2006/docPropsVTypes"/>
</file>