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describes the data and estimation,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40"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Start w:id="39" w:name="data-and-estimation"/>
    <w:p>
      <w:pPr>
        <w:pStyle w:val="Heading2"/>
      </w:pPr>
      <w:r>
        <w:t xml:space="preserve">5.3 Data and estimation</w:t>
      </w:r>
    </w:p>
    <w:p>
      <w:pPr>
        <w:pStyle w:val="FirstParagraph"/>
      </w:pPr>
      <w:r>
        <w:rPr>
          <w:iCs/>
          <w:i/>
        </w:rPr>
        <w:t xml:space="preserve">Samples.</w:t>
      </w:r>
      <w:r>
        <w:t xml:space="preserve"> </w:t>
      </w: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 which makes the treatment indicator a coarse proxy for organizational capital.</w:t>
      </w:r>
    </w:p>
    <w:p>
      <w:pPr>
        <w:pStyle w:val="BodyText"/>
      </w:pPr>
      <w:r>
        <w:rPr>
          <w:iCs/>
          <w:i/>
        </w:rPr>
        <w:t xml:space="preserve">Developer side.</w:t>
      </w:r>
      <w:r>
        <w:t xml:space="preserve"> </w:t>
      </w:r>
      <w:r>
        <w:t xml:space="preserve">A lab-month regression of price on lead is identified largely by new releases, which raise price and measured quality at the same moment. H1a therefore uses a model-month panel with model and month fixed effects, so that the coefficient is identified only from changes in a given model’s lead as competitors release. H1b is estimated separately on launch prices. Because the panel contains few labs, conventional cluster-robust p-values are unreliable, and inference uses the restricted wild cluster bootstrap with Webb six-point weights (Cameron et al. 2008, Webb 2023).</w:t>
      </w:r>
    </w:p>
    <w:p>
      <w:pPr>
        <w:pStyle w:val="BodyText"/>
      </w:pPr>
      <w:r>
        <w:rPr>
          <w:iCs/>
          <w:i/>
        </w:rPr>
        <w:t xml:space="preserve">Adopter side.</w:t>
      </w:r>
      <w:r>
        <w:t xml:space="preserve"> </w:t>
      </w:r>
      <w:r>
        <w:t xml:space="preserve">Treated firms are large software incumbents whose margins rose between 2023 and 2025 for reasons unrelated to AI, such as cost reductions and changes in the cost of capital. The baseline is a two-way fixed-effects regression of operating margin on a post-GA indicator. Because treatment is staggered, that estimator can be biased when effects differ across cohorts (Goodman-Bacon 2021), so we use heterogeneity-robust estimators with never-treated and not-yet-treated controls (Callaway and Sant’Anna 2021, Sun and Abraham 2021). Further checks are SIC-by-year fixed effects, firm-specific trends, matched never-treated controls, a placebo that moves each GA date two years earlier, and randomization inference that reassigns GA dates across firms. Because a higher margin could reflect market power and not a complement rent (Section 7.3), the effect is decomposed into gross margin and the operating-expense ratio and allowed to differ by pre-2023 size. For H4, event-time indicators are estimated relative to</w:t>
      </w:r>
      <w:r>
        <w:t xml:space="preserve"> </w:t>
      </w:r>
      <m:oMath>
        <m:r>
          <m:t>t</m:t>
        </m:r>
        <m:r>
          <m:rPr>
            <m:sty m:val="p"/>
          </m:rPr>
          <m:t>=</m:t>
        </m:r>
        <m:r>
          <m:rPr>
            <m:sty m:val="p"/>
          </m:rPr>
          <m:t>−</m:t>
        </m:r>
        <m:r>
          <m:t>1</m:t>
        </m:r>
      </m:oMath>
      <w:r>
        <w:t xml:space="preserve"> </w:t>
      </w:r>
      <w:r>
        <w:t xml:space="preserve">only at event times to which at least eight treated firms contribute. The direct test is the equality of the</w:t>
      </w:r>
      <w:r>
        <w:t xml:space="preserve"> </w:t>
      </w:r>
      <m:oMath>
        <m:r>
          <m:t>t</m:t>
        </m:r>
        <m:r>
          <m:rPr>
            <m:sty m:val="p"/>
          </m:rPr>
          <m:t>+</m:t>
        </m:r>
        <m:r>
          <m:t>1</m:t>
        </m:r>
      </m:oMath>
      <w:r>
        <w:t xml:space="preserve"> </w:t>
      </w:r>
      <w:r>
        <w:t xml:space="preserve">coefficient and the last post-GA bin, together with a joint test of the pre-GA coefficients.</w:t>
      </w:r>
    </w:p>
    <w:bookmarkEnd w:id="39"/>
    <w:bookmarkEnd w:id="40"/>
    <w:bookmarkStart w:id="44" w:name="results"/>
    <w:p>
      <w:pPr>
        <w:pStyle w:val="Heading1"/>
      </w:pPr>
      <w:r>
        <w:t xml:space="preserve">6. Results</w:t>
      </w:r>
    </w:p>
    <w:p>
      <w:pPr>
        <w:pStyle w:val="FirstParagraph"/>
      </w:pPr>
      <w:r>
        <w:t xml:space="preserve">We report what has been estimated and indicate where an analysis specified in Section 5.3 has not yet been run.</w:t>
      </w:r>
    </w:p>
    <w:bookmarkStart w:id="41"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until bootstrap inference is reported.</w:t>
      </w:r>
      <w:r>
        <w:t xml:space="preserve"> </w:t>
      </w:r>
      <w:r>
        <w:rPr>
          <w:bCs/>
          <w:b/>
        </w:rPr>
        <w:t xml:space="preserve">[AUTHORS TO COMPLETE: wild cluster bootstrap p-values for both samples.]</w:t>
      </w:r>
      <w:r>
        <w:t xml:space="preserve"> </w:t>
      </w:r>
      <w:r>
        <w:t xml:space="preserve">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w:t>
      </w:r>
      <w:r>
        <w:t xml:space="preserve"> </w:t>
      </w:r>
      <w:r>
        <w:rPr>
          <w:bCs/>
          <w:b/>
        </w:rPr>
        <w:t xml:space="preserve">[AUTHORS TO COMPLETE: model-month estimates for H1a and launch-price regression for H1b, with the catch-up event-study figure.]</w:t>
      </w:r>
    </w:p>
    <w:bookmarkEnd w:id="41"/>
    <w:bookmarkStart w:id="42" w:name="adopter-side-h2-to-h4"/>
    <w:p>
      <w:pPr>
        <w:pStyle w:val="Heading2"/>
      </w:pPr>
      <w:r>
        <w:t xml:space="preserve">6.2 Adopter side (H2 to H4)</w:t>
      </w:r>
    </w:p>
    <w:p>
      <w:pPr>
        <w:pStyle w:val="FirstParagraph"/>
      </w:pPr>
      <w:r>
        <w:rPr>
          <w:iCs/>
          <w:i/>
        </w:rPr>
        <w:t xml:space="preserve">H2.</w:t>
      </w:r>
      <w:r>
        <w:t xml:space="preserve"> </w:t>
      </w:r>
      <w:r>
        <w:t xml:space="preserve">Pooled exposure without a coded GA year does not predict operating margin.</w:t>
      </w:r>
      <w:r>
        <w:t xml:space="preserve"> </w:t>
      </w:r>
      <w:r>
        <w:rPr>
          <w:bCs/>
          <w:b/>
        </w:rPr>
        <w:t xml:space="preserve">[AUTHORS TO COMPLETE: coefficient, standard error, and p-value.]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we treat this as a baseline and not as the test of H3.</w:t>
      </w:r>
      <w:r>
        <w:t xml:space="preserve"> </w:t>
      </w:r>
      <w:r>
        <w:rPr>
          <w:bCs/>
          <w:b/>
        </w:rPr>
        <w:t xml:space="preserve">[AUTHORS TO COMPLETE: heterogeneity-robust estimates, SIC-by-year and trend specifications, matched-control estimates, placebo, randomization inference, and the gross-margin versus operating-expense decomposition.]</w:t>
      </w:r>
      <w:r>
        <w:t xml:space="preserve"> </w:t>
      </w:r>
      <w:r>
        <w:t xml:space="preserve">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w:t>
      </w:r>
      <w:r>
        <w:t xml:space="preserve"> </w:t>
      </w:r>
      <w:r>
        <w:rPr>
          <w:bCs/>
          <w:b/>
        </w:rPr>
        <w:t xml:space="preserve">[AUTHORS TO COMPLETE: direct test of equality of</w:t>
      </w:r>
      <w:r>
        <w:rPr>
          <w:bCs/>
          <w:b/>
        </w:rPr>
        <w:t xml:space="preserve"> </w:t>
      </w:r>
      <m:oMath>
        <m:r>
          <m:t>t</m:t>
        </m:r>
        <m:r>
          <m:rPr>
            <m:sty m:val="p"/>
          </m:rPr>
          <m:t>+</m:t>
        </m:r>
        <m:r>
          <m:t>1</m:t>
        </m:r>
      </m:oMath>
      <w:r>
        <w:rPr>
          <w:bCs/>
          <w:b/>
        </w:rPr>
        <w:t xml:space="preserve"> </w:t>
      </w:r>
      <w:r>
        <w:rPr>
          <w:bCs/>
          <w:b/>
        </w:rPr>
        <w:t xml:space="preserve">and the last post-GA bin, and joint test of pre-GA coefficients.]</w:t>
      </w:r>
      <w:r>
        <w:t xml:space="preserve"> </w:t>
      </w:r>
      <w:r>
        <w:t xml:space="preserve">A time-invariant bundle-by-post-2023 difference-in-differences gives a similar coefficient and is retained as a robustness check.</w:t>
      </w:r>
    </w:p>
    <w:bookmarkEnd w:id="42"/>
    <w:bookmarkStart w:id="43"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and while the robust estimators address that bias, they still rest on parallel trends, which the matched-control and trend specifications relax only partly. Sixth, operating margin is an accounting measure and not the economic profit of Proposition 2, and the timing of GA marks the launch of a product, not the start of organizational-capital accumulation.</w:t>
      </w:r>
    </w:p>
    <w:bookmarkEnd w:id="43"/>
    <w:bookmarkEnd w:id="44"/>
    <w:bookmarkStart w:id="48" w:name="discussion"/>
    <w:p>
      <w:pPr>
        <w:pStyle w:val="Heading1"/>
      </w:pPr>
      <w:r>
        <w:t xml:space="preserve">7. Discussion</w:t>
      </w:r>
    </w:p>
    <w:bookmarkStart w:id="45"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5"/>
    <w:bookmarkStart w:id="46"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6"/>
    <w:bookmarkStart w:id="47"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47"/>
    <w:bookmarkEnd w:id="48"/>
    <w:bookmarkStart w:id="49"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9"/>
    <w:bookmarkStart w:id="50"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50"/>
    <w:bookmarkStart w:id="51"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Callaway, B., and Sant’Anna, P. H. C. 2021. Difference-in-differences with multiple time periods.</w:t>
      </w:r>
      <w:r>
        <w:t xml:space="preserve"> </w:t>
      </w:r>
      <w:r>
        <w:rPr>
          <w:iCs/>
          <w:i/>
        </w:rPr>
        <w:t xml:space="preserve">Journal of Econometrics</w:t>
      </w:r>
      <w:r>
        <w:t xml:space="preserve"> </w:t>
      </w:r>
      <w:r>
        <w:t xml:space="preserve">225(2):200–230.</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Sun, L., and Abraham, S. 2021. Estimating dynamic treatment effects in event studies with heterogeneous treatment effects.</w:t>
      </w:r>
      <w:r>
        <w:t xml:space="preserve"> </w:t>
      </w:r>
      <w:r>
        <w:rPr>
          <w:iCs/>
          <w:i/>
        </w:rPr>
        <w:t xml:space="preserve">Journal of Econometrics</w:t>
      </w:r>
      <w:r>
        <w:t xml:space="preserve"> </w:t>
      </w:r>
      <w:r>
        <w:t xml:space="preserve">225(2):175–199.</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Webb, M. D. 2023. Reworking wild bootstrap-based inference for clustered errors.</w:t>
      </w:r>
      <w:r>
        <w:t xml:space="preserve"> </w:t>
      </w:r>
      <w:r>
        <w:rPr>
          <w:iCs/>
          <w:i/>
        </w:rPr>
        <w:t xml:space="preserve">Canadian Journal of Economics</w:t>
      </w:r>
      <w:r>
        <w:t xml:space="preserve"> </w:t>
      </w:r>
      <w:r>
        <w:t xml:space="preserve">56(3):839–858.</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2026-10-20T23:10:37Z</dcterms:created>
  <dcterms:modified xsi:type="dcterms:W3CDTF">2026-10-20T23:10:37Z</dcterms:modified>
</cp:coreProperties>
</file>

<file path=docProps/custom.xml><?xml version="1.0" encoding="utf-8"?>
<Properties xmlns="http://schemas.openxmlformats.org/officeDocument/2006/custom-properties" xmlns:vt="http://schemas.openxmlformats.org/officeDocument/2006/docPropsVTypes"/>
</file>