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240" w:before="0"/>
        <w:jc w:val="center"/>
      </w:pPr>
      <w:r>
        <w:rPr>
          <w:b/>
          <w:i w:val="0"/>
          <w:sz w:val="28"/>
        </w:rPr>
        <w:t>Infrastructure for Defending Democracy: Social Media and Citizens' Response to the 2024 Martial Law Declaration in Korea</w:t>
      </w:r>
    </w:p>
    <w:p>
      <w:pPr>
        <w:spacing w:line="264" w:lineRule="auto" w:after="120" w:before="0"/>
        <w:jc w:val="center"/>
      </w:pPr>
      <w:r>
        <w:rPr>
          <w:b w:val="0"/>
          <w:i/>
          <w:sz w:val="20"/>
        </w:rPr>
        <w:t>Extended abstract (draft), MIS Quarterly Special Issue on Indigenous Theory Development · Discovery Short Paper track · Ook Lee, Hanyang University</w:t>
      </w:r>
    </w:p>
    <w:p>
      <w:pPr>
        <w:spacing w:line="264" w:lineRule="auto" w:after="160" w:before="0"/>
      </w:pPr>
      <w:r>
        <w:rPr>
          <w:b/>
          <w:i w:val="0"/>
          <w:sz w:val="19"/>
        </w:rPr>
        <w:t>Draft for the author. Items in [brackets] must be verified or filled by the author. This text proposes a study; it reports no findings.</w:t>
      </w:r>
    </w:p>
    <w:p>
      <w:pPr>
        <w:keepNext/>
        <w:spacing w:line="276" w:lineRule="auto" w:after="120" w:before="240"/>
      </w:pPr>
      <w:r>
        <w:rPr>
          <w:b/>
          <w:i w:val="0"/>
        </w:rPr>
        <w:t>1. The phenomenon</w:t>
      </w:r>
    </w:p>
    <w:p>
      <w:pPr>
        <w:spacing w:line="276" w:lineRule="auto" w:after="120" w:before="0"/>
        <w:jc w:val="both"/>
      </w:pPr>
      <w:r>
        <w:rPr>
          <w:b w:val="0"/>
          <w:i w:val="0"/>
        </w:rPr>
        <w:t>South Korea won its democracy through mass mobilization (the June Democratic Struggle of 1987, which led to direct presidential elections), and from the early 1990s it built national information infrastructure through successive state programs [confirm names, dates and budgets]. On the night of 3 December 2024, the president announced emergency martial law in a televised address at about 10:30 p.m. Through the night citizens converged on the National Assembly, and at about 1 a.m. on 4 December the Assembly voted 190 to 0 to overturn the decree [verify against Assembly records]. Accounts of that night give prominent roles to live-streamed video, rapid sharing on social media and online communities, and real-time broadcasts of troop movements [source each claim]. The decree was formally lifted a few hours later. The president was impeached on 14 December, and the Constitutional Court removed him on 4 April 2025 [verify].</w:t>
      </w:r>
    </w:p>
    <w:p>
      <w:pPr>
        <w:spacing w:line="276" w:lineRule="auto" w:after="120" w:before="0"/>
        <w:jc w:val="both"/>
      </w:pPr>
      <w:r>
        <w:rPr>
          <w:b w:val="0"/>
          <w:i w:val="0"/>
        </w:rPr>
        <w:t>The episode is theoretically interesting for IS because it joins what research usually separates. A population with a strong, historically formed commitment to democracy, a dense and widely used digital infrastructure, and a constitutional mechanism through which a legislative vote could end a decree within hours were all present at once. Our starting conjecture is that the speed and scale of the citizens' response reflect this combination, and that each element is weak without the others. We treat this as a proposition to examine, not as an established cause. Other factors, such as the Assembly's procedures, the conduct of security forces, journalists and political leaders, plausibly mattered, and the study is designed to find out how much and in what way. We do not call the episode a revolution; whether any such term fits is part of the question. We take no political position on the events.</w:t>
      </w:r>
    </w:p>
    <w:p>
      <w:pPr>
        <w:keepNext/>
        <w:spacing w:line="276" w:lineRule="auto" w:after="120" w:before="240"/>
      </w:pPr>
      <w:r>
        <w:rPr>
          <w:b/>
          <w:i w:val="0"/>
        </w:rPr>
        <w:t>2. Why existing frames are an insufficient starting point</w:t>
      </w:r>
    </w:p>
    <w:p>
      <w:pPr>
        <w:spacing w:line="276" w:lineRule="auto" w:after="120" w:before="0"/>
        <w:jc w:val="both"/>
      </w:pPr>
      <w:r>
        <w:rPr>
          <w:b w:val="0"/>
          <w:i w:val="0"/>
        </w:rPr>
        <w:t xml:space="preserve">Two literatures bear on the phenomenon. First, IS research on infrastructure treats it as an installed base that is shared, evolves, and becomes visible on breakdown (Star and Ruhleder 1996), and has explained how digital infrastructures grow through generative mechanisms (Henfridsson and Bygstad 2013). These accounts concern how infrastructure develops and is governed, not how a society uses it to defend an institution in a crisis. Second, research on digital collective action explains how personalized, platform-based communication can coordinate large publics without central organizations (Bennett and Segerberg 2012). That research has been built mostly on movements that aim to challenge or change existing arrangements. The Korean episode was a mobilization to </w:t>
      </w:r>
      <w:r>
        <w:rPr>
          <w:b w:val="0"/>
          <w:i/>
        </w:rPr>
        <w:t>defend</w:t>
      </w:r>
      <w:r>
        <w:rPr>
          <w:b w:val="0"/>
          <w:i w:val="0"/>
        </w:rPr>
        <w:t xml:space="preserve"> an institution, the National Assembly, against an attempt to suspend it, with a legislative vote as the decisive act. Whether the same logic applies is open. Neither literature addresses a digital infrastructure that is largely privately operated and that citizens use to broadcast, verify and coordinate in real time in defense of a representative institution. We therefore begin from participants' own categories and treat these literatures as points of contrast, not as lenses.</w:t>
      </w:r>
    </w:p>
    <w:p>
      <w:pPr>
        <w:spacing w:line="276" w:lineRule="auto" w:after="120" w:before="0"/>
        <w:jc w:val="both"/>
      </w:pPr>
      <w:r>
        <w:rPr>
          <w:b w:val="0"/>
          <w:i w:val="0"/>
        </w:rPr>
        <w:t>Our approach follows the special issue's guidance. Rather than tailoring variables and relationships of a Western theory to a Korean setting (cf. Hong et al. 2014), we aim to build concepts from the phenomenon, and to say explicitly what they mean for theory (cf. Venkatesh 2025).</w:t>
      </w:r>
    </w:p>
    <w:p>
      <w:pPr>
        <w:keepNext/>
        <w:spacing w:line="276" w:lineRule="auto" w:after="120" w:before="240"/>
      </w:pPr>
      <w:r>
        <w:rPr>
          <w:b/>
          <w:i w:val="0"/>
        </w:rPr>
        <w:t>3. Research questions</w:t>
      </w:r>
    </w:p>
    <w:p>
      <w:pPr>
        <w:spacing w:line="276" w:lineRule="auto" w:after="120" w:before="0"/>
        <w:jc w:val="both"/>
      </w:pPr>
      <w:r>
        <w:rPr>
          <w:b w:val="0"/>
          <w:i w:val="0"/>
        </w:rPr>
        <w:t>(1) Through which channels did information, coordination and verification occur that night, and how did participants rely on them? (2) How do participants link their action to the history of democratization and to the infrastructure they used, and in what words? (3) Does mobilization speed differ across episodes in which commitment was similar but infrastructure differed, for example 1987 (about three weeks from the start of the protests on 10 June to the concession of 29 June), 2002 and 2008 [verify which episodes and how online communities were used], the 2016–17 candlelight protests [verify dates and milestones], and 2024 (hours)? (4) What concepts, grounded in these accounts, are needed to explain rapid collective action in defense of an institution, and what do they imply for IS theories of infrastructure and of digital collective action?</w:t>
      </w:r>
    </w:p>
    <w:p>
      <w:pPr>
        <w:keepNext/>
        <w:spacing w:line="276" w:lineRule="auto" w:after="120" w:before="240"/>
      </w:pPr>
      <w:r>
        <w:rPr>
          <w:b/>
          <w:i w:val="0"/>
        </w:rPr>
        <w:t>4. Propositions and design</w:t>
      </w:r>
    </w:p>
    <w:p>
      <w:pPr>
        <w:spacing w:line="276" w:lineRule="auto" w:after="120" w:before="0"/>
        <w:jc w:val="both"/>
      </w:pPr>
      <w:r>
        <w:rPr>
          <w:b w:val="0"/>
          <w:i w:val="0"/>
        </w:rPr>
        <w:t xml:space="preserve">The conjecture in Section 1 implies two propositions that the evidence can contradict. </w:t>
      </w:r>
      <w:r>
        <w:rPr>
          <w:b w:val="0"/>
          <w:i/>
        </w:rPr>
        <w:t>P1 (channel).</w:t>
      </w:r>
      <w:r>
        <w:rPr>
          <w:b w:val="0"/>
          <w:i w:val="0"/>
        </w:rPr>
        <w:t xml:space="preserve"> Among people who went to the Assembly, a large share learned of the declaration, decided to go, or found out where to go and what was happening through live streams and social media, and the pattern differs by role and age. The proposition would be weakened if most participants report television, calls to family and friends, or party and union networks as their main channels. </w:t>
      </w:r>
      <w:r>
        <w:rPr>
          <w:b w:val="0"/>
          <w:i/>
        </w:rPr>
        <w:t>P2 (speed under suddenness).</w:t>
      </w:r>
      <w:r>
        <w:rPr>
          <w:b w:val="0"/>
          <w:i w:val="0"/>
        </w:rPr>
        <w:t xml:space="preserve"> The interval between the announcement and the arrival of large crowds was shorter than in earlier episodes with a comparable commitment to the cause, and the difference remains after allowing for the fact that earlier large protests were largely announced in advance whereas this one was not. We will therefore compare the speed of unannounced or short-notice mobilizations across periods as well as the major protests. If the comparison cannot separate the effect of infrastructure from the effect of suddenness and of the Assembly's institutional role, we will say so.</w:t>
      </w:r>
    </w:p>
    <w:p>
      <w:pPr>
        <w:spacing w:line="276" w:lineRule="auto" w:after="120" w:before="0"/>
        <w:jc w:val="both"/>
      </w:pPr>
      <w:r>
        <w:rPr>
          <w:b w:val="0"/>
          <w:i w:val="0"/>
        </w:rPr>
        <w:t>The design is as follows.</w:t>
      </w:r>
    </w:p>
    <w:p>
      <w:pPr>
        <w:spacing w:line="276" w:lineRule="auto" w:after="120" w:before="0"/>
        <w:jc w:val="both"/>
      </w:pPr>
      <w:r>
        <w:rPr>
          <w:b w:val="0"/>
          <w:i w:val="0"/>
        </w:rPr>
        <w:t xml:space="preserve">The study is inductive and interpretive and proceeds in three strands. </w:t>
      </w:r>
      <w:r>
        <w:rPr>
          <w:b w:val="0"/>
          <w:i/>
        </w:rPr>
        <w:t>Reconstruction.</w:t>
      </w:r>
      <w:r>
        <w:rPr>
          <w:b w:val="0"/>
          <w:i w:val="0"/>
        </w:rPr>
        <w:t xml:space="preserve"> We reconstruct the timeline of 3–4 December from archived live streams, public posts, news coverage, Assembly and government records, and platform and telecommunications data where obtainable. Public posts will be collected in line with platform terms and an ethics review [approvals to be obtained], analyzed in aggregate, and quoted only with identities removed. </w:t>
      </w:r>
      <w:r>
        <w:rPr>
          <w:b w:val="0"/>
          <w:i/>
        </w:rPr>
        <w:t>Interviews.</w:t>
      </w:r>
      <w:r>
        <w:rPr>
          <w:b w:val="0"/>
          <w:i w:val="0"/>
        </w:rPr>
        <w:t xml:space="preserve"> We plan [N] semi-structured interviews with people who went to the Assembly, people who streamed or relayed information, journalists, platform and telecommunications staff, and officials, selected to include different roles and political views [access to be secured; protection of participants is essential, and participants will not be asked to take political positions]. </w:t>
      </w:r>
      <w:r>
        <w:rPr>
          <w:b w:val="0"/>
          <w:i/>
        </w:rPr>
        <w:t>Comparison.</w:t>
      </w:r>
      <w:r>
        <w:rPr>
          <w:b w:val="0"/>
          <w:i w:val="0"/>
        </w:rPr>
        <w:t xml:space="preserve"> We construct a structured comparison of the three episodes in Question 3, using public timelines and documents, and we state the differences in political conditions, issues and institutions that prevent attributing speed differences to infrastructure alone.</w:t>
      </w:r>
    </w:p>
    <w:p>
      <w:pPr>
        <w:spacing w:line="276" w:lineRule="auto" w:after="120" w:before="0"/>
        <w:jc w:val="both"/>
      </w:pPr>
      <w:r>
        <w:rPr>
          <w:b w:val="0"/>
          <w:i w:val="0"/>
        </w:rPr>
        <w:t>Analysis will be iterative: open coding in participants' own terms, constant comparison across roles and episodes, and abductive checking of emerging concepts against alternative explanations, including accounts in which social media played a minor or even harmful role (for example, misinformation or false alarms on the night [to be examined]). We will keep a record of reflexive notes because the author is a Korean resident and a member of the community under study. Concepts that informants do not recognize will be dropped.</w:t>
      </w:r>
    </w:p>
    <w:p>
      <w:pPr>
        <w:keepNext/>
        <w:spacing w:line="276" w:lineRule="auto" w:after="120" w:before="240"/>
      </w:pPr>
      <w:r>
        <w:rPr>
          <w:b/>
          <w:i w:val="0"/>
        </w:rPr>
        <w:t>5. Provisional directions for contribution (not findings)</w:t>
      </w:r>
    </w:p>
    <w:p>
      <w:pPr>
        <w:spacing w:line="276" w:lineRule="auto" w:after="120" w:before="0"/>
        <w:jc w:val="both"/>
      </w:pPr>
      <w:r>
        <w:rPr>
          <w:b w:val="0"/>
          <w:i w:val="0"/>
        </w:rPr>
        <w:t xml:space="preserve">The study could contribute concepts in three areas, each to be established or discarded by the evidence. (a) </w:t>
      </w:r>
      <w:r>
        <w:rPr>
          <w:b w:val="0"/>
          <w:i/>
        </w:rPr>
        <w:t>Latent capacity.</w:t>
      </w:r>
      <w:r>
        <w:rPr>
          <w:b w:val="0"/>
          <w:i w:val="0"/>
        </w:rPr>
        <w:t xml:space="preserve"> If the response relied on dispositions formed by earlier episodes of mobilization and on infrastructure used daily for other purposes, a concept is needed for capacity that is built up in advance and activated by crisis, which existing accounts of infrastructure as an installed base do not supply. (b) </w:t>
      </w:r>
      <w:r>
        <w:rPr>
          <w:b w:val="0"/>
          <w:i/>
        </w:rPr>
        <w:t>Verification under uncertainty.</w:t>
      </w:r>
      <w:r>
        <w:rPr>
          <w:b w:val="0"/>
          <w:i w:val="0"/>
        </w:rPr>
        <w:t xml:space="preserve"> If participants had to judge quickly which information was reliable, the study may reveal practices of collective verification that differ from the content-moderation framing common in platform research. (c) </w:t>
      </w:r>
      <w:r>
        <w:rPr>
          <w:b w:val="0"/>
          <w:i/>
        </w:rPr>
        <w:t>Role switching.</w:t>
      </w:r>
      <w:r>
        <w:rPr>
          <w:b w:val="0"/>
          <w:i w:val="0"/>
        </w:rPr>
        <w:t xml:space="preserve"> If ordinary users became broadcasters, relays or checkers within hours, a concept of fluid, temporary roles in crisis could extend IS work on digital participation. We will state in the paper what each concept means for theory, as the call requires, so that the account is not merely descriptive.</w:t>
      </w:r>
    </w:p>
    <w:p>
      <w:pPr>
        <w:spacing w:line="276" w:lineRule="auto" w:after="120" w:before="0"/>
        <w:jc w:val="both"/>
      </w:pPr>
      <w:r>
        <w:rPr>
          <w:b w:val="0"/>
          <w:i w:val="0"/>
        </w:rPr>
        <w:t>Practical implications are secondary at this stage but include how to design and protect digital infrastructure so that it supports, and cannot easily be used to suppress, citizens' access to information in a crisis, and how platforms and telecommunications operators might prepare for similar events. We will examine these only if the evidence supports them.</w:t>
      </w:r>
    </w:p>
    <w:p>
      <w:pPr>
        <w:keepNext/>
        <w:spacing w:line="276" w:lineRule="auto" w:after="120" w:before="240"/>
      </w:pPr>
      <w:r>
        <w:rPr>
          <w:b/>
          <w:i w:val="0"/>
        </w:rPr>
        <w:t>6. Fit with the special issue, feasibility and risks</w:t>
      </w:r>
    </w:p>
    <w:p>
      <w:pPr>
        <w:spacing w:line="276" w:lineRule="auto" w:after="120" w:before="0"/>
        <w:jc w:val="both"/>
      </w:pPr>
      <w:r>
        <w:rPr>
          <w:b w:val="0"/>
          <w:i w:val="0"/>
        </w:rPr>
        <w:t>The study asks what a distinctively Korean combination of history, infrastructure and institutions is, on its own terms, and what theory it requires. It is not an application of an existing theory to a new setting, and existing concepts enter only as points of contrast. As a Discovery Short Paper, the aim is a rich account and the concepts that emerge from it, as a basis for later theory and empirical work.</w:t>
      </w:r>
    </w:p>
    <w:p>
      <w:pPr>
        <w:spacing w:line="276" w:lineRule="auto" w:after="120" w:before="0"/>
        <w:jc w:val="both"/>
      </w:pPr>
      <w:r>
        <w:rPr>
          <w:b w:val="0"/>
          <w:i/>
        </w:rPr>
        <w:t>Feasibility.</w:t>
      </w:r>
      <w:r>
        <w:rPr>
          <w:b w:val="0"/>
          <w:i w:val="0"/>
        </w:rPr>
        <w:t xml:space="preserve"> Much of the reconstruction relies on public material. Interview access is the main uncertainty [status]. </w:t>
      </w:r>
      <w:r>
        <w:rPr>
          <w:b w:val="0"/>
          <w:i/>
        </w:rPr>
        <w:t>Risks.</w:t>
      </w:r>
      <w:r>
        <w:rPr>
          <w:b w:val="0"/>
          <w:i w:val="0"/>
        </w:rPr>
        <w:t xml:space="preserve"> The case is politically sensitive and legal proceedings concerning the events are ongoing, so we will stay analytic and avoid evaluative language. Retrospective accounts may be shaped by later events; we will triangulate them with contemporaneous records. A single case limits generalization, and we will not assume the concepts travel. Media accounts of what happened that night differ in details, so we will rely on primary records where possible.</w:t>
      </w:r>
    </w:p>
    <w:p>
      <w:pPr>
        <w:spacing w:line="276" w:lineRule="auto" w:after="120" w:before="0"/>
        <w:jc w:val="both"/>
      </w:pPr>
      <w:r>
        <w:rPr>
          <w:b w:val="0"/>
          <w:i/>
        </w:rPr>
        <w:t>Timeline.</w:t>
      </w:r>
      <w:r>
        <w:rPr>
          <w:b w:val="0"/>
          <w:i w:val="0"/>
        </w:rPr>
        <w:t xml:space="preserve"> Ethics approval and access: [November 2026–January 2027]; reconstruction and first interviews: [January–March 2027]; analysis and drafting for a July 2027 submission.</w:t>
      </w:r>
    </w:p>
    <w:p>
      <w:pPr>
        <w:keepNext/>
        <w:spacing w:line="276" w:lineRule="auto" w:after="120" w:before="240"/>
      </w:pPr>
      <w:r>
        <w:rPr>
          <w:b/>
          <w:i w:val="0"/>
        </w:rPr>
        <w:t>References</w:t>
      </w:r>
    </w:p>
    <w:p>
      <w:pPr>
        <w:spacing w:line="252" w:lineRule="auto" w:after="40"/>
        <w:ind w:left="576" w:hanging="576"/>
      </w:pPr>
      <w:r>
        <w:rPr>
          <w:b w:val="0"/>
          <w:i w:val="0"/>
          <w:sz w:val="19"/>
        </w:rPr>
        <w:t xml:space="preserve">Bennett WL, Segerberg A (2012) The logic of connective action: Digital media and the personalization of contentious politics. </w:t>
      </w:r>
      <w:r>
        <w:rPr>
          <w:b w:val="0"/>
          <w:i/>
          <w:sz w:val="19"/>
        </w:rPr>
        <w:t>Information, Communication &amp; Society</w:t>
      </w:r>
      <w:r>
        <w:rPr>
          <w:b w:val="0"/>
          <w:i w:val="0"/>
          <w:sz w:val="19"/>
        </w:rPr>
        <w:t xml:space="preserve"> 15(5):739–768.</w:t>
      </w:r>
    </w:p>
    <w:p>
      <w:pPr>
        <w:spacing w:line="252" w:lineRule="auto" w:after="40"/>
        <w:ind w:left="576" w:hanging="576"/>
      </w:pPr>
      <w:r>
        <w:rPr>
          <w:b w:val="0"/>
          <w:i w:val="0"/>
          <w:sz w:val="19"/>
        </w:rPr>
        <w:t xml:space="preserve">Henfridsson O, Bygstad B (2013) The generative mechanisms of digital infrastructure evolution. </w:t>
      </w:r>
      <w:r>
        <w:rPr>
          <w:b w:val="0"/>
          <w:i/>
          <w:sz w:val="19"/>
        </w:rPr>
        <w:t>MIS Quarterly</w:t>
      </w:r>
      <w:r>
        <w:rPr>
          <w:b w:val="0"/>
          <w:i w:val="0"/>
          <w:sz w:val="19"/>
        </w:rPr>
        <w:t xml:space="preserve"> 37(3):907–931.</w:t>
      </w:r>
    </w:p>
    <w:p>
      <w:pPr>
        <w:spacing w:line="252" w:lineRule="auto" w:after="40"/>
        <w:ind w:left="576" w:hanging="576"/>
      </w:pPr>
      <w:r>
        <w:rPr>
          <w:b w:val="0"/>
          <w:i w:val="0"/>
          <w:sz w:val="19"/>
        </w:rPr>
        <w:t xml:space="preserve">Hong W, Chan FKY, Thong JYL, Chasalow LC, Dhillon G (2014) A framework and guidelines for context-specific theorizing in information systems research. </w:t>
      </w:r>
      <w:r>
        <w:rPr>
          <w:b w:val="0"/>
          <w:i/>
          <w:sz w:val="19"/>
        </w:rPr>
        <w:t>Information Systems Research</w:t>
      </w:r>
      <w:r>
        <w:rPr>
          <w:b w:val="0"/>
          <w:i w:val="0"/>
          <w:sz w:val="19"/>
        </w:rPr>
        <w:t xml:space="preserve"> 25(1):111–136.</w:t>
      </w:r>
    </w:p>
    <w:p>
      <w:pPr>
        <w:spacing w:line="252" w:lineRule="auto" w:after="40"/>
        <w:ind w:left="576" w:hanging="576"/>
      </w:pPr>
      <w:r>
        <w:rPr>
          <w:b w:val="0"/>
          <w:i w:val="0"/>
          <w:sz w:val="19"/>
        </w:rPr>
        <w:t xml:space="preserve">Star SL, Ruhleder K (1996) Steps toward an ecology of infrastructure: Design and access for large information spaces. </w:t>
      </w:r>
      <w:r>
        <w:rPr>
          <w:b w:val="0"/>
          <w:i/>
          <w:sz w:val="19"/>
        </w:rPr>
        <w:t>Information Systems Research</w:t>
      </w:r>
      <w:r>
        <w:rPr>
          <w:b w:val="0"/>
          <w:i w:val="0"/>
          <w:sz w:val="19"/>
        </w:rPr>
        <w:t xml:space="preserve"> 7(1):111–134.</w:t>
      </w:r>
    </w:p>
    <w:p>
      <w:pPr>
        <w:spacing w:line="252" w:lineRule="auto" w:after="40"/>
        <w:ind w:left="576" w:hanging="576"/>
      </w:pPr>
      <w:r>
        <w:rPr>
          <w:b w:val="0"/>
          <w:i w:val="0"/>
          <w:sz w:val="19"/>
        </w:rPr>
        <w:t xml:space="preserve">Venkatesh V (2025) Leveraging context: Re-thinking research processes to make ‘contributions to theory.’ </w:t>
      </w:r>
      <w:r>
        <w:rPr>
          <w:b w:val="0"/>
          <w:i/>
          <w:sz w:val="19"/>
        </w:rPr>
        <w:t>Information Systems Research</w:t>
      </w:r>
      <w:r>
        <w:rPr>
          <w:b w:val="0"/>
          <w:i w:val="0"/>
          <w:sz w:val="19"/>
        </w:rPr>
        <w:t xml:space="preserve"> 36(3):1871–1886.</w:t>
      </w: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before="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