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value chain: the frontier developer, the API adopter, and the complement builder. An API adopter earns no economic profit from the model itself, and the developer’s rent is proportional to its quality lead and disappears as rivals catch up. Complement builders earn rents from co-specialized organizational capital, but only until rivals imitate it or a vendor productizes the use, so that an adopter’s profitable window depends on its suppliers as well as its competitors. When vendors choose how fast to productize, contract terms that limit their use of adopters’ data slow them and raise adopters’ incentive to invest. Competition among vendors speeds productization and weakens the effect of such terms. Illustrative evidence from public leaderboard, endpoint-price, and SEC filing data shows that a lab’s flagship price is positively associated with its quality lead and that firms launching a first-party AI product report higher operating margins afterward. The samples are small, and the evidence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first widely used chat-based large language model (LLM), such models had been built into office software, customer service, software development, and search. Controlled studies reported productivity gains of 14 to 55 percent on affected tasks (Brynjolfsson et al. 2025, Noy and Zhang 2023, Peng et al. 2023, Dell’Acqua et al. 2023). The firms that develop the models, meanwhile, reported operating losses on a scale with few precedents in the history of technology. Practitioners describe this as a puzzle: the technology evidently works and nearly everyone is buying it, yet nobody can find the profit.</w:t>
      </w:r>
    </w:p>
    <w:p>
      <w:pPr>
        <w:pStyle w:val="BodyText"/>
      </w:pPr>
      <w:r>
        <w:t xml:space="preserve">Information systems researchers will recognize the puzzle. It is the profitability half of the IT productivity paradox (Brynjolfsson 1993, Hitt and Brynjolfsson 1996), and it has returned in much the same form with each general-purpose technology since the mainframe. We argue that standard economics gives a stable answer. Value from a general-purpose technology is captured only where it is appropriable, and appropriability depends on the relationship between the technology and firm-specific complements, not on the technology alone. An LLM reached through a public API is available to every firm in an industry on identical terms, so under competition no adopter earns an economic profit from using it. Each firm’s gain is bid away in price and passes to consumers. Profit appears elsewhere. It accrues to the frontier developer, in proportion to its quality lead over the best alternative and for as long as the lead lasts, and to adopters that combine the model with organizational capital that rivals lack and cannot quickly build, for as long as imitation takes. Each of these claims is familiar from work on IT business value (Hitt and Brynjolfsson 1996, Mata et al. 1995, Bharadwaj 2000), profiting from innovation (Teece 1986), and vertical differentiation and vertical chains (Mussa and Rosen 1978, Spengler 1950). We treat them as a benchmark and not as our contribution.</w:t>
      </w:r>
    </w:p>
    <w:p>
      <w:pPr>
        <w:pStyle w:val="BodyText"/>
      </w:pPr>
      <w:r>
        <w:t xml:space="preserve">What the benchmark leaves out is a feature that sets LLMs apart from most earlier technologies. In the standard account, an adopter’s complement rent is threatened by one force, imitation by rival adopters, which takes time because organizational capital is slow to build. In the LLM chain there is a second force: the supplier of the input can move into the adopter’s layer. A developer sells its model on posted terms to an adopter and to the adopter’s competitors, can observe how the model is used through its interface, and can productize a successful use and sell it to everyone. Research on platform owners that enter complementors’ markets suggests that such entry is common and consequential (Gawer and Henderson 2007, Zhu and Liu 2018), but its implication for rent has not been brought into the appropriability framework. Once a use is productized, the adopter’s co-specialized capital becomes a commodity before rivals could have copied it, and the window in which the rent is earned shortens.</w:t>
      </w:r>
    </w:p>
    <w:p>
      <w:pPr>
        <w:pStyle w:val="BodyText"/>
      </w:pPr>
      <w:r>
        <w:t xml:space="preserve">Proposition 5 formalizes this. If a vendor productizes an adopter’s use at rate</w:t>
      </w:r>
      <w:r>
        <w:t xml:space="preserve"> </w:t>
      </w:r>
      <m:oMath>
        <m:r>
          <m:t>η</m:t>
        </m:r>
      </m:oMath>
      <w:r>
        <w:t xml:space="preserve">, independently of imitation, the adopter’s expected complement rent falls strictly in</w:t>
      </w:r>
      <w:r>
        <w:t xml:space="preserve"> </w:t>
      </w:r>
      <m:oMath>
        <m:r>
          <m:t>η</m:t>
        </m:r>
      </m:oMath>
      <w:r>
        <w:t xml:space="preserve">. The rent runs on two clocks, not one. The result is deliberately simple, and the later propositions build on it in two ways. Section 4.3 lets the vendor choose</w:t>
      </w:r>
      <w:r>
        <w:t xml:space="preserve"> </w:t>
      </w:r>
      <m:oMath>
        <m:r>
          <m:t>η</m:t>
        </m:r>
      </m:oMath>
      <w:r>
        <w:t xml:space="preserve"> </w:t>
      </w:r>
      <w:r>
        <w:t xml:space="preserve">and shows how contract terms that limit its use of adopters’ data change that choice and, through it, the adopter’s incentive to invest. Section 4.4 adds competition among vendors, which speeds productization and weakens the effect of any single contract. Together with the benchmark results for developers, adopters, and consumers (Propositions 1 to 4), these results give a fuller account of where profit appears.</w:t>
      </w:r>
    </w:p>
    <w:p>
      <w:pPr>
        <w:pStyle w:val="BodyText"/>
      </w:pPr>
      <w:r>
        <w:t xml:space="preserve">The paper makes three contributions, developed in Section 7.1. It adds vendor encroachment to the appropriability account of IT value. It places that result in an integrated benchmark in which appropriability is defined ex ante, so that quality lead, imitation lag, and organizational capital become measurable constructs. And it offers illustrative evidence on those constructs from public data. The evidence is limited and does not bear on the encroachment results, and we say what it cannot show. Section 2 reviews the literature and the public financial record of frontier developers. Section 3 defines the constructs, Section 4 presents the model, Section 5 maps it to data, and Section 6 presents the evidence. Section 7 discusses implications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bundles two questions that the literature has not always kept apart. The first is Solow’s (1987) observation about aggregate productivity. It now has a largely settled explanation in mismeasurement and in the lagged buildup of expensed intangible complements (Griliches 1994, Brynjolfsson and Hitt 2003, Brynjolfsson et al. 2021). The second question is about profit. Even where IT demonstrably raises productivity, it bears only a weak relationship to firm profitability. Hitt and Brynjolfsson (1996) separated productivity, profitability, and consumer surplus. They found that IT raised the first and the third and left the second unchanged, and they attributed this to competition passing IT gains on to consumers. Later work on IT business value has mostly treated the weak link to profit as a measurement problem awaiting better data. We treat it instead as a prediction to be derived. It is also the half of the paradox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runs as follows. Technology rarely confers advantage by itself, because anyone can buy it, but IT-enabled capabilities embedded in organizational routines can (Clemons and Row 1991, Mata et al. 1995, Bharadwaj 2000, Piccoli and Ives 2005). Complementarity supplies the economic foundation (Milgrom and Roberts 1990). Bresnahan et al. (2002) documented complementarity among IT, workplace reorganization, and skills, and Brynjolfsson et al. (2002) estimated that the market value of IT-intensive firms reflects organizational capital worth roughly ten times their hardware. Imperfect imitability has identifiable sources. Organizational capital builds up through path-dependent processes that cannot be compressed in time (Dierickx and Cool 1989), and causal ambiguity shields it from copying (Lippman and Rumelt 1982). The literature has a well-known weakness, however. Any advantage that persists can be redescribed after the fact as inimitable, which makes the argument tautological. Section 3 addresses this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and Marshall (1890) called such returns quasi-rents. Teece (1986) specified who captures them: innovators profit when the appropriability regime is tight or when they control co-specialized complementary assets. Nordhaus (2004) estimated that innovators in the United States capture only about two percent of the social value of their innovations. For a general-purpose technology (Bresnahan and Trajtenberg 1995), the framework applies twice. It applies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Who captures surplus in a layered market has been studied extensively outside information systems, and our setting borrows from that work in three ways. First, models of vertical differentiation show that a quality leader can price above its rival only by the amount that buyers value the quality difference. Its margin is therefore proportional to the lead and falls to zero when the lead does (Mussa and Rosen 1978, Shaked and Sutton 1982). The developer rent in Proposition 3 applies this logic, with the lead measured on public leaderboards. Second, the literature on vertical chains, which begins with Spengler (1950), analyzes how margins are divided among successive layers. Our division-of-surplus result (Proposition 4) is a decomposition of this kind. It is accounting in nature, and its content lies in how each term moves with the lead, the imitation lag, and downstream competition. Third, work on platforms and complementors shows that platform owners can enter complementors’ markets and that their entry shortens the complementors’ profitable window (Gawer and Henderson 2007, Zhu and Liu 2018, Rochet and Tirole 2003). Proposition 5 builds on this result. A vendor’s productization of a use reduces the expected rent of the complement builder that created it.</w:t>
      </w:r>
    </w:p>
    <w:bookmarkEnd w:id="24"/>
    <w:bookmarkStart w:id="25" w:name="evidence-on-large-language-models"/>
    <w:p>
      <w:pPr>
        <w:pStyle w:val="Heading2"/>
      </w:pPr>
      <w:r>
        <w:t xml:space="preserve">2.5 Evidence on large language models</w:t>
      </w:r>
    </w:p>
    <w:p>
      <w:pPr>
        <w:pStyle w:val="FirstParagraph"/>
      </w:pPr>
      <w:r>
        <w:t xml:space="preserve">The evidence on LLMs so far sits mostly at the task level and at the developer level, and little of it concerns firm profit. Field and laboratory studies find large productivity effects. Brynjolfsson et al. (2025) report a 14 percent increase in issues resolved per hour among customer-support agents. Noy and Zhang (2023) find a 40 percent reduction in the time spent on professional writing tasks, Peng et al. (2023) find that programmers complete tasks 55 percent faster, and Dell’Acqua et al. (2023) find gains of 25 to 40 percent on consulting tasks that lie within the model’s capability frontier. Eloundou et al. (2024) estimate that a majority of occupations have at least some tasks exposed to LLMs. Agrawal et al. (2018, 2022) frame AI as a fall in the cost of prediction, so that value accrues to the owners of complements, and Bommasani et al. (2021) describe foundation models as a shared substrate. At the level of the adopting organization the evidence is thinner and less favorable. Humlum and Vestergaard (2025) link Danish adoption surveys to administrative records and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anyone studied them systematically. Rivals match frontier quality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still growing, but costs are larger. OpenAI’s 2025 operating loss of $20.9 billion on $13.1 billion of revenue was driven by $19.2 billion of research and development. Its payments to Microsoft alone, $17.2 billion, equal about half of its $34 billion of total costs and expenses. Meanwhile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which means that serving cost fell faster than price over that interval.</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we do not use them that way. A run-rate is not a profit, and a hyperscaler’s AI profit is not a developer’s rent. Their role here is to motivate the developer half of the theory and to fix orders of magnitude. The empirical work appears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of Section 4, and sells a bundled product (Copilot) that is a complement 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8"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that produce a homogeneous good sold at price</w:t>
      </w:r>
      <w:r>
        <w:t xml:space="preserve"> </w:t>
      </w:r>
      <m:oMath>
        <m:r>
          <m:t>p</m:t>
        </m:r>
      </m:oMath>
      <w:r>
        <w:t xml:space="preserve">. Firm</w:t>
      </w:r>
      <w:r>
        <w:t xml:space="preserve"> </w:t>
      </w:r>
      <m:oMath>
        <m:r>
          <m:t>j</m:t>
        </m:r>
      </m:oMath>
      <w:r>
        <w:t xml:space="preserve"> </w:t>
      </w:r>
      <w:r>
        <w:t xml:space="preserve">produces output</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bought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 It satisfies</w:t>
      </w:r>
      <w:r>
        <w:t xml:space="preserve"> </w:t>
      </w:r>
      <m:oMath>
        <m:r>
          <m:t>φ</m:t>
        </m:r>
        <m:d>
          <m:dPr>
            <m:begChr m:val="("/>
            <m:endChr m:val=")"/>
            <m:sepChr m:val=""/>
            <m:grow/>
          </m:dPr>
          <m:e>
            <m:r>
              <m:t>L</m:t>
            </m:r>
            <m:r>
              <m:rPr>
                <m:sty m:val="p"/>
              </m:rPr>
              <m:t>,</m:t>
            </m:r>
            <m:r>
              <m:t>0</m:t>
            </m:r>
          </m:e>
        </m:d>
        <m:r>
          <m:rPr>
            <m:sty m:val="p"/>
          </m:rPr>
          <m:t>=</m:t>
        </m:r>
        <m:r>
          <m:t>0</m:t>
        </m:r>
      </m:oMath>
      <w:r>
        <w:t xml:space="preserve"> </w:t>
      </w:r>
      <w:r>
        <w:t xml:space="preserve">and is supermodular, so the marginal product of</w:t>
      </w:r>
      <w:r>
        <w:t xml:space="preserve"> </w:t>
      </w:r>
      <m:oMath>
        <m:r>
          <m:t>L</m:t>
        </m:r>
      </m:oMath>
      <w:r>
        <w:t xml:space="preserve"> </w:t>
      </w:r>
      <w:r>
        <w:t xml:space="preserve">rises with</w:t>
      </w:r>
      <w:r>
        <w:t xml:space="preserve"> </w:t>
      </w:r>
      <m:oMath>
        <m:r>
          <m:t>O</m:t>
        </m:r>
      </m:oMath>
      <w:r>
        <w:t xml:space="preserve"> </w:t>
      </w:r>
      <w:r>
        <w:t xml:space="preserve">and the marginal product of</w:t>
      </w:r>
      <w:r>
        <w:t xml:space="preserve"> </w:t>
      </w:r>
      <m:oMath>
        <m:r>
          <m:t>O</m:t>
        </m:r>
      </m:oMath>
      <w:r>
        <w:t xml:space="preserve"> </w:t>
      </w:r>
      <w:r>
        <w:t xml:space="preserve">rises with</w:t>
      </w:r>
      <w:r>
        <w:t xml:space="preserve"> </w:t>
      </w:r>
      <m:oMath>
        <m:r>
          <m:t>L</m:t>
        </m:r>
      </m:oMath>
      <w:r>
        <w:t xml:space="preserve">. The third argument of</w:t>
      </w:r>
      <w:r>
        <w:t xml:space="preserve"> </w:t>
      </w:r>
      <m:oMath>
        <m:r>
          <m:t>F</m:t>
        </m:r>
      </m:oMath>
      <w:r>
        <w:t xml:space="preserve"> </w:t>
      </w:r>
      <w:r>
        <w:t xml:space="preserve">is the model’s commodity contribution, which any firm can obtain by buying</w:t>
      </w:r>
      <w:r>
        <w:t xml:space="preserve"> </w:t>
      </w:r>
      <m:oMath>
        <m:r>
          <m:t>L</m:t>
        </m:r>
      </m:oMath>
      <w:r>
        <w:t xml:space="preserve">. The fourth argument is the contribution that arises only when the model is combined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reflecting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Developers with comparable infrastructure supply inference at a common marginal cost</w:t>
      </w:r>
      <w:r>
        <w:t xml:space="preserve"> </w:t>
      </w:r>
      <m:oMath>
        <m:r>
          <m:t>m</m:t>
        </m:r>
      </m:oMath>
      <w:r>
        <w:t xml:space="preserv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It is a factor payment and not part of developer rent.</w:t>
      </w:r>
    </w:p>
    <w:p>
      <w:pPr>
        <w:pStyle w:val="BodyText"/>
      </w:pPr>
      <w:r>
        <w:t xml:space="preserve">A</w:t>
      </w:r>
      <w:r>
        <w:t xml:space="preserve"> </w:t>
      </w:r>
      <w:r>
        <w:rPr>
          <w:iCs/>
          <w:i/>
        </w:rPr>
        <w:t xml:space="preserve">vendor</w:t>
      </w:r>
      <w:r>
        <w:t xml:space="preserve"> </w:t>
      </w:r>
      <w:r>
        <w:t xml:space="preserve">is a model developer that sells to adopters. The frontier developer is one such vendor, and Sections 4.3 and 4.4 also consider others. 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G</m:t>
              </m:r>
            </m:oMath>
            <w:r>
              <w:t xml:space="preserve">,</w:t>
            </w:r>
            <w:r>
              <w:t xml:space="preserve"> </w:t>
            </w:r>
            <m:oMath>
              <m:r>
                <m:t>H</m:t>
              </m:r>
            </m:oMath>
          </w:p>
        </w:tc>
        <w:tc>
          <w:tcPr/>
          <w:p>
            <w:pPr>
              <w:pStyle w:val="Compact"/>
              <w:jc w:val="left"/>
            </w:pPr>
            <w:r>
              <w:t xml:space="preserve">A vendor’s gain from productizing a use; total productization rate across vendors</w:t>
            </w:r>
          </w:p>
        </w:tc>
      </w:tr>
      <w:tr>
        <w:tc>
          <w:tcPr/>
          <w:p>
            <w:pPr>
              <w:pStyle w:val="Compact"/>
              <w:jc w:val="left"/>
            </w:pPr>
            <m:oMath>
              <m:r>
                <m:t>η</m:t>
              </m:r>
            </m:oMath>
          </w:p>
        </w:tc>
        <w:tc>
          <w:tcPr/>
          <w:p>
            <w:pPr>
              <w:pStyle w:val="Compact"/>
              <w:jc w:val="left"/>
            </w:pPr>
            <w:r>
              <w:t xml:space="preserve">Rate at which a vendor productizes a complement builder’s use (Propositions 5 to 8)</w:t>
            </w:r>
          </w:p>
        </w:tc>
      </w:tr>
      <w:tr>
        <w:tc>
          <w:tcPr/>
          <w:p>
            <w:pPr>
              <w:pStyle w:val="Compact"/>
              <w:jc w:val="left"/>
            </w:pPr>
            <m:oMath>
              <m:r>
                <m:t>μ</m:t>
              </m:r>
            </m:oMath>
            <w:r>
              <w:t xml:space="preserve">,</w:t>
            </w:r>
            <w:r>
              <w:t xml:space="preserve"> </w:t>
            </w:r>
            <m:oMath>
              <m:r>
                <m:t>r</m:t>
              </m:r>
            </m:oMath>
          </w:p>
        </w:tc>
        <w:tc>
          <w:tcPr/>
          <w:p>
            <w:pPr>
              <w:pStyle w:val="Compact"/>
              <w:jc w:val="left"/>
            </w:pPr>
            <w:r>
              <w:t xml:space="preserve">Rate at which rivals imitate</w:t>
            </w:r>
            <w:r>
              <w:t xml:space="preserve"> </w:t>
            </w:r>
            <m:oMath>
              <m:sSub>
                <m:e>
                  <m:r>
                    <m:t>O</m:t>
                  </m:r>
                </m:e>
                <m:sub>
                  <m:r>
                    <m:t>j</m:t>
                  </m:r>
                </m:sub>
              </m:sSub>
            </m:oMath>
            <w:r>
              <w:t xml:space="preserve"> </w:t>
            </w:r>
            <w:r>
              <w:t xml:space="preserve">(Section 4.3);</w:t>
            </w:r>
            <w:r>
              <w:t xml:space="preserve"> </w:t>
            </w:r>
            <m:oMath>
              <m:r>
                <m:t>r</m:t>
              </m:r>
              <m:r>
                <m:rPr>
                  <m:sty m:val="p"/>
                </m:rPr>
                <m:t>=</m:t>
              </m:r>
              <m:r>
                <m:t>ρ</m:t>
              </m:r>
              <m:r>
                <m:rPr>
                  <m:sty m:val="p"/>
                </m:rPr>
                <m:t>+</m:t>
              </m:r>
              <m:r>
                <m:t>μ</m:t>
              </m:r>
            </m:oMath>
          </w:p>
        </w:tc>
      </w:tr>
      <w:tr>
        <w:tc>
          <w:tcPr/>
          <w:p>
            <w:pPr>
              <w:pStyle w:val="Compact"/>
              <w:jc w:val="left"/>
            </w:pPr>
            <m:oMath>
              <m:r>
                <m:t>N</m:t>
              </m:r>
            </m:oMath>
          </w:p>
        </w:tc>
        <w:tc>
          <w:tcPr/>
          <w:p>
            <w:pPr>
              <w:pStyle w:val="Compact"/>
              <w:jc w:val="left"/>
            </w:pPr>
            <w:r>
              <w:t xml:space="preserve">Number of vendors able to productize the same use (Section 4.4)</w:t>
            </w:r>
          </w:p>
        </w:tc>
      </w:tr>
      <w:tr>
        <w:tc>
          <w:tcPr/>
          <w:p>
            <w:pPr>
              <w:pStyle w:val="Compact"/>
              <w:jc w:val="left"/>
            </w:pPr>
            <m:oMath>
              <m:r>
                <m:t>s</m:t>
              </m:r>
            </m:oMath>
            <w:r>
              <w:t xml:space="preserve">,</w:t>
            </w:r>
            <w:r>
              <w:t xml:space="preserve"> </w:t>
            </w:r>
            <m:oMath>
              <m:r>
                <m:t>K</m:t>
              </m:r>
              <m:d>
                <m:dPr>
                  <m:begChr m:val="("/>
                  <m:endChr m:val=")"/>
                  <m:sepChr m:val=""/>
                  <m:grow/>
                </m:dPr>
                <m:e>
                  <m:r>
                    <m:t>s</m:t>
                  </m:r>
                </m:e>
              </m:d>
            </m:oMath>
          </w:p>
        </w:tc>
        <w:tc>
          <w:tcPr/>
          <w:p>
            <w:pPr>
              <w:pStyle w:val="Compact"/>
              <w:jc w:val="left"/>
            </w:pPr>
            <w:r>
              <w:t xml:space="preserve">Contractual protection against productization; developer’s cost curvature, increasing in</w:t>
            </w:r>
            <w:r>
              <w:t xml:space="preserve"> </w:t>
            </w:r>
            <m:oMath>
              <m:r>
                <m:t>s</m:t>
              </m:r>
            </m:oMath>
          </w:p>
        </w:tc>
      </w:tr>
      <w:tr>
        <w:tc>
          <w:tcPr/>
          <w:p>
            <w:pPr>
              <w:pStyle w:val="Compact"/>
              <w:jc w:val="left"/>
            </w:pPr>
            <m:oMath>
              <m:r>
                <m:t>R</m:t>
              </m:r>
            </m:oMath>
            <w:r>
              <w:t xml:space="preserve">,</w:t>
            </w:r>
            <w:r>
              <w:t xml:space="preserve"> </w:t>
            </w:r>
            <m:oMath>
              <m:r>
                <m:t>ϕ</m:t>
              </m:r>
            </m:oMath>
          </w:p>
        </w:tc>
        <w:tc>
          <w:tcPr/>
          <w:p>
            <w:pPr>
              <w:pStyle w:val="Compact"/>
              <w:jc w:val="left"/>
            </w:pPr>
            <w:r>
              <w:t xml:space="preserve">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share of its present value the developer gains by productizing</w:t>
            </w:r>
          </w:p>
        </w:tc>
      </w:tr>
    </w:tbl>
    <w:bookmarkEnd w:id="32"/>
    <w:bookmarkStart w:id="33" w:name="propositions"/>
    <w:p>
      <w:pPr>
        <w:pStyle w:val="Heading2"/>
      </w:pPr>
      <w:r>
        <w:t xml:space="preserve">4.2 Propositions</w:t>
      </w:r>
    </w:p>
    <w:p>
      <w:pPr>
        <w:pStyle w:val="FirstParagraph"/>
      </w:pPr>
      <w:r>
        <w:t xml:space="preserve">Propositions 1 to 5 are stated here. Propositions 6 to 8, which endogenize the productization rate and add competition among vendors, follow in Sections 4.3 and 4.4. All proofs are in Appendix A.</w:t>
      </w:r>
    </w:p>
    <w:p>
      <w:pPr>
        <w:pStyle w:val="BodyText"/>
      </w:pPr>
      <w:r>
        <w:rPr>
          <w:bCs/>
          <w:b/>
        </w:rPr>
        <w:t xml:space="preserve">Proposition 1 (Adopter zero profit).</w:t>
      </w:r>
      <w:r>
        <w:t xml:space="preserve"> </w:t>
      </w:r>
      <w:r>
        <w:t xml:space="preserve">In a competitive industry in which no adopter holds organizational capital (</w:t>
      </w:r>
      <m:oMath>
        <m:sSub>
          <m:e>
            <m:r>
              <m:t>O</m:t>
            </m:r>
          </m:e>
          <m:sub>
            <m:r>
              <m:t>j</m:t>
            </m:r>
          </m:sub>
        </m:sSub>
        <m:r>
          <m:rPr>
            <m:sty m:val="p"/>
          </m:rPr>
          <m:t>=</m:t>
        </m:r>
        <m:r>
          <m:t>0</m:t>
        </m:r>
      </m:oMath>
      <w:r>
        <w:t xml:space="preserve"> </w:t>
      </w:r>
      <w:r>
        <w:t xml:space="preserve">for all</w:t>
      </w:r>
      <w:r>
        <w:t xml:space="preserve"> </w:t>
      </w:r>
      <m:oMath>
        <m:r>
          <m:t>j</m:t>
        </m:r>
      </m:oMath>
      <w:r>
        <w:t xml:space="preserve">), LLM usage earns no adopter an economic profit. An improvement in the model, or a fall in</w:t>
      </w:r>
      <w:r>
        <w:t xml:space="preserve"> </w:t>
      </w:r>
      <m:oMath>
        <m:sSub>
          <m:e>
            <m:r>
              <m:t>p</m:t>
            </m:r>
          </m:e>
          <m:sub>
            <m:r>
              <m:t>L</m:t>
            </m:r>
          </m:sub>
        </m:sSub>
      </m:oMath>
      <w:r>
        <w:t xml:space="preserve">, 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p>
      <w:pPr>
        <w:pStyle w:val="BodyText"/>
      </w:pPr>
      <w:r>
        <w:t xml:space="preserve">Section 4.3 repeats this result with an exponential imitation lag, which makes it possible to solve for the vendor’s choice of</w:t>
      </w:r>
      <w:r>
        <w:t xml:space="preserve"> </w:t>
      </w:r>
      <m:oMath>
        <m:r>
          <m:t>η</m:t>
        </m:r>
      </m:oMath>
      <w:r>
        <w:t xml:space="preserve">.</w:t>
      </w:r>
    </w:p>
    <w:bookmarkEnd w:id="33"/>
    <w:bookmarkStart w:id="34" w:name="Xb251667487cf04b98c628b0f1577ec4895e93a1"/>
    <w:p>
      <w:pPr>
        <w:pStyle w:val="Heading2"/>
      </w:pPr>
      <w:r>
        <w:t xml:space="preserve">4.3 Endogenous encroachment and contract protection</w:t>
      </w:r>
    </w:p>
    <w:p>
      <w:pPr>
        <w:pStyle w:val="FirstParagraph"/>
      </w:pPr>
      <w:r>
        <w:t xml:space="preserve">Proposition 5 takes the productization rate</w:t>
      </w:r>
      <w:r>
        <w:t xml:space="preserve"> </w:t>
      </w:r>
      <m:oMath>
        <m:r>
          <m:t>η</m:t>
        </m:r>
      </m:oMath>
      <w:r>
        <w:t xml:space="preserve"> </w:t>
      </w:r>
      <w:r>
        <w:t xml:space="preserve">as given. Here we let the vendor choose it and ask how contract terms affect the choice. The analysis is a reduced-form extension that adds only the structure needed to endogenize</w:t>
      </w:r>
      <w:r>
        <w:t xml:space="preserve"> </w:t>
      </w:r>
      <m:oMath>
        <m:r>
          <m:t>η</m:t>
        </m:r>
      </m:oMath>
      <w:r>
        <w:t xml:space="preserve">. It is a first formalization and not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To keep the problem tractable, we replace the deterministic imitation lag</w:t>
      </w:r>
      <w:r>
        <w:t xml:space="preserve"> </w:t>
      </w:r>
      <m:oMath>
        <m:sSub>
          <m:e>
            <m:r>
              <m:t>τ</m:t>
            </m:r>
          </m:e>
          <m:sub>
            <m:r>
              <m:t>O</m:t>
            </m:r>
          </m:sub>
        </m:sSub>
      </m:oMath>
      <w:r>
        <w:t xml:space="preserve"> </w:t>
      </w:r>
      <w:r>
        <w:t xml:space="preserve">with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vendor’s use of the adopter’s data, fine-tuning, or deployment information. The vendor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w:t>
      </w:r>
      <w:r>
        <w:t xml:space="preserve"> </w:t>
      </w:r>
      <m:oMath>
        <m:r>
          <m:t>η</m:t>
        </m:r>
        <m:r>
          <m:rPr>
            <m:sty m:val="p"/>
          </m:rPr>
          <m:t>=</m:t>
        </m:r>
        <m:d>
          <m:dPr>
            <m:begChr m:val="("/>
            <m:endChr m:val=")"/>
            <m:sepChr m:val=""/>
            <m:grow/>
          </m:dPr>
          <m:e>
            <m:r>
              <m:t>1</m:t>
            </m:r>
            <m:r>
              <m:rPr>
                <m:sty m:val="p"/>
              </m:rPr>
              <m:t>−</m:t>
            </m:r>
            <m:r>
              <m:t>s</m:t>
            </m:r>
          </m:e>
        </m:d>
        <m:r>
          <m:t>e</m:t>
        </m:r>
      </m:oMath>
      <w:r>
        <w:t xml:space="preserve">. Achieving a rate</w:t>
      </w:r>
      <w:r>
        <w:t xml:space="preserve"> </w:t>
      </w:r>
      <m:oMath>
        <m:r>
          <m:t>η</m:t>
        </m:r>
      </m:oMath>
      <w:r>
        <w:t xml:space="preserve"> </w:t>
      </w:r>
      <w:r>
        <w:t xml:space="preserve">therefore costs</w:t>
      </w:r>
      <w:r>
        <w:t xml:space="preserve"> </w:t>
      </w:r>
      <m:oMath>
        <m:d>
          <m:dPr>
            <m:begChr m:val="("/>
            <m:endChr m:val=")"/>
            <m:sepChr m:val=""/>
            <m:grow/>
          </m:dPr>
          <m:e>
            <m:r>
              <m:t>K</m:t>
            </m:r>
            <m:r>
              <m:rPr>
                <m:sty m:val="p"/>
              </m:rPr>
              <m:t>/</m:t>
            </m:r>
            <m:r>
              <m:t>2</m:t>
            </m:r>
          </m:e>
        </m:d>
        <m:sSup>
          <m:e>
            <m:r>
              <m:t>η</m:t>
            </m:r>
          </m:e>
          <m:sup>
            <m:r>
              <m:t>2</m:t>
            </m:r>
          </m:sup>
        </m:sSup>
      </m:oMath>
      <w:r>
        <w:t xml:space="preserve">, where</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If the vendor productizes the use, it gains the present value</w:t>
      </w:r>
      <w:r>
        <w:t xml:space="preserve"> </w:t>
      </w:r>
      <m:oMath>
        <m:r>
          <m:t>G</m:t>
        </m:r>
        <m:r>
          <m:rPr>
            <m:sty m:val="p"/>
          </m:rPr>
          <m:t>=</m:t>
        </m:r>
        <m:r>
          <m:t>ϕ</m:t>
        </m:r>
        <m:r>
          <m:t>R</m:t>
        </m:r>
        <m:r>
          <m:rPr>
            <m:sty m:val="p"/>
          </m:rPr>
          <m:t>/</m:t>
        </m:r>
        <m:r>
          <m:t>r</m:t>
        </m:r>
      </m:oMath>
      <w:r>
        <w:t xml:space="preserve">. 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the vendor captures, and the rest passes to consumers. The vendor chooses</w:t>
      </w:r>
      <w:r>
        <w:t xml:space="preserve"> </w:t>
      </w:r>
      <m:oMath>
        <m:r>
          <m:t>η</m:t>
        </m:r>
      </m:oMath>
      <w:r>
        <w:t xml:space="preserve"> </w:t>
      </w:r>
      <w:r>
        <w:t xml:space="preserve">to maximize</w:t>
      </w:r>
    </w:p>
    <w:p>
      <w:pPr>
        <w:pStyle w:val="BodyText"/>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p>
      <w:pPr>
        <w:pStyle w:val="FirstParagraph"/>
      </w:pPr>
      <w:r>
        <w:t xml:space="preserve">the expected present value of its gain net of effort cost, which runs until productization or imitation ends the opportunity.</w:t>
      </w:r>
    </w:p>
    <w:p>
      <w:pPr>
        <w:pStyle w:val="BodyText"/>
      </w:pPr>
      <w:r>
        <w:rPr>
          <w:bCs/>
          <w:b/>
        </w:rPr>
        <w:t xml:space="preserve">Proposition 6 (Equilibrium productization).</w:t>
      </w:r>
      <w:r>
        <w:t xml:space="preserve"> </w:t>
      </w:r>
      <w:r>
        <w:t xml:space="preserve">The vendor’s problem has a unique interior solution,</w:t>
      </w:r>
    </w:p>
    <w:p>
      <w:pPr>
        <w:pStyle w:val="BodyText"/>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vendor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vendor move sooner, so the two threats to the adopter’s rent compound. Proposition 7 applies the hold-up logic of Klein et al. (1978) and Grossman and Hart (1986) to the LLM supply relationship. An adopter that fears productization under-invests in the co-specialized capital that generates its rent, and contract terms that raise the vendor’s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vendor’s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3 gives a numerical illustration. Protection clears for uses with small rents and fails for uses with large rents, because the vendor’s gain from productizing grows with the rent. The pattern depends on the parameters. In a simulation with randomly drawn parameters, the willingness to pay fell short of the vendor’s loss in about five percent of the draws. We therefore offer the pattern as an illustration and not as a proposition. If it held more generally, the uses most worth protecting would be the ones least likely to be protected.</w:t>
      </w:r>
    </w:p>
    <w:p>
      <w:pPr>
        <w:pStyle w:val="BodyText"/>
      </w:pPr>
      <w:r>
        <w:rPr>
          <w:bCs/>
          <w:b/>
        </w:rPr>
        <w:t xml:space="preserve">Table 3. Willingness to pay for protection versus the vendor’s loss (illustration;</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1</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m:oMath>
              <m:r>
                <m:t>R</m:t>
              </m:r>
            </m:oMath>
          </w:p>
        </w:tc>
        <w:tc>
          <w:tcPr/>
          <w:p>
            <w:pPr>
              <w:pStyle w:val="Compact"/>
              <w:jc w:val="right"/>
            </w:pPr>
            <m:oMath>
              <m:sSup>
                <m:e>
                  <m:r>
                    <m:t>η</m:t>
                  </m:r>
                </m:e>
                <m:sup>
                  <m:r>
                    <m:rPr>
                      <m:sty m:val="p"/>
                    </m:rPr>
                    <m:t>*</m:t>
                  </m:r>
                </m:sup>
              </m:sSup>
            </m:oMath>
            <w:r>
              <w:t xml:space="preserve"> </w:t>
            </w:r>
            <w:r>
              <w:t xml:space="preserve">(</w:t>
            </w:r>
            <m:oMath>
              <m:r>
                <m:t>s</m:t>
              </m:r>
              <m:r>
                <m:rPr>
                  <m:sty m:val="p"/>
                </m:rPr>
                <m:t>=</m:t>
              </m:r>
              <m:r>
                <m:t>0</m:t>
              </m:r>
            </m:oMath>
            <w:r>
              <w:t xml:space="preserve">)</w:t>
            </w:r>
          </w:p>
        </w:tc>
        <w:tc>
          <w:tcPr/>
          <w:p>
            <w:pPr>
              <w:pStyle w:val="Compact"/>
              <w:jc w:val="right"/>
            </w:pPr>
            <m:oMath>
              <m:sSup>
                <m:e>
                  <m:r>
                    <m:t>η</m:t>
                  </m:r>
                </m:e>
                <m:sup>
                  <m:r>
                    <m:rPr>
                      <m:sty m:val="p"/>
                    </m:rPr>
                    <m:t>*</m:t>
                  </m:r>
                </m:sup>
              </m:sSup>
            </m:oMath>
            <w:r>
              <w:t xml:space="preserve"> </w:t>
            </w:r>
            <w:r>
              <w:t xml:space="preserve">(</w:t>
            </w:r>
            <m:oMath>
              <m:r>
                <m:t>s</m:t>
              </m:r>
              <m:r>
                <m:rPr>
                  <m:sty m:val="p"/>
                </m:rPr>
                <m:t>=</m:t>
              </m:r>
              <m:r>
                <m:t>0.5</m:t>
              </m:r>
            </m:oMath>
            <w:r>
              <w:t xml:space="preserve">)</w:t>
            </w:r>
          </w:p>
        </w:tc>
        <w:tc>
          <w:tcPr/>
          <w:p>
            <w:pPr>
              <w:pStyle w:val="Compact"/>
              <w:jc w:val="right"/>
            </w:pPr>
            <w:r>
              <w:t xml:space="preserve">Willingness to pay</w:t>
            </w:r>
          </w:p>
        </w:tc>
        <w:tc>
          <w:tcPr/>
          <w:p>
            <w:pPr>
              <w:pStyle w:val="Compact"/>
              <w:jc w:val="right"/>
            </w:pPr>
            <w:r>
              <w:t xml:space="preserve">Vendor’s loss</w:t>
            </w:r>
          </w:p>
        </w:tc>
        <w:tc>
          <w:tcPr/>
          <w:p>
            <w:pPr>
              <w:pStyle w:val="Compact"/>
              <w:jc w:val="left"/>
            </w:pPr>
            <w:r>
              <w:t xml:space="preserve">Contract agreed</w:t>
            </w:r>
          </w:p>
        </w:tc>
      </w:tr>
      <w:tr>
        <w:tc>
          <w:tcPr/>
          <w:p>
            <w:pPr>
              <w:pStyle w:val="Compact"/>
              <w:jc w:val="right"/>
            </w:pPr>
            <w:r>
              <w:t xml:space="preserve">0.5</w:t>
            </w:r>
          </w:p>
        </w:tc>
        <w:tc>
          <w:tcPr/>
          <w:p>
            <w:pPr>
              <w:pStyle w:val="Compact"/>
              <w:jc w:val="right"/>
            </w:pPr>
            <w:r>
              <w:t xml:space="preserve">0.643</w:t>
            </w:r>
          </w:p>
        </w:tc>
        <w:tc>
          <w:tcPr/>
          <w:p>
            <w:pPr>
              <w:pStyle w:val="Compact"/>
              <w:jc w:val="right"/>
            </w:pPr>
            <w:r>
              <w:t xml:space="preserve">0.239</w:t>
            </w:r>
          </w:p>
        </w:tc>
        <w:tc>
          <w:tcPr/>
          <w:p>
            <w:pPr>
              <w:pStyle w:val="Compact"/>
              <w:jc w:val="right"/>
            </w:pPr>
            <w:r>
              <w:t xml:space="preserve">0.398</w:t>
            </w:r>
          </w:p>
        </w:tc>
        <w:tc>
          <w:tcPr/>
          <w:p>
            <w:pPr>
              <w:pStyle w:val="Compact"/>
              <w:jc w:val="right"/>
            </w:pPr>
            <w:r>
              <w:t xml:space="preserve">0.311</w:t>
            </w:r>
          </w:p>
        </w:tc>
        <w:tc>
          <w:tcPr/>
          <w:p>
            <w:pPr>
              <w:pStyle w:val="Compact"/>
              <w:jc w:val="left"/>
            </w:pPr>
            <w:r>
              <w:t xml:space="preserve">Yes</w:t>
            </w:r>
          </w:p>
        </w:tc>
      </w:tr>
      <w:tr>
        <w:tc>
          <w:tcPr/>
          <w:p>
            <w:pPr>
              <w:pStyle w:val="Compact"/>
              <w:jc w:val="right"/>
            </w:pPr>
            <w:r>
              <w:t xml:space="preserve">1</w:t>
            </w:r>
          </w:p>
        </w:tc>
        <w:tc>
          <w:tcPr/>
          <w:p>
            <w:pPr>
              <w:pStyle w:val="Compact"/>
              <w:jc w:val="right"/>
            </w:pPr>
            <w:r>
              <w:t xml:space="preserve">1.000</w:t>
            </w:r>
          </w:p>
        </w:tc>
        <w:tc>
          <w:tcPr/>
          <w:p>
            <w:pPr>
              <w:pStyle w:val="Compact"/>
              <w:jc w:val="right"/>
            </w:pPr>
            <w:r>
              <w:t xml:space="preserve">0.400</w:t>
            </w:r>
          </w:p>
        </w:tc>
        <w:tc>
          <w:tcPr/>
          <w:p>
            <w:pPr>
              <w:pStyle w:val="Compact"/>
              <w:jc w:val="right"/>
            </w:pPr>
            <w:r>
              <w:t xml:space="preserve">0.659</w:t>
            </w:r>
          </w:p>
        </w:tc>
        <w:tc>
          <w:tcPr/>
          <w:p>
            <w:pPr>
              <w:pStyle w:val="Compact"/>
              <w:jc w:val="right"/>
            </w:pPr>
            <w:r>
              <w:t xml:space="preserve">0.600</w:t>
            </w:r>
          </w:p>
        </w:tc>
        <w:tc>
          <w:tcPr/>
          <w:p>
            <w:pPr>
              <w:pStyle w:val="Compact"/>
              <w:jc w:val="left"/>
            </w:pPr>
            <w:r>
              <w:t xml:space="preserve">Yes</w:t>
            </w:r>
          </w:p>
        </w:tc>
      </w:tr>
      <w:tr>
        <w:tc>
          <w:tcPr/>
          <w:p>
            <w:pPr>
              <w:pStyle w:val="Compact"/>
              <w:jc w:val="right"/>
            </w:pPr>
            <w:r>
              <w:t xml:space="preserve">2</w:t>
            </w:r>
          </w:p>
        </w:tc>
        <w:tc>
          <w:tcPr/>
          <w:p>
            <w:pPr>
              <w:pStyle w:val="Compact"/>
              <w:jc w:val="right"/>
            </w:pPr>
            <w:r>
              <w:t xml:space="preserve">1.514</w:t>
            </w:r>
          </w:p>
        </w:tc>
        <w:tc>
          <w:tcPr/>
          <w:p>
            <w:pPr>
              <w:pStyle w:val="Compact"/>
              <w:jc w:val="right"/>
            </w:pPr>
            <w:r>
              <w:t xml:space="preserve">0.643</w:t>
            </w:r>
          </w:p>
        </w:tc>
        <w:tc>
          <w:tcPr/>
          <w:p>
            <w:pPr>
              <w:pStyle w:val="Compact"/>
              <w:jc w:val="right"/>
            </w:pPr>
            <w:r>
              <w:t xml:space="preserve">1.017</w:t>
            </w:r>
          </w:p>
        </w:tc>
        <w:tc>
          <w:tcPr/>
          <w:p>
            <w:pPr>
              <w:pStyle w:val="Compact"/>
              <w:jc w:val="right"/>
            </w:pPr>
            <w:r>
              <w:t xml:space="preserve">1.060</w:t>
            </w:r>
          </w:p>
        </w:tc>
        <w:tc>
          <w:tcPr/>
          <w:p>
            <w:pPr>
              <w:pStyle w:val="Compact"/>
              <w:jc w:val="left"/>
            </w:pPr>
            <w:r>
              <w:t xml:space="preserve">No</w:t>
            </w:r>
          </w:p>
        </w:tc>
      </w:tr>
      <w:tr>
        <w:tc>
          <w:tcPr/>
          <w:p>
            <w:pPr>
              <w:pStyle w:val="Compact"/>
              <w:jc w:val="right"/>
            </w:pPr>
            <w:r>
              <w:t xml:space="preserve">4</w:t>
            </w:r>
          </w:p>
        </w:tc>
        <w:tc>
          <w:tcPr/>
          <w:p>
            <w:pPr>
              <w:pStyle w:val="Compact"/>
              <w:jc w:val="right"/>
            </w:pPr>
            <w:r>
              <w:t xml:space="preserve">2.248</w:t>
            </w:r>
          </w:p>
        </w:tc>
        <w:tc>
          <w:tcPr/>
          <w:p>
            <w:pPr>
              <w:pStyle w:val="Compact"/>
              <w:jc w:val="right"/>
            </w:pPr>
            <w:r>
              <w:t xml:space="preserve">1.000</w:t>
            </w:r>
          </w:p>
        </w:tc>
        <w:tc>
          <w:tcPr/>
          <w:p>
            <w:pPr>
              <w:pStyle w:val="Compact"/>
              <w:jc w:val="right"/>
            </w:pPr>
            <w:r>
              <w:t xml:space="preserve">1.507</w:t>
            </w:r>
          </w:p>
        </w:tc>
        <w:tc>
          <w:tcPr/>
          <w:p>
            <w:pPr>
              <w:pStyle w:val="Compact"/>
              <w:jc w:val="right"/>
            </w:pPr>
            <w:r>
              <w:t xml:space="preserve">1.752</w:t>
            </w:r>
          </w:p>
        </w:tc>
        <w:tc>
          <w:tcPr/>
          <w:p>
            <w:pPr>
              <w:pStyle w:val="Compact"/>
              <w:jc w:val="left"/>
            </w:pPr>
            <w:r>
              <w:t xml:space="preserve">No</w:t>
            </w:r>
          </w:p>
        </w:tc>
      </w:tr>
      <w:tr>
        <w:tc>
          <w:tcPr/>
          <w:p>
            <w:pPr>
              <w:pStyle w:val="Compact"/>
              <w:jc w:val="right"/>
            </w:pPr>
            <w:r>
              <w:t xml:space="preserve">8</w:t>
            </w:r>
          </w:p>
        </w:tc>
        <w:tc>
          <w:tcPr/>
          <w:p>
            <w:pPr>
              <w:pStyle w:val="Compact"/>
              <w:jc w:val="right"/>
            </w:pPr>
            <w:r>
              <w:t xml:space="preserve">3.290</w:t>
            </w:r>
          </w:p>
        </w:tc>
        <w:tc>
          <w:tcPr/>
          <w:p>
            <w:pPr>
              <w:pStyle w:val="Compact"/>
              <w:jc w:val="right"/>
            </w:pPr>
            <w:r>
              <w:t xml:space="preserve">1.514</w:t>
            </w:r>
          </w:p>
        </w:tc>
        <w:tc>
          <w:tcPr/>
          <w:p>
            <w:pPr>
              <w:pStyle w:val="Compact"/>
              <w:jc w:val="right"/>
            </w:pPr>
            <w:r>
              <w:t xml:space="preserve">2.182</w:t>
            </w:r>
          </w:p>
        </w:tc>
        <w:tc>
          <w:tcPr/>
          <w:p>
            <w:pPr>
              <w:pStyle w:val="Compact"/>
              <w:jc w:val="right"/>
            </w:pPr>
            <w:r>
              <w:t xml:space="preserve">2.765</w:t>
            </w:r>
          </w:p>
        </w:tc>
        <w:tc>
          <w:tcPr/>
          <w:p>
            <w:pPr>
              <w:pStyle w:val="Compact"/>
              <w:jc w:val="left"/>
            </w:pPr>
            <w: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vendor, and Section 4.4 adds competition among vendors. We still do not model the adopter’s responses, such as concealing the use or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says nothing about how the vendor earns from a productized offering. Contract terms are not publicly observed, so the propositions cannot be examined with the data in Section 6.</w:t>
      </w:r>
    </w:p>
    <w:bookmarkEnd w:id="34"/>
    <w:bookmarkStart w:id="35" w:name="competition-among-vendors"/>
    <w:p>
      <w:pPr>
        <w:pStyle w:val="Heading2"/>
      </w:pPr>
      <w:r>
        <w:t xml:space="preserve">4.4 Competition among vendors</w:t>
      </w:r>
    </w:p>
    <w:p>
      <w:pPr>
        <w:pStyle w:val="FirstParagraph"/>
      </w:pPr>
      <w:r>
        <w:t xml:space="preserve">Section 4.3 has a single vendor decide whether to productize the adopter’s use. In practice, several vendors may see that a use is valuable and try to build it. We now let</w:t>
      </w:r>
      <w:r>
        <w:t xml:space="preserve"> </w:t>
      </w:r>
      <m:oMath>
        <m:r>
          <m:t>N</m:t>
        </m:r>
      </m:oMath>
      <w:r>
        <w:t xml:space="preserve"> </w:t>
      </w:r>
      <w:r>
        <w:t xml:space="preserve">symmetric vendors race for the same use.</w:t>
      </w:r>
    </w:p>
    <w:p>
      <w:pPr>
        <w:pStyle w:val="BodyText"/>
      </w:pPr>
      <w:r>
        <w:rPr>
          <w:iCs/>
          <w:i/>
        </w:rPr>
        <w:t xml:space="preserve">Setup.</w:t>
      </w:r>
      <w:r>
        <w:t xml:space="preserve"> </w:t>
      </w:r>
      <w:r>
        <w:t xml:space="preserve">Each vendor</w:t>
      </w:r>
      <w:r>
        <w:t xml:space="preserve"> </w:t>
      </w:r>
      <m:oMath>
        <m:r>
          <m:t>i</m:t>
        </m:r>
      </m:oMath>
      <w:r>
        <w:t xml:space="preserve"> </w:t>
      </w:r>
      <w:r>
        <w:t xml:space="preserve">chooses a productization rate</w:t>
      </w:r>
      <w:r>
        <w:t xml:space="preserve"> </w:t>
      </w:r>
      <m:oMath>
        <m:sSub>
          <m:e>
            <m:r>
              <m:t>η</m:t>
            </m:r>
          </m:e>
          <m:sub>
            <m:r>
              <m:t>i</m:t>
            </m:r>
          </m:sub>
        </m:sSub>
      </m:oMath>
      <w:r>
        <w:t xml:space="preserve"> </w:t>
      </w:r>
      <w:r>
        <w:t xml:space="preserve">at cost</w:t>
      </w:r>
      <w:r>
        <w:t xml:space="preserve"> </w:t>
      </w:r>
      <m:oMath>
        <m:d>
          <m:dPr>
            <m:begChr m:val="("/>
            <m:endChr m:val=")"/>
            <m:sepChr m:val=""/>
            <m:grow/>
          </m:dPr>
          <m:e>
            <m:r>
              <m:t>K</m:t>
            </m:r>
            <m:r>
              <m:rPr>
                <m:sty m:val="p"/>
              </m:rPr>
              <m:t>/</m:t>
            </m:r>
            <m:r>
              <m:t>2</m:t>
            </m:r>
          </m:e>
        </m:d>
        <m:sSubSup>
          <m:e>
            <m:r>
              <m:t>η</m:t>
            </m:r>
          </m:e>
          <m:sub>
            <m:r>
              <m:t>i</m:t>
            </m:r>
          </m:sub>
          <m:sup>
            <m:r>
              <m:t>2</m:t>
            </m:r>
          </m:sup>
        </m:sSubSup>
      </m:oMath>
      <w:r>
        <w:t xml:space="preserve">. The first vendor to productize the use earns</w:t>
      </w:r>
      <w:r>
        <w:t xml:space="preserve"> </w:t>
      </w:r>
      <m:oMath>
        <m:r>
          <m:t>G</m:t>
        </m:r>
      </m:oMath>
      <w:r>
        <w:t xml:space="preserve"> </w:t>
      </w:r>
      <w:r>
        <w:t xml:space="preserve">and the others earn nothing, and productization by any vendor ends the adopter’s rent. Imitation by rival adopters continues at rate</w:t>
      </w:r>
      <w:r>
        <w:t xml:space="preserve"> </w:t>
      </w:r>
      <m:oMath>
        <m:r>
          <m:t>μ</m:t>
        </m:r>
      </m:oMath>
      <w:r>
        <w:t xml:space="preserve">. Let</w:t>
      </w:r>
      <w:r>
        <w:t xml:space="preserve"> </w:t>
      </w:r>
      <m:oMath>
        <m:r>
          <m:t>H</m:t>
        </m:r>
        <m:r>
          <m:rPr>
            <m:sty m:val="p"/>
          </m:rPr>
          <m:t>=</m:t>
        </m:r>
        <m:nary>
          <m:naryPr>
            <m:chr m:val="∑"/>
            <m:limLoc m:val="undOvr"/>
            <m:subHide m:val="off"/>
            <m:supHide m:val="on"/>
          </m:naryPr>
          <m:sub>
            <m:r>
              <m:t>i</m:t>
            </m:r>
          </m:sub>
          <m:sup>
            <m:r>
              <m:t>​</m:t>
            </m:r>
          </m:sup>
          <m:e>
            <m:sSub>
              <m:e>
                <m:r>
                  <m:t>η</m:t>
                </m:r>
              </m:e>
              <m:sub>
                <m:r>
                  <m:t>i</m:t>
                </m:r>
              </m:sub>
            </m:sSub>
          </m:e>
        </m:nary>
      </m:oMath>
      <w:r>
        <w:t xml:space="preserve"> </w:t>
      </w:r>
      <w:r>
        <w:t xml:space="preserve">be the total rate. Vendor</w:t>
      </w:r>
      <w:r>
        <w:t xml:space="preserve"> </w:t>
      </w:r>
      <m:oMath>
        <m:r>
          <m:t>i</m:t>
        </m:r>
      </m:oMath>
      <w:r>
        <w:t xml:space="preserve"> </w:t>
      </w:r>
      <w:r>
        <w:t xml:space="preserve">maximizes</w:t>
      </w:r>
    </w:p>
    <w:p>
      <w:pPr>
        <w:pStyle w:val="BodyText"/>
      </w:pPr>
      <m:oMathPara>
        <m:oMathParaPr>
          <m:jc m:val="center"/>
        </m:oMathParaPr>
        <m:oMath>
          <m:sSub>
            <m:e>
              <m:r>
                <m:t>J</m:t>
              </m:r>
            </m:e>
            <m:sub>
              <m:r>
                <m:t>i</m:t>
              </m:r>
            </m:sub>
          </m:sSub>
          <m:r>
            <m:rPr>
              <m:sty m:val="p"/>
            </m:rPr>
            <m:t>=</m:t>
          </m:r>
          <m:f>
            <m:fPr>
              <m:type m:val="bar"/>
            </m:fPr>
            <m:num>
              <m:r>
                <m:t>G</m:t>
              </m:r>
              <m:sSub>
                <m:e>
                  <m:r>
                    <m:t>η</m:t>
                  </m:r>
                </m:e>
                <m:sub>
                  <m:r>
                    <m:t>i</m:t>
                  </m:r>
                </m:sub>
              </m:sSub>
              <m:r>
                <m:rPr>
                  <m:sty m:val="p"/>
                </m:rPr>
                <m:t>−</m:t>
              </m:r>
              <m:r>
                <m:t>K</m:t>
              </m:r>
              <m:sSubSup>
                <m:e>
                  <m:r>
                    <m:t>η</m:t>
                  </m:r>
                </m:e>
                <m:sub>
                  <m:r>
                    <m:t>i</m:t>
                  </m:r>
                </m:sub>
                <m:sup>
                  <m:r>
                    <m:t>2</m:t>
                  </m:r>
                </m:sup>
              </m:sSubSup>
              <m:r>
                <m:rPr>
                  <m:sty m:val="p"/>
                </m:rPr>
                <m:t>/</m:t>
              </m:r>
              <m:r>
                <m:t>2</m:t>
              </m:r>
            </m:num>
            <m:den>
              <m:r>
                <m:t>r</m:t>
              </m:r>
              <m:r>
                <m:rPr>
                  <m:sty m:val="p"/>
                </m:rPr>
                <m:t>+</m:t>
              </m:r>
              <m:r>
                <m:t>H</m:t>
              </m:r>
            </m:den>
          </m:f>
          <m:r>
            <m:rPr>
              <m:sty m:val="p"/>
            </m:rPr>
            <m:t>.</m:t>
          </m:r>
        </m:oMath>
      </m:oMathPara>
    </w:p>
    <w:p>
      <w:pPr>
        <w:pStyle w:val="FirstParagraph"/>
      </w:pPr>
      <w:r>
        <w:t xml:space="preserve">For given rivals’ rates this is the problem of Section 4.3 with</w:t>
      </w:r>
      <w:r>
        <w:t xml:space="preserve"> </w:t>
      </w:r>
      <m:oMath>
        <m:r>
          <m:t>r</m:t>
        </m:r>
      </m:oMath>
      <w:r>
        <w:t xml:space="preserve"> </w:t>
      </w:r>
      <w:r>
        <w:t xml:space="preserve">replaced by</w:t>
      </w:r>
      <w:r>
        <w:t xml:space="preserve"> </w:t>
      </w:r>
      <m:oMath>
        <m:r>
          <m:t>r</m:t>
        </m:r>
        <m:r>
          <m:rPr>
            <m:sty m:val="p"/>
          </m:rPr>
          <m:t>+</m:t>
        </m:r>
        <m:r>
          <m:t>H</m:t>
        </m:r>
        <m:r>
          <m:rPr>
            <m:sty m:val="p"/>
          </m:rPr>
          <m:t>−</m:t>
        </m:r>
        <m:sSub>
          <m:e>
            <m:r>
              <m:t>η</m:t>
            </m:r>
          </m:e>
          <m:sub>
            <m:r>
              <m:t>i</m:t>
            </m:r>
          </m:sub>
        </m:sSub>
      </m:oMath>
      <w:r>
        <w:t xml:space="preserve">.</w:t>
      </w:r>
    </w:p>
    <w:p>
      <w:pPr>
        <w:pStyle w:val="BodyText"/>
      </w:pPr>
      <w:r>
        <w:rPr>
          <w:bCs/>
          <w:b/>
        </w:rPr>
        <w:t xml:space="preserve">Proposition 8 (Vendor competition).</w:t>
      </w:r>
      <w:r>
        <w:t xml:space="preserve"> </w:t>
      </w:r>
      <w:r>
        <w:t xml:space="preserve">The game has a unique equilibrium, and it is symmetric. The common rate</w:t>
      </w:r>
      <w:r>
        <w:t xml:space="preserve"> </w:t>
      </w:r>
      <m:oMath>
        <m:sSup>
          <m:e>
            <m:r>
              <m:t>η</m:t>
            </m:r>
          </m:e>
          <m:sup>
            <m:r>
              <m:rPr>
                <m:sty m:val="p"/>
              </m:rPr>
              <m:t>*</m:t>
            </m:r>
          </m:sup>
        </m:sSup>
        <m:d>
          <m:dPr>
            <m:begChr m:val="("/>
            <m:endChr m:val=")"/>
            <m:sepChr m:val=""/>
            <m:grow/>
          </m:dPr>
          <m:e>
            <m:r>
              <m:t>N</m:t>
            </m:r>
          </m:e>
        </m:d>
      </m:oMath>
      <w:r>
        <w:t xml:space="preserve"> </w:t>
      </w:r>
      <w:r>
        <w:t xml:space="preserve">is the positive root of</w:t>
      </w:r>
    </w:p>
    <w:p>
      <w:pPr>
        <w:pStyle w:val="BodyText"/>
      </w:pPr>
      <m:oMathPara>
        <m:oMathParaPr>
          <m:jc m:val="center"/>
        </m:oMathParaPr>
        <m:oMath>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r>
            <m:rPr>
              <m:sty m:val="p"/>
            </m:rPr>
            <m:t>=</m:t>
          </m:r>
          <m:r>
            <m:t>0</m:t>
          </m:r>
          <m:r>
            <m:rPr>
              <m:sty m:val="p"/>
            </m:rPr>
            <m:t>.</m:t>
          </m:r>
        </m:oMath>
      </m:oMathPara>
    </w:p>
    <w:p>
      <w:pPr>
        <w:pStyle w:val="FirstParagraph"/>
      </w:pPr>
      <w:r>
        <w:t xml:space="preserve">Both the per-vendor rate</w:t>
      </w:r>
      <w:r>
        <w:t xml:space="preserve"> </w:t>
      </w:r>
      <m:oMath>
        <m:sSup>
          <m:e>
            <m:r>
              <m:t>η</m:t>
            </m:r>
          </m:e>
          <m:sup>
            <m:r>
              <m:rPr>
                <m:sty m:val="p"/>
              </m:rPr>
              <m:t>*</m:t>
            </m:r>
          </m:sup>
        </m:sSup>
        <m:d>
          <m:dPr>
            <m:begChr m:val="("/>
            <m:endChr m:val=")"/>
            <m:sepChr m:val=""/>
            <m:grow/>
          </m:dPr>
          <m:e>
            <m:r>
              <m:t>N</m:t>
            </m:r>
          </m:e>
        </m:d>
      </m:oMath>
      <w:r>
        <w:t xml:space="preserve"> </w:t>
      </w:r>
      <w:r>
        <w:t xml:space="preserve">and the total rate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oMath>
      <w:r>
        <w:t xml:space="preserve"> </w:t>
      </w:r>
      <w:r>
        <w:t xml:space="preserve">are increasing in</w:t>
      </w:r>
      <w:r>
        <w:t xml:space="preserve"> </w:t>
      </w:r>
      <m:oMath>
        <m:r>
          <m:t>N</m:t>
        </m:r>
      </m:oMath>
      <w:r>
        <w:t xml:space="preserve">. Each vendor’s expected payoff,</w:t>
      </w:r>
      <w:r>
        <w:t xml:space="preserve"> </w:t>
      </w:r>
      <m:oMath>
        <m:r>
          <m:t>G</m:t>
        </m:r>
        <m:r>
          <m:rPr>
            <m:sty m:val="p"/>
          </m:rPr>
          <m:t>−</m:t>
        </m:r>
        <m:r>
          <m:t>K</m:t>
        </m:r>
        <m:sSup>
          <m:e>
            <m:r>
              <m:t>η</m:t>
            </m:r>
          </m:e>
          <m:sup>
            <m:r>
              <m:rPr>
                <m:sty m:val="p"/>
              </m:rPr>
              <m:t>*</m:t>
            </m:r>
          </m:sup>
        </m:sSup>
        <m:d>
          <m:dPr>
            <m:begChr m:val="("/>
            <m:endChr m:val=")"/>
            <m:sepChr m:val=""/>
            <m:grow/>
          </m:dPr>
          <m:e>
            <m:r>
              <m:t>N</m:t>
            </m:r>
          </m:e>
        </m:d>
      </m:oMath>
      <w:r>
        <w:t xml:space="preserve">, is decreasing in</w:t>
      </w:r>
      <w:r>
        <w:t xml:space="preserve"> </w:t>
      </w:r>
      <m:oMath>
        <m:r>
          <m:t>N</m:t>
        </m:r>
      </m:oMath>
      <w:r>
        <w:t xml:space="preserve">, and the adopter’s expected rent</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g</m:t>
        </m:r>
        <m:d>
          <m:dPr>
            <m:begChr m:val="("/>
            <m:endChr m:val=")"/>
            <m:sepChr m:val=""/>
            <m:grow/>
          </m:dPr>
          <m:e>
            <m:sSub>
              <m:e>
                <m:r>
                  <m:t>O</m:t>
                </m:r>
              </m:e>
              <m:sub>
                <m:r>
                  <m:t>j</m:t>
                </m:r>
              </m:sub>
            </m:sSub>
          </m:e>
        </m:d>
      </m:oMath>
      <w:r>
        <w:t xml:space="preserve"> </w:t>
      </w:r>
      <w:r>
        <w:t xml:space="preserve">is decreasing in</w:t>
      </w:r>
      <w:r>
        <w:t xml:space="preserve"> </w:t>
      </w:r>
      <m:oMath>
        <m:r>
          <m:t>N</m:t>
        </m:r>
      </m:oMath>
      <w:r>
        <w:t xml:space="preserve">. For</w:t>
      </w:r>
      <w:r>
        <w:t xml:space="preserve"> </w:t>
      </w:r>
      <m:oMath>
        <m:r>
          <m:t>N</m:t>
        </m:r>
        <m:r>
          <m:rPr>
            <m:sty m:val="p"/>
          </m:rPr>
          <m:t>=</m:t>
        </m:r>
        <m:r>
          <m:t>1</m:t>
        </m:r>
      </m:oMath>
      <w:r>
        <w:t xml:space="preserve"> </w:t>
      </w:r>
      <w:r>
        <w:t xml:space="preserve">the solution is that of Proposition 6.</w:t>
      </w:r>
    </w:p>
    <w:p>
      <w:pPr>
        <w:pStyle w:val="BodyText"/>
      </w:pPr>
      <w:r>
        <w:t xml:space="preserve">Competition among vendors thus has two effects, and they work in the same direction. Each vendor moves faster, because a rival’s progress raises the cost of waiting, and more vendors are moving. The adopter’s profitable window shortens. The vendors’ own payoffs fall, so the race dissipates part of what the use is worth to them, much as competition among developers dissipates the premium in Proposition 3.</w:t>
      </w:r>
    </w:p>
    <w:p>
      <w:pPr>
        <w:pStyle w:val="BodyText"/>
      </w:pPr>
      <w:r>
        <w:rPr>
          <w:iCs/>
          <w:i/>
        </w:rPr>
        <w:t xml:space="preserve">Contract protection under competition.</w:t>
      </w:r>
      <w:r>
        <w:t xml:space="preserve"> </w:t>
      </w:r>
      <w:r>
        <w:t xml:space="preserve">Proposition 7 required only that one vendor’s cost rise with protection. With several vendors, a contract between the adopter and its own supplier binds that supplier alone. Let the adopter’s supplier have cost</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and let</w:t>
      </w:r>
      <w:r>
        <w:t xml:space="preserve"> </w:t>
      </w:r>
      <m:oMath>
        <m:r>
          <m:t>N</m:t>
        </m:r>
        <m:r>
          <m:rPr>
            <m:sty m:val="p"/>
          </m:rPr>
          <m:t>−</m:t>
        </m:r>
        <m:r>
          <m:t>1</m:t>
        </m:r>
      </m:oMath>
      <w:r>
        <w:t xml:space="preserve"> </w:t>
      </w:r>
      <w:r>
        <w:t xml:space="preserve">outsiders keep the cost</w:t>
      </w:r>
      <w:r>
        <w:t xml:space="preserve"> </w:t>
      </w:r>
      <m:oMath>
        <m:r>
          <m:t>k</m:t>
        </m:r>
      </m:oMath>
      <w:r>
        <w:t xml:space="preserve">, because they have no access to the adopter’s data and are therefore unaffected by</w:t>
      </w:r>
      <w:r>
        <w:t xml:space="preserve"> </w:t>
      </w:r>
      <m:oMath>
        <m:r>
          <m:t>s</m:t>
        </m:r>
      </m:oMath>
      <w:r>
        <w:t xml:space="preserve">. Table 4 shows what protection achieves for different numbers of outsiders. With no outsiders, raising</w:t>
      </w:r>
      <w:r>
        <w:t xml:space="preserve"> </w:t>
      </w:r>
      <m:oMath>
        <m:r>
          <m:t>s</m:t>
        </m:r>
      </m:oMath>
      <w:r>
        <w:t xml:space="preserve"> </w:t>
      </w:r>
      <w:r>
        <w:t xml:space="preserve">from 0 to 0.5 cuts the total productization rate by two thirds and raises the value of the adopter’s rent flow by more than half. With eight outsiders it cuts the rate by less than a tenth, and the value of the rent flow rises by under ten percent. In simulations with randomly drawn parameters (3,000 draws, up to six outsiders), both the proportional reduction in the total rate and the gain in the adopter’s rent fell with every added outsider, without exception. We report this as a regularity and not as a proposition, because we have no proof for the asymmetric case.</w:t>
      </w:r>
    </w:p>
    <w:p>
      <w:pPr>
        <w:pStyle w:val="BodyText"/>
      </w:pPr>
      <w:r>
        <w:rPr>
          <w:bCs/>
          <w:b/>
        </w:rPr>
        <w:t xml:space="preserve">Table 4. Effect of protection from the adopter’s own supplier, by number of outsider vendors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Outsiders</w:t>
            </w:r>
          </w:p>
        </w:tc>
        <w:tc>
          <w:tcPr/>
          <w:p>
            <w:pPr>
              <w:pStyle w:val="Compact"/>
              <w:jc w:val="right"/>
            </w:pPr>
            <w:r>
              <w:t xml:space="preserve">Total rate</w:t>
            </w:r>
            <w:r>
              <w:t xml:space="preserve"> </w:t>
            </w:r>
            <m:oMath>
              <m:r>
                <m:t>H</m:t>
              </m:r>
            </m:oMath>
            <w:r>
              <w:t xml:space="preserve"> </w:t>
            </w:r>
            <w:r>
              <w:t xml:space="preserve">(</w:t>
            </w:r>
            <m:oMath>
              <m:r>
                <m:t>s</m:t>
              </m:r>
              <m:r>
                <m:rPr>
                  <m:sty m:val="p"/>
                </m:rPr>
                <m:t>=</m:t>
              </m:r>
              <m:r>
                <m:t>0</m:t>
              </m:r>
            </m:oMath>
            <w:r>
              <w:t xml:space="preserve">)</w:t>
            </w:r>
          </w:p>
        </w:tc>
        <w:tc>
          <w:tcPr/>
          <w:p>
            <w:pPr>
              <w:pStyle w:val="Compact"/>
              <w:jc w:val="right"/>
            </w:pPr>
            <w:r>
              <w:t xml:space="preserve">Total rate</w:t>
            </w:r>
            <w:r>
              <w:t xml:space="preserve"> </w:t>
            </w:r>
            <m:oMath>
              <m:r>
                <m:t>H</m:t>
              </m:r>
            </m:oMath>
            <w:r>
              <w:t xml:space="preserve"> </w:t>
            </w:r>
            <w:r>
              <w:t xml:space="preserve">(</w:t>
            </w:r>
            <m:oMath>
              <m:r>
                <m:t>s</m:t>
              </m:r>
              <m:r>
                <m:rPr>
                  <m:sty m:val="p"/>
                </m:rPr>
                <m:t>=</m:t>
              </m:r>
              <m:r>
                <m:t>0.5</m:t>
              </m:r>
            </m:oMath>
            <w:r>
              <w:t xml:space="preserve">)</w:t>
            </w:r>
          </w:p>
        </w:tc>
        <w:tc>
          <w:tcPr/>
          <w:p>
            <w:pPr>
              <w:pStyle w:val="Compact"/>
              <w:jc w:val="right"/>
            </w:pPr>
            <w:r>
              <w:t xml:space="preserve">Reduction (%)</w:t>
            </w:r>
          </w:p>
        </w:tc>
        <w:tc>
          <w:tcPr/>
          <w:p>
            <w:pPr>
              <w:pStyle w:val="Compact"/>
              <w:jc w:val="right"/>
            </w:pPr>
            <w:r>
              <w:t xml:space="preserve">Adopter’s rent flow value (</w:t>
            </w:r>
            <m:oMath>
              <m:r>
                <m:t>s</m:t>
              </m:r>
              <m:r>
                <m:rPr>
                  <m:sty m:val="p"/>
                </m:rPr>
                <m:t>=</m:t>
              </m:r>
              <m:r>
                <m:t>0</m:t>
              </m:r>
            </m:oMath>
            <w:r>
              <w:t xml:space="preserve">)</w:t>
            </w:r>
          </w:p>
        </w:tc>
        <w:tc>
          <w:tcPr/>
          <w:p>
            <w:pPr>
              <w:pStyle w:val="Compact"/>
              <w:jc w:val="right"/>
            </w:pPr>
            <w:r>
              <w:t xml:space="preserve">Adopter’s rent flow value (</w:t>
            </w:r>
            <m:oMath>
              <m:r>
                <m:t>s</m:t>
              </m:r>
              <m:r>
                <m:rPr>
                  <m:sty m:val="p"/>
                </m:rPr>
                <m:t>=</m:t>
              </m:r>
              <m:r>
                <m:t>0.5</m:t>
              </m:r>
            </m:oMath>
            <w:r>
              <w:t xml:space="preserve">)</w:t>
            </w:r>
          </w:p>
        </w:tc>
        <w:tc>
          <w:tcPr/>
          <w:p>
            <w:pPr>
              <w:pStyle w:val="Compact"/>
              <w:jc w:val="right"/>
            </w:pPr>
            <w:r>
              <w:t xml:space="preserve">Gain</w:t>
            </w:r>
          </w:p>
        </w:tc>
      </w:tr>
      <w:tr>
        <w:tc>
          <w:tcPr/>
          <w:p>
            <w:pPr>
              <w:pStyle w:val="Compact"/>
              <w:jc w:val="right"/>
            </w:pPr>
            <w:r>
              <w:t xml:space="preserve">0</w:t>
            </w:r>
          </w:p>
        </w:tc>
        <w:tc>
          <w:tcPr/>
          <w:p>
            <w:pPr>
              <w:pStyle w:val="Compact"/>
              <w:jc w:val="right"/>
            </w:pPr>
            <w:r>
              <w:t xml:space="preserve">0.340</w:t>
            </w:r>
          </w:p>
        </w:tc>
        <w:tc>
          <w:tcPr/>
          <w:p>
            <w:pPr>
              <w:pStyle w:val="Compact"/>
              <w:jc w:val="right"/>
            </w:pPr>
            <w:r>
              <w:t xml:space="preserve">0.112</w:t>
            </w:r>
          </w:p>
        </w:tc>
        <w:tc>
          <w:tcPr/>
          <w:p>
            <w:pPr>
              <w:pStyle w:val="Compact"/>
              <w:jc w:val="right"/>
            </w:pPr>
            <w:r>
              <w:t xml:space="preserve">67.0</w:t>
            </w:r>
          </w:p>
        </w:tc>
        <w:tc>
          <w:tcPr/>
          <w:p>
            <w:pPr>
              <w:pStyle w:val="Compact"/>
              <w:jc w:val="right"/>
            </w:pPr>
            <w:r>
              <w:t xml:space="preserve">1.562</w:t>
            </w:r>
          </w:p>
        </w:tc>
        <w:tc>
          <w:tcPr/>
          <w:p>
            <w:pPr>
              <w:pStyle w:val="Compact"/>
              <w:jc w:val="right"/>
            </w:pPr>
            <w:r>
              <w:t xml:space="preserve">2.425</w:t>
            </w:r>
          </w:p>
        </w:tc>
        <w:tc>
          <w:tcPr/>
          <w:p>
            <w:pPr>
              <w:pStyle w:val="Compact"/>
              <w:jc w:val="right"/>
            </w:pPr>
            <w:r>
              <w:t xml:space="preserve">0.864</w:t>
            </w:r>
          </w:p>
        </w:tc>
      </w:tr>
      <w:tr>
        <w:tc>
          <w:tcPr/>
          <w:p>
            <w:pPr>
              <w:pStyle w:val="Compact"/>
              <w:jc w:val="right"/>
            </w:pPr>
            <w:r>
              <w:t xml:space="preserve">1</w:t>
            </w:r>
          </w:p>
        </w:tc>
        <w:tc>
          <w:tcPr/>
          <w:p>
            <w:pPr>
              <w:pStyle w:val="Compact"/>
              <w:jc w:val="right"/>
            </w:pPr>
            <w:r>
              <w:t xml:space="preserve">0.827</w:t>
            </w:r>
          </w:p>
        </w:tc>
        <w:tc>
          <w:tcPr/>
          <w:p>
            <w:pPr>
              <w:pStyle w:val="Compact"/>
              <w:jc w:val="right"/>
            </w:pPr>
            <w:r>
              <w:t xml:space="preserve">0.493</w:t>
            </w:r>
          </w:p>
        </w:tc>
        <w:tc>
          <w:tcPr/>
          <w:p>
            <w:pPr>
              <w:pStyle w:val="Compact"/>
              <w:jc w:val="right"/>
            </w:pPr>
            <w:r>
              <w:t xml:space="preserve">40.4</w:t>
            </w:r>
          </w:p>
        </w:tc>
        <w:tc>
          <w:tcPr/>
          <w:p>
            <w:pPr>
              <w:pStyle w:val="Compact"/>
              <w:jc w:val="right"/>
            </w:pPr>
            <w:r>
              <w:t xml:space="preserve">0.887</w:t>
            </w:r>
          </w:p>
        </w:tc>
        <w:tc>
          <w:tcPr/>
          <w:p>
            <w:pPr>
              <w:pStyle w:val="Compact"/>
              <w:jc w:val="right"/>
            </w:pPr>
            <w:r>
              <w:t xml:space="preserve">1.261</w:t>
            </w:r>
          </w:p>
        </w:tc>
        <w:tc>
          <w:tcPr/>
          <w:p>
            <w:pPr>
              <w:pStyle w:val="Compact"/>
              <w:jc w:val="right"/>
            </w:pPr>
            <w:r>
              <w:t xml:space="preserve">0.374</w:t>
            </w:r>
          </w:p>
        </w:tc>
      </w:tr>
      <w:tr>
        <w:tc>
          <w:tcPr/>
          <w:p>
            <w:pPr>
              <w:pStyle w:val="Compact"/>
              <w:jc w:val="right"/>
            </w:pPr>
            <w:r>
              <w:t xml:space="preserve">2</w:t>
            </w:r>
          </w:p>
        </w:tc>
        <w:tc>
          <w:tcPr/>
          <w:p>
            <w:pPr>
              <w:pStyle w:val="Compact"/>
              <w:jc w:val="right"/>
            </w:pPr>
            <w:r>
              <w:t xml:space="preserve">1.347</w:t>
            </w:r>
          </w:p>
        </w:tc>
        <w:tc>
          <w:tcPr/>
          <w:p>
            <w:pPr>
              <w:pStyle w:val="Compact"/>
              <w:jc w:val="right"/>
            </w:pPr>
            <w:r>
              <w:t xml:space="preserve">0.980</w:t>
            </w:r>
          </w:p>
        </w:tc>
        <w:tc>
          <w:tcPr/>
          <w:p>
            <w:pPr>
              <w:pStyle w:val="Compact"/>
              <w:jc w:val="right"/>
            </w:pPr>
            <w:r>
              <w:t xml:space="preserve">27.3</w:t>
            </w:r>
          </w:p>
        </w:tc>
        <w:tc>
          <w:tcPr/>
          <w:p>
            <w:pPr>
              <w:pStyle w:val="Compact"/>
              <w:jc w:val="right"/>
            </w:pPr>
            <w:r>
              <w:t xml:space="preserve">0.607</w:t>
            </w:r>
          </w:p>
        </w:tc>
        <w:tc>
          <w:tcPr/>
          <w:p>
            <w:pPr>
              <w:pStyle w:val="Compact"/>
              <w:jc w:val="right"/>
            </w:pPr>
            <w:r>
              <w:t xml:space="preserve">0.781</w:t>
            </w:r>
          </w:p>
        </w:tc>
        <w:tc>
          <w:tcPr/>
          <w:p>
            <w:pPr>
              <w:pStyle w:val="Compact"/>
              <w:jc w:val="right"/>
            </w:pPr>
            <w:r>
              <w:t xml:space="preserve">0.174</w:t>
            </w:r>
          </w:p>
        </w:tc>
      </w:tr>
      <w:tr>
        <w:tc>
          <w:tcPr/>
          <w:p>
            <w:pPr>
              <w:pStyle w:val="Compact"/>
              <w:jc w:val="right"/>
            </w:pPr>
            <w:r>
              <w:t xml:space="preserve">4</w:t>
            </w:r>
          </w:p>
        </w:tc>
        <w:tc>
          <w:tcPr/>
          <w:p>
            <w:pPr>
              <w:pStyle w:val="Compact"/>
              <w:jc w:val="right"/>
            </w:pPr>
            <w:r>
              <w:t xml:space="preserve">2.406</w:t>
            </w:r>
          </w:p>
        </w:tc>
        <w:tc>
          <w:tcPr/>
          <w:p>
            <w:pPr>
              <w:pStyle w:val="Compact"/>
              <w:jc w:val="right"/>
            </w:pPr>
            <w:r>
              <w:t xml:space="preserve">2.021</w:t>
            </w:r>
          </w:p>
        </w:tc>
        <w:tc>
          <w:tcPr/>
          <w:p>
            <w:pPr>
              <w:pStyle w:val="Compact"/>
              <w:jc w:val="right"/>
            </w:pPr>
            <w:r>
              <w:t xml:space="preserve">16.0</w:t>
            </w:r>
          </w:p>
        </w:tc>
        <w:tc>
          <w:tcPr/>
          <w:p>
            <w:pPr>
              <w:pStyle w:val="Compact"/>
              <w:jc w:val="right"/>
            </w:pPr>
            <w:r>
              <w:t xml:space="preserve">0.369</w:t>
            </w:r>
          </w:p>
        </w:tc>
        <w:tc>
          <w:tcPr/>
          <w:p>
            <w:pPr>
              <w:pStyle w:val="Compact"/>
              <w:jc w:val="right"/>
            </w:pPr>
            <w:r>
              <w:t xml:space="preserve">0.431</w:t>
            </w:r>
          </w:p>
        </w:tc>
        <w:tc>
          <w:tcPr/>
          <w:p>
            <w:pPr>
              <w:pStyle w:val="Compact"/>
              <w:jc w:val="right"/>
            </w:pPr>
            <w:r>
              <w:t xml:space="preserve">0.061</w:t>
            </w:r>
          </w:p>
        </w:tc>
      </w:tr>
      <w:tr>
        <w:tc>
          <w:tcPr/>
          <w:p>
            <w:pPr>
              <w:pStyle w:val="Compact"/>
              <w:jc w:val="right"/>
            </w:pPr>
            <w:r>
              <w:t xml:space="preserve">8</w:t>
            </w:r>
          </w:p>
        </w:tc>
        <w:tc>
          <w:tcPr/>
          <w:p>
            <w:pPr>
              <w:pStyle w:val="Compact"/>
              <w:jc w:val="right"/>
            </w:pPr>
            <w:r>
              <w:t xml:space="preserve">4.536</w:t>
            </w:r>
          </w:p>
        </w:tc>
        <w:tc>
          <w:tcPr/>
          <w:p>
            <w:pPr>
              <w:pStyle w:val="Compact"/>
              <w:jc w:val="right"/>
            </w:pPr>
            <w:r>
              <w:t xml:space="preserve">4.143</w:t>
            </w:r>
          </w:p>
        </w:tc>
        <w:tc>
          <w:tcPr/>
          <w:p>
            <w:pPr>
              <w:pStyle w:val="Compact"/>
              <w:jc w:val="right"/>
            </w:pPr>
            <w:r>
              <w:t xml:space="preserve">8.7</w:t>
            </w:r>
          </w:p>
        </w:tc>
        <w:tc>
          <w:tcPr/>
          <w:p>
            <w:pPr>
              <w:pStyle w:val="Compact"/>
              <w:jc w:val="right"/>
            </w:pPr>
            <w:r>
              <w:t xml:space="preserve">0.207</w:t>
            </w:r>
          </w:p>
        </w:tc>
        <w:tc>
          <w:tcPr/>
          <w:p>
            <w:pPr>
              <w:pStyle w:val="Compact"/>
              <w:jc w:val="right"/>
            </w:pPr>
            <w:r>
              <w:t xml:space="preserve">0.225</w:t>
            </w:r>
          </w:p>
        </w:tc>
        <w:tc>
          <w:tcPr/>
          <w:p>
            <w:pPr>
              <w:pStyle w:val="Compact"/>
              <w:jc w:val="right"/>
            </w:pPr>
            <w:r>
              <w:t xml:space="preserve">0.018</w:t>
            </w:r>
          </w:p>
        </w:tc>
      </w:tr>
    </w:tbl>
    <w:p>
      <w:pPr>
        <w:pStyle w:val="BodyText"/>
      </w:pPr>
      <w:r>
        <w:rPr>
          <w:iCs/>
          <w:i/>
        </w:rPr>
        <w:t xml:space="preserve">Note.</w:t>
      </w:r>
      <w:r>
        <w:t xml:space="preserve"> </w:t>
      </w:r>
      <w:r>
        <w:t xml:space="preserve">The adopter’s value is</w:t>
      </w:r>
      <w:r>
        <w:t xml:space="preserve"> </w:t>
      </w:r>
      <m:oMath>
        <m:r>
          <m:t>R</m:t>
        </m:r>
        <m:r>
          <m:rPr>
            <m:sty m:val="p"/>
          </m:rPr>
          <m:t>/</m:t>
        </m:r>
        <m:d>
          <m:dPr>
            <m:begChr m:val="("/>
            <m:endChr m:val=")"/>
            <m:sepChr m:val=""/>
            <m:grow/>
          </m:dPr>
          <m:e>
            <m:r>
              <m:t>r</m:t>
            </m:r>
            <m:r>
              <m:rPr>
                <m:sty m:val="p"/>
              </m:rPr>
              <m:t>+</m:t>
            </m:r>
            <m:r>
              <m:t>H</m:t>
            </m:r>
          </m:e>
        </m:d>
      </m:oMath>
      <w:r>
        <w:t xml:space="preserve">, before subtracting the cost of organizational capital.</w:t>
      </w:r>
    </w:p>
    <w:p>
      <w:pPr>
        <w:pStyle w:val="BodyText"/>
      </w:pPr>
      <w:r>
        <w:t xml:space="preserve">Bilateral contract terms are therefore most useful where few vendors can see the adopter’s use. In a market with many capable vendors, protection from one supplier does little, and the adopter’s rent depends more on how hard the use is to replicate without its data than on what it has negotiated. This reinforces the role of the organizational capital that makes a use difficult to copy (Section 3.3). It also suggests that protection would have to be industry-wide, for example through norms or regulation, to be effective in such markets.</w:t>
      </w:r>
    </w:p>
    <w:p>
      <w:pPr>
        <w:pStyle w:val="BodyText"/>
      </w:pPr>
      <w:r>
        <w:t xml:space="preserve">The limits noted in Section 4.3 apply here as well. Vendors are symmetric apart from their access to the adopter’s data, each vendor’s rate is constant, and a vendor whose rival wins earns nothing. Letting the winner share the use, or letting vendors differentiate their offerings, would soften the race.</w:t>
      </w:r>
    </w:p>
    <w:bookmarkEnd w:id="35"/>
    <w:bookmarkStart w:id="36" w:name="comparative-statics"/>
    <w:p>
      <w:pPr>
        <w:pStyle w:val="Heading2"/>
      </w:pPr>
      <w:r>
        <w:t xml:space="preserve">4.5 Comparative statics</w:t>
      </w:r>
    </w:p>
    <w:p>
      <w:pPr>
        <w:pStyle w:val="FirstParagraph"/>
      </w:pPr>
      <w:r>
        <w:t xml:space="preserve">Seven predictions follow from the propositions. The empirical work in Sections 5 and 6 can address only the first three.</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numPr>
          <w:ilvl w:val="0"/>
          <w:numId w:val="1001"/>
        </w:numPr>
        <w:pStyle w:val="Compact"/>
      </w:pPr>
      <w:r>
        <w:t xml:space="preserve">Adopters invest more in co-specialized capital when contract terms limit vendors’ use of their data (Propositions 6 and 7).</w:t>
      </w:r>
    </w:p>
    <w:p>
      <w:pPr>
        <w:numPr>
          <w:ilvl w:val="0"/>
          <w:numId w:val="1001"/>
        </w:numPr>
        <w:pStyle w:val="Compact"/>
      </w:pPr>
      <w:r>
        <w:t xml:space="preserve">The effect of such terms weakens as the number of vendors able to build the same use grows (Proposition 8 and Table 4).</w:t>
      </w:r>
    </w:p>
    <w:p>
      <w:pPr>
        <w:pStyle w:val="FirstParagraph"/>
      </w:pPr>
      <w:r>
        <w:t xml:space="preserve">Predictions 4 to 7 are not tested here. Predictions 6 and 7 bear directly on managerial choices about data-use terms and fine-tuning ownership, which we take up in Section 7, but they cannot be examined with public data because contract terms are not observed.</w:t>
      </w:r>
    </w:p>
    <w:bookmarkEnd w:id="36"/>
    <w:bookmarkStart w:id="37" w:name="what-is-specific-to-llms"/>
    <w:p>
      <w:pPr>
        <w:pStyle w:val="Heading2"/>
      </w:pPr>
      <w:r>
        <w:t xml:space="preserve">4.6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w:t>
      </w:r>
      <w:r>
        <w:t xml:space="preserve"> </w:t>
      </w:r>
      <m:oMath>
        <m:sSub>
          <m:e>
            <m:r>
              <m:t>F</m:t>
            </m:r>
          </m:e>
          <m:sub>
            <m:r>
              <m:t>T</m:t>
            </m:r>
          </m:sub>
        </m:sSub>
      </m:oMath>
      <w:r>
        <w:t xml:space="preserve"> </w:t>
      </w:r>
      <w:r>
        <w:t xml:space="preserve">of producing a frontier model, so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about three to four months for open-weight models relative to the closed frontier (Emberson 2025, Epoch AI 2026), which places the developer close to the zero-rent corner of Proposition 3. The same model serves the complement builder and its competitors on posted terms, which is what makes the adopter’s position commodity-like in the first place. And vendors can and do move into the complement layer, which is the situation Propositions 5 to 8 describe: the productization rate is chosen by vendors, shaped by contract terms, and driven up by competition among them. In this sense the theory is less a new mechanism than a calibration of known mechanisms to a market in which the state variables can be observed. We return to the limits of this claim in Section 7.3.</w:t>
      </w:r>
    </w:p>
    <w:bookmarkEnd w:id="37"/>
    <w:bookmarkEnd w:id="38"/>
    <w:bookmarkStart w:id="41" w:name="empirical-counterparts-and-implications"/>
    <w:p>
      <w:pPr>
        <w:pStyle w:val="Heading1"/>
      </w:pPr>
      <w:r>
        <w:t xml:space="preserve">5. Empirical Counterparts and Implications</w:t>
      </w:r>
    </w:p>
    <w:bookmarkStart w:id="39" w:name="mapping-model-objects-to-data"/>
    <w:p>
      <w:pPr>
        <w:pStyle w:val="Heading2"/>
      </w:pPr>
      <w:r>
        <w:t xml:space="preserve">5.1 Mapping model objects to data</w:t>
      </w:r>
    </w:p>
    <w:p>
      <w:pPr>
        <w:pStyle w:val="FirstParagraph"/>
      </w:pPr>
      <w:r>
        <w:t xml:space="preserve">Table 5 assigns each object of the model an empirical counterpart in public data. The mapping is interpretive. We do not recover structural parameters, and the figures in Table 1 are not regression inputs.</w:t>
      </w:r>
    </w:p>
    <w:p>
      <w:pPr>
        <w:pStyle w:val="BodyText"/>
      </w:pPr>
      <w:r>
        <w:rPr>
          <w:bCs/>
          <w:b/>
        </w:rPr>
        <w:t xml:space="preserve">Table 5.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r>
        <w:tc>
          <w:tcPr/>
          <w:p>
            <w:pPr>
              <w:pStyle w:val="Compact"/>
              <w:jc w:val="left"/>
            </w:pPr>
            <m:oMath>
              <m:r>
                <m:t>η</m:t>
              </m:r>
            </m:oMath>
            <w:r>
              <w:t xml:space="preserve">,</w:t>
            </w:r>
            <w:r>
              <w:t xml:space="preserve"> </w:t>
            </w:r>
            <m:oMath>
              <m:r>
                <m:t>s</m:t>
              </m:r>
            </m:oMath>
            <w:r>
              <w:t xml:space="preserve">,</w:t>
            </w:r>
            <w:r>
              <w:t xml:space="preserve"> </w:t>
            </w:r>
            <m:oMath>
              <m:r>
                <m:t>N</m:t>
              </m:r>
            </m:oMath>
          </w:p>
        </w:tc>
        <w:tc>
          <w:tcPr/>
          <w:p>
            <w:pPr>
              <w:pStyle w:val="Compact"/>
              <w:jc w:val="left"/>
            </w:pPr>
            <w:r>
              <w:t xml:space="preserve">No public counterpart (contract terms and vendor entry are not observed)</w:t>
            </w:r>
          </w:p>
        </w:tc>
        <w:tc>
          <w:tcPr/>
          <w:p>
            <w:pPr>
              <w:pStyle w:val="Compact"/>
              <w:jc w:val="left"/>
            </w:pPr>
            <w:r>
              <w:t xml:space="preserve">n/a</w:t>
            </w:r>
          </w:p>
        </w:tc>
      </w:tr>
    </w:tbl>
    <w:bookmarkEnd w:id="39"/>
    <w:bookmarkStart w:id="40" w:name="empirical-implications"/>
    <w:p>
      <w:pPr>
        <w:pStyle w:val="Heading2"/>
      </w:pPr>
      <w:r>
        <w:t xml:space="preserve">5.2 Empirical implications</w:t>
      </w:r>
    </w:p>
    <w:p>
      <w:pPr>
        <w:pStyle w:val="FirstParagraph"/>
      </w:pPr>
      <w:r>
        <w:t xml:space="preserve">Prediction 3 of Section 4.5 and the transience of complement rents (Corollary 2) yield two hypotheses about adopters.</w:t>
      </w:r>
    </w:p>
    <w:p>
      <w:pPr>
        <w:pStyle w:val="BodyText"/>
      </w:pPr>
      <w:r>
        <w:rPr>
          <w:bCs/>
          <w:b/>
        </w:rPr>
        <w:t xml:space="preserve">H1.</w:t>
      </w:r>
      <w:r>
        <w:t xml:space="preserve"> </w:t>
      </w:r>
      <w:r>
        <w:t xml:space="preserve">Firms that ship a dated first-party AI product earn a higher operating margin after the GA year than before, relative to firms with no such product. Treatment is the calendar year of GA, not a time-invariant indicator. Examples are Copilot for Microsoft 365, Firefly, Now Assist, Cortex, AIP, watsonx, and Charlotte AI (all 2023), and Gemini for Workspace, Agentforce, and Bits AI (all 2024), together with analogues.</w:t>
      </w:r>
    </w:p>
    <w:p>
      <w:pPr>
        <w:pStyle w:val="BodyText"/>
      </w:pPr>
      <w:r>
        <w:rPr>
          <w:bCs/>
          <w:b/>
        </w:rPr>
        <w:t xml:space="preserve">H2.</w:t>
      </w:r>
      <w:r>
        <w:t xml:space="preserve"> </w:t>
      </w:r>
      <w:r>
        <w:t xml:space="preserve">The within-firm margin increment after GA declines as event time lengthens. The hypothesis is disconfirmed by a flat or rising post-GA path, or by a difference between the first post-GA year and the last post-GA bin that cannot be distinguished from zero.</w:t>
      </w:r>
    </w:p>
    <w:p>
      <w:pPr>
        <w:pStyle w:val="BodyText"/>
      </w:pPr>
      <w:r>
        <w:t xml:space="preserve">We do not state the developer-side predictions (1 and 2) as hypotheses, because testing them properly requires a model-month panel and release-level launch prices that we do not have. Section 6.1 reports a lab-month association related to prediction 1 as descriptive evidence. Predictions 4 to 7 concern industry variation, contract terms, and vendor entry, none of which public data capture.</w:t>
      </w:r>
    </w:p>
    <w:bookmarkEnd w:id="40"/>
    <w:bookmarkEnd w:id="41"/>
    <w:bookmarkStart w:id="45" w:name="illustrative-evidence"/>
    <w:p>
      <w:pPr>
        <w:pStyle w:val="Heading1"/>
      </w:pPr>
      <w:r>
        <w:t xml:space="preserve">6. Illustrative Evidence</w:t>
      </w:r>
    </w:p>
    <w:p>
      <w:pPr>
        <w:pStyle w:val="FirstParagraph"/>
      </w:pPr>
      <w:r>
        <w:t xml:space="preserve">This section relates the constructs of Section 5 to public data. It does not test the theory: the samples are small, the proxies are coarse, and several hypotheses go untested. Its purpose is to show that the constructs can be measured and to see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these, 102 have at least one live endpoint, and the remaining 69 rely on the list-price fallback. The adopter panel comes from SEC EDGAR XBRL company facts (SEC 2026) and covers 81 firms and 520 firm-years, with staggered GA-year treatment for 21 firms. We coded the GA years by hand from public product dates.</w:t>
      </w:r>
    </w:p>
    <w:bookmarkStart w:id="42" w:name="developer-side"/>
    <w:p>
      <w:pPr>
        <w:pStyle w:val="Heading2"/>
      </w:pPr>
      <w:r>
        <w:t xml:space="preserve">6.1 Developer side</w:t>
      </w:r>
    </w:p>
    <w:p>
      <w:pPr>
        <w:pStyle w:val="FirstParagraph"/>
      </w:pPr>
      <w:r>
        <w:rPr>
          <w:iCs/>
          <w:i/>
        </w:rPr>
        <w:t xml:space="preserve">Lab-month association.</w:t>
      </w:r>
      <w:r>
        <w:t xml:space="preserve"> </w:t>
      </w:r>
      <w:r>
        <w:t xml:space="preserve">We regress log realized flagship price on the lab’s lead, with lab fixed effects and a trend. The coefficient is 0.0099 on the 171 lab-months that include the list-price fallback and 0.0068 on the 102 months with at least one live endpoint. Conventional clustered p-values are below 0.001 and 0.017, respectively. With so few lab clusters, these p-values probably overstate precision (Cameron et al. 2008), so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w:t>
      </w:r>
    </w:p>
    <w:p>
      <w:pPr>
        <w:pStyle w:val="BodyText"/>
      </w:pPr>
      <w:r>
        <w:rPr>
          <w:iCs/>
          <w:i/>
        </w:rPr>
        <w:t xml:space="preserve">What the lab-month estimates do not show.</w:t>
      </w:r>
      <w:r>
        <w:t xml:space="preserve"> </w:t>
      </w:r>
      <w:r>
        <w:t xml:space="preserve">New releases drive most of the identifying variation, so the estimates do not isolate the premium on a given model. They are associations between a lab’s lead and its flagship price and not tests of prediction 1, which concerns the price of a given model. A test needs a model-month panel and a release-level panel of launch prices, which we do not estimate here.</w:t>
      </w:r>
    </w:p>
    <w:bookmarkEnd w:id="42"/>
    <w:bookmarkStart w:id="43" w:name="adopter-side"/>
    <w:p>
      <w:pPr>
        <w:pStyle w:val="Heading2"/>
      </w:pPr>
      <w:r>
        <w:t xml:space="preserve">6.2 Adopter side</w:t>
      </w:r>
    </w:p>
    <w:p>
      <w:pPr>
        <w:pStyle w:val="FirstParagraph"/>
      </w:pPr>
      <w:r>
        <w:rPr>
          <w:iCs/>
          <w:i/>
        </w:rPr>
        <w:t xml:space="preserve">H1.</w:t>
      </w:r>
      <w:r>
        <w:t xml:space="preserve"> </w:t>
      </w:r>
      <w:r>
        <w:t xml:space="preserve">We regress operating margin on a post-GA indicator with firm and year fixed effects and standard errors clustered by firm. The post-GA margin increment is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The treated firms are large software incumbents and treatment is staggered, so this estimate may be biased and may reflect margin trends unrelated to AI. We therefore do not read it as a stand-alone test of H1. An increment carried by the operating-expense ratio, or concentrated among the largest firms, would point to cost reduction or market power and not to a complement rent.</w:t>
      </w:r>
    </w:p>
    <w:p>
      <w:pPr>
        <w:pStyle w:val="BodyText"/>
      </w:pPr>
      <w:r>
        <w:rPr>
          <w:iCs/>
          <w:i/>
        </w:rPr>
        <w:t xml:space="preserve">H2.</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is −1.2 percentage points at</w:t>
      </w:r>
      <w:r>
        <w:t xml:space="preserve"> </w:t>
      </w:r>
      <m:oMath>
        <m:r>
          <m:t>t</m:t>
        </m:r>
        <m:r>
          <m:rPr>
            <m:sty m:val="p"/>
          </m:rPr>
          <m:t>=</m:t>
        </m:r>
        <m:r>
          <m:rPr>
            <m:sty m:val="p"/>
          </m:rPr>
          <m:t>−</m:t>
        </m:r>
        <m:r>
          <m:t>2</m:t>
        </m:r>
      </m:oMath>
      <w:r>
        <w:t xml:space="preserve"> </w:t>
      </w:r>
      <w:r>
        <w:t xml:space="preserve">(</w:t>
      </w:r>
      <m:oMath>
        <m:r>
          <m:t>p</m:t>
        </m:r>
        <m:r>
          <m:rPr>
            <m:sty m:val="p"/>
          </m:rPr>
          <m:t>=</m:t>
        </m:r>
        <m:r>
          <m:t>0.64</m:t>
        </m:r>
      </m:oMath>
      <w:r>
        <w:t xml:space="preserve">), +4.4 at the GA year (</w:t>
      </w:r>
      <m:oMath>
        <m:r>
          <m:t>p</m:t>
        </m:r>
        <m:r>
          <m:rPr>
            <m:sty m:val="p"/>
          </m:rPr>
          <m:t>=</m:t>
        </m:r>
        <m:r>
          <m:t>0.037</m:t>
        </m:r>
      </m:oMath>
      <w:r>
        <w:t xml:space="preserve">), +6.1 at</w:t>
      </w:r>
      <w:r>
        <w:t xml:space="preserve"> </w:t>
      </w:r>
      <m:oMath>
        <m:r>
          <m:t>t</m:t>
        </m:r>
        <m:r>
          <m:rPr>
            <m:sty m:val="p"/>
          </m:rPr>
          <m:t>+</m:t>
        </m:r>
        <m:r>
          <m:t>1</m:t>
        </m:r>
      </m:oMath>
      <w:r>
        <w:t xml:space="preserve"> </w:t>
      </w:r>
      <w:r>
        <w:t xml:space="preserve">(</w:t>
      </w:r>
      <m:oMath>
        <m:r>
          <m:t>p</m:t>
        </m:r>
        <m:r>
          <m:rPr>
            <m:sty m:val="p"/>
          </m:rPr>
          <m:t>=</m:t>
        </m:r>
        <m:r>
          <m:t>0.021</m:t>
        </m:r>
      </m:oMath>
      <w:r>
        <w:t xml:space="preserve">), +5.3 at</w:t>
      </w:r>
      <w:r>
        <w:t xml:space="preserve"> </w:t>
      </w:r>
      <m:oMath>
        <m:r>
          <m:t>t</m:t>
        </m:r>
        <m:r>
          <m:rPr>
            <m:sty m:val="p"/>
          </m:rPr>
          <m:t>+</m:t>
        </m:r>
        <m:r>
          <m:t>2</m:t>
        </m:r>
      </m:oMath>
      <w:r>
        <w:t xml:space="preserve"> </w:t>
      </w:r>
      <w:r>
        <w:t xml:space="preserve">(</w:t>
      </w:r>
      <m:oMath>
        <m:r>
          <m:t>p</m:t>
        </m:r>
        <m:r>
          <m:rPr>
            <m:sty m:val="p"/>
          </m:rPr>
          <m:t>=</m:t>
        </m:r>
        <m:r>
          <m:t>0.16</m:t>
        </m:r>
      </m:oMath>
      <w:r>
        <w:t xml:space="preserve">), and +2.4 at</w:t>
      </w:r>
      <w:r>
        <w:t xml:space="preserve"> </w:t>
      </w:r>
      <m:oMath>
        <m:r>
          <m:t>t</m:t>
        </m:r>
        <m:r>
          <m:rPr>
            <m:sty m:val="p"/>
          </m:rPr>
          <m:t>+</m:t>
        </m:r>
        <m:r>
          <m:t>3</m:t>
        </m:r>
      </m:oMath>
      <w:r>
        <w:t xml:space="preserve"> </w:t>
      </w:r>
      <w:r>
        <w:t xml:space="preserve">(</w:t>
      </w:r>
      <m:oMath>
        <m:r>
          <m:t>p</m:t>
        </m:r>
        <m:r>
          <m:rPr>
            <m:sty m:val="p"/>
          </m:rPr>
          <m:t>=</m:t>
        </m:r>
        <m:r>
          <m:t>0.59</m:t>
        </m:r>
      </m:oMath>
      <w:r>
        <w:t xml:space="preserve">). The pre-period coefficient is small and indistinguishable from zero. The point estimates peak at</w:t>
      </w:r>
      <w:r>
        <w:t xml:space="preserve"> </w:t>
      </w:r>
      <m:oMath>
        <m:r>
          <m:t>t</m:t>
        </m:r>
        <m:r>
          <m:rPr>
            <m:sty m:val="p"/>
          </m:rPr>
          <m:t>+</m:t>
        </m:r>
        <m:r>
          <m:t>1</m:t>
        </m:r>
      </m:oMath>
      <w:r>
        <w:t xml:space="preserve"> </w:t>
      </w:r>
      <w:r>
        <w:t xml:space="preserve">and fall afterward, which is the direction the theory predicts. But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whether the</w:t>
      </w:r>
      <w:r>
        <w:t xml:space="preserve"> </w:t>
      </w:r>
      <m:oMath>
        <m:r>
          <m:t>t</m:t>
        </m:r>
        <m:r>
          <m:rPr>
            <m:sty m:val="p"/>
          </m:rPr>
          <m:t>+</m:t>
        </m:r>
        <m:r>
          <m:t>1</m:t>
        </m:r>
      </m:oMath>
      <w:r>
        <w:t xml:space="preserve"> </w:t>
      </w:r>
      <w:r>
        <w:t xml:space="preserve">coefficient equals that of the last post-GA bin. The data are therefore inconclusive on H2, and we do not claim that the margin increment decays.</w:t>
      </w:r>
    </w:p>
    <w:bookmarkEnd w:id="43"/>
    <w:bookmarkStart w:id="44" w:name="what-is-and-is-not-identified"/>
    <w:p>
      <w:pPr>
        <w:pStyle w:val="Heading2"/>
      </w:pPr>
      <w:r>
        <w:t xml:space="preserve">6.3 What is and is not identified</w:t>
      </w:r>
    </w:p>
    <w:p>
      <w:pPr>
        <w:pStyle w:val="FirstParagraph"/>
      </w:pPr>
      <w:r>
        <w:t xml:space="preserve">Six restrictions apply. First, the realized price is the mean of provider cards on OpenRouter, not a billed invoice and not a GAAP inference margin. Second, endpoint coverage is incomplete: 102 of the 171 priced months have a live endpoint. Third, GA years come from public product dates and do not measure token spend or retrieval intensity. Fourth, the figures in Table 1 are illustrative and are not regression inputs. Fifth, two-way fixed-effects estimates under staggered timing can be biased when effects differ across cohorts (Goodman-Bacon 2021), and they rest on parallel trends, which we examine only through the pre-GA coefficients of the event study. Sixth, operating margin is an accounting measure and not the economic profit of Proposition 2, and the GA date marks the launch of a product and not the start of organizational-capital accumulation.</w:t>
      </w:r>
    </w:p>
    <w:bookmarkEnd w:id="44"/>
    <w:bookmarkEnd w:id="45"/>
    <w:bookmarkStart w:id="49" w:name="discussion"/>
    <w:p>
      <w:pPr>
        <w:pStyle w:val="Heading1"/>
      </w:pPr>
      <w:r>
        <w:t xml:space="preserve">7. Discussion</w:t>
      </w:r>
    </w:p>
    <w:bookmarkStart w:id="46" w:name="contributions"/>
    <w:p>
      <w:pPr>
        <w:pStyle w:val="Heading2"/>
      </w:pPr>
      <w:r>
        <w:t xml:space="preserve">7.1 Contributions</w:t>
      </w:r>
    </w:p>
    <w:p>
      <w:pPr>
        <w:pStyle w:val="FirstParagraph"/>
      </w:pPr>
      <w:r>
        <w:t xml:space="preserve">The paper makes three contributions, in decreasing order of novelty. The first is the treatment of vendor encroachment. In the standard appropriability account, an adopter’s complement rent ends when rivals imitate its organizational capital. Proposition 5 shows that, when the supplier of the model can productize the adopter’s use, the rent depends on two clocks, imitation and encroachment. Propositions 6 to 8 endogenize the productization rate and show three things: contract terms that limit a vendor’s use of adopters’ data slow it and raise the adopter’s incentive to invest, imitation by rivals and encroachment by vendors are strategic complements, and competition among vendors both speeds productization and weakens the effect of a clause with any one supplier. These results connect the literature on platform-owner entry (Gawer and Henderson 2007, Zhu and Liu 2018) and the hold-up literature (Klein et al. 1978, Grossman and Hart 1986) to the supply of a general-purpose AI input.</w:t>
      </w:r>
    </w:p>
    <w:p>
      <w:pPr>
        <w:pStyle w:val="BodyText"/>
      </w:pPr>
      <w:r>
        <w:t xml:space="preserve">The second is an integrated benchmark. Modeling the developer, the adopter, and the consumer in one framework extends IT business value theory (Melville et al. 2004) from the adopting firm to the vertical structure of a general-purpose technology. It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The ex ante definition of appropriability applies to developers and adopters alike, which speaks to the tautology charge against resource-based IT research. It also shows how a model can be a source of rent at one date and a marginal-cost input at another.</w:t>
      </w:r>
    </w:p>
    <w:p>
      <w:pPr>
        <w:pStyle w:val="BodyText"/>
      </w:pPr>
      <w:r>
        <w:t xml:space="preserve">The third is illustrative evidence that the constructs can be measured from public sources. Section 6 shows that a lab’s flagship price is associated with its quality lead and that firms launching a first-party AI product report higher operating margins afterward. It does not test the theory, and it does not bear on Propositions 5 to 8.</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the extension to vendor encroachment, and the specification of measurable counterparts for a technology in which those counterparts are observable.</w:t>
      </w:r>
    </w:p>
    <w:bookmarkEnd w:id="46"/>
    <w:bookmarkStart w:id="47"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8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3 suggests that such terms may be hardest to obtain for the most valuable uses, which is a reason for adopters to negotiate them before a use proves valuable and not after. Table 4 adds that, when many vendors can build the use, a clause with one supplier buys little, so that the adopter’s protection comes mainly from the difficulty of replicating the use. Both tables are illustrations and not estimates.</w:t>
      </w:r>
    </w:p>
    <w:bookmarkEnd w:id="47"/>
    <w:bookmarkStart w:id="48"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H1. The theory further assumes that the developer’s lead closes. Economies of scale in compute and data flywheels could prevent closure and shift surplus durably toward the developer, and sustained developer margins without a quality lead would run against Proposition 3 and indicate that this case dominates.</w:t>
      </w:r>
    </w:p>
    <w:p>
      <w:pPr>
        <w:pStyle w:val="BodyText"/>
      </w:pPr>
      <w:r>
        <w:t xml:space="preserve">The model abstracts from uncertainty in training outcomes, from purchasable organizational capital, and from strategic interaction in the quality race itself: the lead and the catch-up lag are treated as exogenous. Section 4.4 introduces competition among vendors, but only in the race to productize a given use. Making the lead endogenous to a training race is the most natural extension, and it is where we would expect a more specifically LLM-based theory to develop. The extensions in Sections 4.3 and 4.4 are reduced-form: the productization rate is constant, vendors are symmetric apart from their access to the adopter’s data, and the adopter does not respond by hiding the use or switching vendor. Propositions 6 to 8 are not tested, because contract terms and vendor entry are not publicly observed.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covers a short period in which the technology and its business models are still changing. Prediction 1 is not tested here, and the evidence on H2 is inconclusive. The evidence reported is best viewed as a first look at the constructs, and it is not a confirmation of the theory.</w:t>
      </w:r>
    </w:p>
    <w:bookmarkEnd w:id="48"/>
    <w:bookmarkEnd w:id="49"/>
    <w:bookmarkStart w:id="50"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while the capital remains unimitated and unproductized by a vendor.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w:t>
      </w:r>
    </w:p>
    <w:p>
      <w:pPr>
        <w:pStyle w:val="BodyText"/>
      </w:pPr>
      <w:r>
        <w:t xml:space="preserve">The adopter half is harder to see in the data, and it is where we think the theory adds most. An adopter’s profitable window is bounded by its suppliers as well as by its competitors. How fast vendors productize a successful use depends on the contract terms that limit their access to the adopter’s data, and on how many other vendors are in a position to build the same use. Where they are many, the difficulty of replicating the use matters more than any clause. Testing these claims requires data on contract terms and vendor entry that are not now public, and making the quality race itself endogenous is the next step for the theory. The profitability puzzle that accompanies every general-purpose technology is, on this account, what competition over a common input looks like from the inside.</w:t>
      </w:r>
    </w:p>
    <w:bookmarkEnd w:id="50"/>
    <w:bookmarkStart w:id="51"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w:r>
        <w:t xml:space="preserve">Write</w:t>
      </w:r>
      <w:r>
        <w:t xml:space="preserve"> </w:t>
      </w:r>
      <m:oMath>
        <m:r>
          <m:t>N</m:t>
        </m:r>
        <m:d>
          <m:dPr>
            <m:begChr m:val="("/>
            <m:endChr m:val=")"/>
            <m:sepChr m:val=""/>
            <m:grow/>
          </m:dPr>
          <m:e>
            <m:r>
              <m:t>η</m:t>
            </m:r>
          </m:e>
        </m:d>
        <m:r>
          <m:rPr>
            <m:sty m:val="p"/>
          </m:rPr>
          <m:t>=</m:t>
        </m:r>
        <m:r>
          <m:t>G</m:t>
        </m:r>
        <m:r>
          <m:t>η</m:t>
        </m:r>
        <m:r>
          <m:rPr>
            <m:sty m:val="p"/>
          </m:rPr>
          <m:t>−</m:t>
        </m:r>
        <m:r>
          <m:t>K</m:t>
        </m:r>
        <m:sSup>
          <m:e>
            <m:r>
              <m:t>η</m:t>
            </m:r>
          </m:e>
          <m:sup>
            <m:r>
              <m:t>2</m:t>
            </m:r>
          </m:sup>
        </m:sSup>
        <m:r>
          <m:rPr>
            <m:sty m:val="p"/>
          </m:rPr>
          <m:t>/</m:t>
        </m:r>
        <m:r>
          <m:t>2</m:t>
        </m:r>
      </m:oMath>
      <w:r>
        <w:t xml:space="preserve">, so that</w:t>
      </w:r>
      <w:r>
        <w:t xml:space="preserve"> </w:t>
      </w:r>
      <m:oMath>
        <m:r>
          <m:t>J</m:t>
        </m:r>
        <m:r>
          <m:rPr>
            <m:sty m:val="p"/>
          </m:rPr>
          <m:t>=</m:t>
        </m:r>
        <m:r>
          <m:t>N</m:t>
        </m:r>
        <m:r>
          <m:rPr>
            <m:sty m:val="p"/>
          </m:rPr>
          <m:t>/</m:t>
        </m:r>
        <m:d>
          <m:dPr>
            <m:begChr m:val="("/>
            <m:endChr m:val=")"/>
            <m:sepChr m:val=""/>
            <m:grow/>
          </m:dPr>
          <m:e>
            <m:r>
              <m:t>r</m:t>
            </m:r>
            <m:r>
              <m:rPr>
                <m:sty m:val="p"/>
              </m:rPr>
              <m:t>+</m:t>
            </m:r>
            <m:r>
              <m:t>η</m:t>
            </m:r>
          </m:e>
        </m:d>
      </m:oMath>
      <w:r>
        <w:t xml:space="preserve">. The first-order condition</w:t>
      </w:r>
      <w:r>
        <w:t xml:space="preserve"> </w:t>
      </w:r>
      <m:oMath>
        <m:r>
          <m:t>N</m:t>
        </m:r>
        <m:r>
          <m:rPr>
            <m:sty m:val="p"/>
          </m:rPr>
          <m:t>′</m:t>
        </m:r>
        <m:d>
          <m:dPr>
            <m:begChr m:val="("/>
            <m:endChr m:val=")"/>
            <m:sepChr m:val=""/>
            <m:grow/>
          </m:dPr>
          <m:e>
            <m:r>
              <m:t>η</m:t>
            </m:r>
          </m:e>
        </m:d>
        <m:d>
          <m:dPr>
            <m:begChr m:val="("/>
            <m:endChr m:val=")"/>
            <m:sepChr m:val=""/>
            <m:grow/>
          </m:dPr>
          <m:e>
            <m:r>
              <m:t>r</m:t>
            </m:r>
            <m:r>
              <m:rPr>
                <m:sty m:val="p"/>
              </m:rPr>
              <m:t>+</m:t>
            </m:r>
            <m:r>
              <m:t>η</m:t>
            </m:r>
          </m:e>
        </m:d>
        <m:r>
          <m:rPr>
            <m:sty m:val="p"/>
          </m:rPr>
          <m:t>=</m:t>
        </m:r>
        <m:r>
          <m:t>N</m:t>
        </m:r>
        <m:d>
          <m:dPr>
            <m:begChr m:val="("/>
            <m:endChr m:val=")"/>
            <m:sepChr m:val=""/>
            <m:grow/>
          </m:dPr>
          <m:e>
            <m:r>
              <m:t>η</m:t>
            </m:r>
          </m:e>
        </m:d>
      </m:oMath>
      <w:r>
        <w:t xml:space="preserve"> </w:t>
      </w:r>
      <w:r>
        <w:t xml:space="preserve">reads</w:t>
      </w:r>
      <w:r>
        <w:t xml:space="preserve"> </w:t>
      </w:r>
      <m:oMath>
        <m:d>
          <m:dPr>
            <m:begChr m:val="("/>
            <m:endChr m:val=")"/>
            <m:sepChr m:val=""/>
            <m:grow/>
          </m:dPr>
          <m:e>
            <m:r>
              <m:t>G</m:t>
            </m:r>
            <m:r>
              <m:rPr>
                <m:sty m:val="p"/>
              </m:rPr>
              <m:t>−</m:t>
            </m:r>
            <m:r>
              <m:t>K</m:t>
            </m:r>
            <m:r>
              <m:t>η</m:t>
            </m:r>
          </m:e>
        </m:d>
        <m:d>
          <m:dPr>
            <m:begChr m:val="("/>
            <m:endChr m:val=")"/>
            <m:sepChr m:val=""/>
            <m:grow/>
          </m:dPr>
          <m:e>
            <m:r>
              <m:t>r</m:t>
            </m:r>
            <m:r>
              <m:rPr>
                <m:sty m:val="p"/>
              </m:rPr>
              <m:t>+</m:t>
            </m:r>
            <m:r>
              <m:t>η</m:t>
            </m:r>
          </m:e>
        </m:d>
        <m:r>
          <m:rPr>
            <m:sty m:val="p"/>
          </m:rPr>
          <m:t>=</m:t>
        </m:r>
        <m:r>
          <m:t>G</m:t>
        </m:r>
        <m:r>
          <m:t>η</m:t>
        </m:r>
        <m:r>
          <m:rPr>
            <m:sty m:val="p"/>
          </m:rPr>
          <m:t>−</m:t>
        </m:r>
        <m:r>
          <m:t>K</m:t>
        </m:r>
        <m:sSup>
          <m:e>
            <m:r>
              <m:t>η</m:t>
            </m:r>
          </m:e>
          <m:sup>
            <m:r>
              <m:t>2</m:t>
            </m:r>
          </m:sup>
        </m:sSup>
        <m:r>
          <m:rPr>
            <m:sty m:val="p"/>
          </m:rPr>
          <m:t>/</m:t>
        </m:r>
        <m:r>
          <m:t>2</m:t>
        </m:r>
      </m:oMath>
      <w:r>
        <w:t xml:space="preserve">, which simplifies to</w:t>
      </w:r>
      <w:r>
        <w:t xml:space="preserve"> </w:t>
      </w:r>
      <m:oMath>
        <m:sSup>
          <m:e>
            <m:r>
              <m:t>η</m:t>
            </m:r>
          </m:e>
          <m:sup>
            <m:r>
              <m:t>2</m:t>
            </m:r>
          </m:sup>
        </m:sSup>
        <m:r>
          <m:rPr>
            <m:sty m:val="p"/>
          </m:rPr>
          <m:t>+</m:t>
        </m:r>
        <m:r>
          <m:t>2</m:t>
        </m:r>
        <m:r>
          <m:t>r</m:t>
        </m:r>
        <m:r>
          <m:t>η</m:t>
        </m:r>
        <m:r>
          <m:rPr>
            <m:sty m:val="p"/>
          </m:rPr>
          <m:t>−</m:t>
        </m:r>
        <m:r>
          <m:t>2</m:t>
        </m:r>
        <m:r>
          <m:t>G</m:t>
        </m:r>
        <m:r>
          <m:t>r</m:t>
        </m:r>
        <m:r>
          <m:rPr>
            <m:sty m:val="p"/>
          </m:rPr>
          <m:t>/</m:t>
        </m:r>
        <m:r>
          <m:t>K</m:t>
        </m:r>
        <m:r>
          <m:rPr>
            <m:sty m:val="p"/>
          </m:rPr>
          <m:t>=</m:t>
        </m:r>
        <m:r>
          <m:t>0</m:t>
        </m:r>
      </m:oMath>
      <w:r>
        <w:t xml:space="preserve">. This quadratic has exactly one positive root, given by (7). Since</w:t>
      </w:r>
      <w:r>
        <w:t xml:space="preserve"> </w:t>
      </w:r>
      <m:oMath>
        <m:r>
          <m:t>J</m:t>
        </m:r>
        <m:d>
          <m:dPr>
            <m:begChr m:val="("/>
            <m:endChr m:val=")"/>
            <m:sepChr m:val=""/>
            <m:grow/>
          </m:dPr>
          <m:e>
            <m:r>
              <m:t>0</m:t>
            </m:r>
          </m:e>
        </m:d>
        <m:r>
          <m:rPr>
            <m:sty m:val="p"/>
          </m:rPr>
          <m:t>=</m:t>
        </m:r>
        <m:r>
          <m:t>0</m:t>
        </m:r>
      </m:oMath>
      <w:r>
        <w:t xml:space="preserve">,</w:t>
      </w:r>
      <w:r>
        <w:t xml:space="preserve"> </w:t>
      </w:r>
      <m:oMath>
        <m:r>
          <m:t>J</m:t>
        </m:r>
        <m:r>
          <m:rPr>
            <m:sty m:val="p"/>
          </m:rPr>
          <m:t>′</m:t>
        </m:r>
        <m:d>
          <m:dPr>
            <m:begChr m:val="("/>
            <m:endChr m:val=")"/>
            <m:sepChr m:val=""/>
            <m:grow/>
          </m:dPr>
          <m:e>
            <m:r>
              <m:t>0</m:t>
            </m:r>
          </m:e>
        </m:d>
        <m:r>
          <m:rPr>
            <m:sty m:val="p"/>
          </m:rPr>
          <m:t>=</m:t>
        </m:r>
        <m:r>
          <m:t>G</m:t>
        </m:r>
        <m:r>
          <m:rPr>
            <m:sty m:val="p"/>
          </m:rPr>
          <m:t>/</m:t>
        </m:r>
        <m:r>
          <m:t>r</m:t>
        </m:r>
        <m:r>
          <m:rPr>
            <m:sty m:val="p"/>
          </m:rPr>
          <m:t>&gt;</m:t>
        </m:r>
        <m:r>
          <m:t>0</m:t>
        </m:r>
      </m:oMath>
      <w:r>
        <w:t xml:space="preserve">, and</w:t>
      </w:r>
      <w:r>
        <w:t xml:space="preserve"> </w:t>
      </w:r>
      <m:oMath>
        <m:r>
          <m:t>J</m:t>
        </m:r>
        <m:r>
          <m:rPr>
            <m:sty m:val="p"/>
          </m:rPr>
          <m:t>→</m:t>
        </m:r>
        <m:r>
          <m:rPr>
            <m:sty m:val="p"/>
          </m:rPr>
          <m:t>−</m:t>
        </m:r>
        <m:r>
          <m:rPr>
            <m:sty m:val="p"/>
          </m:rPr>
          <m:t>∞</m:t>
        </m:r>
      </m:oMath>
      <w:r>
        <w:t xml:space="preserve"> </w:t>
      </w:r>
      <w:r>
        <w:t xml:space="preserve">as</w:t>
      </w:r>
      <w:r>
        <w:t xml:space="preserve"> </w:t>
      </w:r>
      <m:oMath>
        <m:r>
          <m:t>η</m:t>
        </m:r>
        <m:r>
          <m:rPr>
            <m:sty m:val="p"/>
          </m:rPr>
          <m:t>→</m:t>
        </m:r>
        <m:r>
          <m:rPr>
            <m:sty m:val="p"/>
          </m:rPr>
          <m:t>∞</m:t>
        </m:r>
      </m:oMath>
      <w:r>
        <w:t xml:space="preserve">, that root is the global maximum on</w:t>
      </w:r>
      <w:r>
        <w:t xml:space="preserve"> </w:t>
      </w:r>
      <m:oMath>
        <m:r>
          <m:t>η</m:t>
        </m:r>
        <m:r>
          <m:rPr>
            <m:sty m:val="p"/>
          </m:rPr>
          <m:t>≥</m:t>
        </m:r>
        <m:r>
          <m:t>0</m:t>
        </m:r>
      </m:oMath>
      <w:r>
        <w:t xml:space="preserve">. Equation (7) shows directly that</w:t>
      </w:r>
      <w:r>
        <w:t xml:space="preserve"> </w:t>
      </w:r>
      <m:oMath>
        <m:sSup>
          <m:e>
            <m:r>
              <m:t>η</m:t>
            </m:r>
          </m:e>
          <m:sup>
            <m:r>
              <m:rPr>
                <m:sty m:val="p"/>
              </m:rPr>
              <m:t>*</m:t>
            </m:r>
          </m:sup>
        </m:sSup>
      </m:oMath>
      <w:r>
        <w:t xml:space="preserve"> </w:t>
      </w:r>
      <w:r>
        <w:t xml:space="preserve">increases in</w:t>
      </w:r>
      <w:r>
        <w:t xml:space="preserve"> </w:t>
      </w:r>
      <m:oMath>
        <m:r>
          <m:t>G</m:t>
        </m:r>
      </m:oMath>
      <w:r>
        <w:t xml:space="preserve"> </w:t>
      </w:r>
      <w:r>
        <w:t xml:space="preserve">and decreases in</w:t>
      </w:r>
      <w:r>
        <w:t xml:space="preserve"> </w:t>
      </w:r>
      <m:oMath>
        <m:r>
          <m:t>K</m:t>
        </m:r>
      </m:oMath>
      <w:r>
        <w:t xml:space="preserve">, and</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For</w:t>
      </w:r>
      <w:r>
        <w:t xml:space="preserve"> </w:t>
      </w:r>
      <m:oMath>
        <m:r>
          <m:t>r</m:t>
        </m:r>
      </m:oMath>
      <w:r>
        <w:t xml:space="preserve">, differentiate (7) with</w:t>
      </w:r>
      <w:r>
        <w:t xml:space="preserve"> </w:t>
      </w:r>
      <m:oMath>
        <m:r>
          <m:t>G</m:t>
        </m:r>
      </m:oMath>
      <w:r>
        <w:t xml:space="preserve"> </w:t>
      </w:r>
      <w:r>
        <w:t xml:space="preserve">and</w:t>
      </w:r>
      <w:r>
        <w:t xml:space="preserve"> </w:t>
      </w:r>
      <m:oMath>
        <m:r>
          <m:t>K</m:t>
        </m:r>
      </m:oMath>
      <w:r>
        <w:t xml:space="preserve"> </w:t>
      </w:r>
      <w:r>
        <w:t xml:space="preserve">fixed:</w:t>
      </w:r>
      <w:r>
        <w:t xml:space="preserve"> </w:t>
      </w:r>
      <m:oMath>
        <m:r>
          <m:rPr>
            <m:sty m:val="p"/>
          </m:rPr>
          <m:t>∂</m:t>
        </m:r>
        <m:sSup>
          <m:e>
            <m:r>
              <m:t>η</m:t>
            </m:r>
          </m:e>
          <m:sup>
            <m:r>
              <m:rPr>
                <m:sty m:val="p"/>
              </m:rPr>
              <m:t>*</m:t>
            </m:r>
          </m:sup>
        </m:sSup>
        <m:r>
          <m:rPr>
            <m:sty m:val="p"/>
          </m:rPr>
          <m:t>/</m:t>
        </m:r>
        <m:r>
          <m:rPr>
            <m:sty m:val="p"/>
          </m:rPr>
          <m:t>∂</m:t>
        </m:r>
        <m:r>
          <m:t>r</m:t>
        </m:r>
        <m:r>
          <m:rPr>
            <m:sty m:val="p"/>
          </m:rPr>
          <m:t>=</m:t>
        </m:r>
        <m:r>
          <m:rPr>
            <m:sty m:val="p"/>
          </m:rPr>
          <m:t>−</m:t>
        </m:r>
        <m:r>
          <m:t>1</m:t>
        </m:r>
        <m:r>
          <m:rPr>
            <m:sty m:val="p"/>
          </m:rPr>
          <m:t>+</m:t>
        </m:r>
        <m:d>
          <m:dPr>
            <m:begChr m:val="("/>
            <m:endChr m:val=")"/>
            <m:sepChr m:val=""/>
            <m:grow/>
          </m:dPr>
          <m:e>
            <m:r>
              <m:t>r</m:t>
            </m:r>
            <m:r>
              <m:rPr>
                <m:sty m:val="p"/>
              </m:rPr>
              <m:t>+</m:t>
            </m:r>
            <m:r>
              <m:t>G</m:t>
            </m:r>
            <m:r>
              <m:rPr>
                <m:sty m:val="p"/>
              </m:rPr>
              <m:t>/</m:t>
            </m:r>
            <m:r>
              <m:t>K</m:t>
            </m:r>
          </m:e>
        </m:d>
        <m:r>
          <m:rPr>
            <m:sty m:val="p"/>
          </m:rPr>
          <m:t>/</m:t>
        </m:r>
        <m:rad>
          <m:radPr>
            <m:degHide m:val="on"/>
          </m:radPr>
          <m:deg/>
          <m:e>
            <m:sSup>
              <m:e>
                <m:r>
                  <m:t>r</m:t>
                </m:r>
              </m:e>
              <m:sup>
                <m:r>
                  <m:t>2</m:t>
                </m:r>
              </m:sup>
            </m:sSup>
            <m:r>
              <m:rPr>
                <m:sty m:val="p"/>
              </m:rPr>
              <m:t>+</m:t>
            </m:r>
            <m:r>
              <m:t>2</m:t>
            </m:r>
            <m:r>
              <m:t>G</m:t>
            </m:r>
            <m:r>
              <m:t>r</m:t>
            </m:r>
            <m:r>
              <m:rPr>
                <m:sty m:val="p"/>
              </m:rPr>
              <m:t>/</m:t>
            </m:r>
            <m:r>
              <m:t>K</m:t>
            </m:r>
          </m:e>
        </m:rad>
      </m:oMath>
      <w:r>
        <w:t xml:space="preserve">. Because</w:t>
      </w:r>
      <w:r>
        <w:t xml:space="preserve"> </w:t>
      </w:r>
      <m:oMath>
        <m:sSup>
          <m:e>
            <m:d>
              <m:dPr>
                <m:begChr m:val="("/>
                <m:endChr m:val=")"/>
                <m:sepChr m:val=""/>
                <m:grow/>
              </m:dPr>
              <m:e>
                <m:r>
                  <m:t>r</m:t>
                </m:r>
                <m:r>
                  <m:rPr>
                    <m:sty m:val="p"/>
                  </m:rPr>
                  <m:t>+</m:t>
                </m:r>
                <m:r>
                  <m:t>G</m:t>
                </m:r>
                <m:r>
                  <m:rPr>
                    <m:sty m:val="p"/>
                  </m:rPr>
                  <m:t>/</m:t>
                </m:r>
                <m:r>
                  <m:t>K</m:t>
                </m:r>
              </m:e>
            </m:d>
          </m:e>
          <m:sup>
            <m:r>
              <m:t>2</m:t>
            </m:r>
          </m:sup>
        </m:sSup>
        <m:r>
          <m:rPr>
            <m:sty m:val="p"/>
          </m:rPr>
          <m:t>=</m:t>
        </m:r>
        <m:sSup>
          <m:e>
            <m:r>
              <m:t>r</m:t>
            </m:r>
          </m:e>
          <m:sup>
            <m:r>
              <m:t>2</m:t>
            </m:r>
          </m:sup>
        </m:sSup>
        <m:r>
          <m:rPr>
            <m:sty m:val="p"/>
          </m:rPr>
          <m:t>+</m:t>
        </m:r>
        <m:r>
          <m:t>2</m:t>
        </m:r>
        <m:r>
          <m:t>G</m:t>
        </m:r>
        <m:r>
          <m:t>r</m:t>
        </m:r>
        <m:r>
          <m:rPr>
            <m:sty m:val="p"/>
          </m:rPr>
          <m:t>/</m:t>
        </m:r>
        <m:r>
          <m:t>K</m:t>
        </m:r>
        <m:r>
          <m:rPr>
            <m:sty m:val="p"/>
          </m:rPr>
          <m:t>+</m:t>
        </m:r>
        <m:sSup>
          <m:e>
            <m:r>
              <m:t>G</m:t>
            </m:r>
          </m:e>
          <m:sup>
            <m:r>
              <m:t>2</m:t>
            </m:r>
          </m:sup>
        </m:sSup>
        <m:r>
          <m:rPr>
            <m:sty m:val="p"/>
          </m:rPr>
          <m:t>/</m:t>
        </m:r>
        <m:sSup>
          <m:e>
            <m:r>
              <m:t>K</m:t>
            </m:r>
          </m:e>
          <m:sup>
            <m:r>
              <m:t>2</m:t>
            </m:r>
          </m:sup>
        </m:sSup>
        <m:r>
          <m:rPr>
            <m:sty m:val="p"/>
          </m:rPr>
          <m:t>&gt;</m:t>
        </m:r>
        <m:sSup>
          <m:e>
            <m:r>
              <m:t>r</m:t>
            </m:r>
          </m:e>
          <m:sup>
            <m:r>
              <m:t>2</m:t>
            </m:r>
          </m:sup>
        </m:sSup>
        <m:r>
          <m:rPr>
            <m:sty m:val="p"/>
          </m:rPr>
          <m:t>+</m:t>
        </m:r>
        <m:r>
          <m:t>2</m:t>
        </m:r>
        <m:r>
          <m:t>G</m:t>
        </m:r>
        <m:r>
          <m:t>r</m:t>
        </m:r>
        <m:r>
          <m:rPr>
            <m:sty m:val="p"/>
          </m:rPr>
          <m:t>/</m:t>
        </m:r>
        <m:r>
          <m:t>K</m:t>
        </m:r>
      </m:oMath>
      <w:r>
        <w:t xml:space="preserve">, the derivative is positive. Finally, the first-order condition implies</w:t>
      </w:r>
      <w:r>
        <w:t xml:space="preserve"> </w:t>
      </w:r>
      <m:oMath>
        <m:sSup>
          <m:e>
            <m:r>
              <m:t>J</m:t>
            </m:r>
          </m:e>
          <m:sup>
            <m:r>
              <m:rPr>
                <m:sty m:val="p"/>
              </m:rPr>
              <m:t>*</m:t>
            </m:r>
          </m:sup>
        </m:sSup>
        <m:r>
          <m:rPr>
            <m:sty m:val="p"/>
          </m:rPr>
          <m:t>=</m:t>
        </m:r>
        <m:r>
          <m:t>N</m:t>
        </m:r>
        <m:r>
          <m:rPr>
            <m:sty m:val="p"/>
          </m:rPr>
          <m:t>′</m:t>
        </m:r>
        <m:d>
          <m:dPr>
            <m:begChr m:val="("/>
            <m:endChr m:val=")"/>
            <m:sepChr m:val=""/>
            <m:grow/>
          </m:dPr>
          <m:e>
            <m:sSup>
              <m:e>
                <m:r>
                  <m:t>η</m:t>
                </m:r>
              </m:e>
              <m:sup>
                <m:r>
                  <m:rPr>
                    <m:sty m:val="p"/>
                  </m:rPr>
                  <m:t>*</m:t>
                </m:r>
              </m:sup>
            </m:sSup>
          </m:e>
        </m:d>
        <m:r>
          <m:rPr>
            <m:sty m:val="p"/>
          </m:rPr>
          <m:t>=</m:t>
        </m:r>
        <m:r>
          <m:t>G</m:t>
        </m:r>
        <m:r>
          <m:rPr>
            <m:sty m:val="p"/>
          </m:rPr>
          <m:t>−</m:t>
        </m:r>
        <m:r>
          <m:t>K</m:t>
        </m:r>
        <m:sSup>
          <m:e>
            <m:r>
              <m:t>η</m:t>
            </m:r>
          </m:e>
          <m:sup>
            <m:r>
              <m:rPr>
                <m:sty m:val="p"/>
              </m:rPr>
              <m:t>*</m:t>
            </m:r>
          </m:sup>
        </m:sSup>
      </m:oMath>
      <w:r>
        <w:t xml:space="preserve">, which is used in the text.</w:t>
      </w:r>
      <w:r>
        <w:t xml:space="preserve"> </w:t>
      </w:r>
      <m:oMath>
        <m:r>
          <m:rPr>
            <m:sty m:val="p"/>
          </m:rPr>
          <m:t>◼</m:t>
        </m:r>
      </m:oMath>
    </w:p>
    <w:p>
      <w:pPr>
        <w:pStyle w:val="BodyText"/>
      </w:pPr>
      <w:r>
        <w:rPr>
          <w:bCs/>
          <w:b/>
        </w:rPr>
        <w:t xml:space="preserve">Proof of Proposition 7.</w:t>
      </w:r>
      <w:r>
        <w:t xml:space="preserve"> </w:t>
      </w:r>
      <w:r>
        <w:t xml:space="preserve">By Proposition 6,</w:t>
      </w:r>
      <w:r>
        <w:t xml:space="preserve"> </w:t>
      </w:r>
      <m:oMath>
        <m:sSup>
          <m:e>
            <m:r>
              <m:t>η</m:t>
            </m:r>
          </m:e>
          <m:sup>
            <m:r>
              <m:rPr>
                <m:sty m:val="p"/>
              </m:rPr>
              <m:t>*</m:t>
            </m:r>
          </m:sup>
        </m:sSup>
        <m:d>
          <m:dPr>
            <m:begChr m:val="("/>
            <m:endChr m:val=")"/>
            <m:sepChr m:val=""/>
            <m:grow/>
          </m:dPr>
          <m:e>
            <m:r>
              <m:t>s</m:t>
            </m:r>
          </m:e>
        </m:d>
      </m:oMath>
      <w:r>
        <w:t xml:space="preserve"> </w:t>
      </w:r>
      <w:r>
        <w:t xml:space="preserve">is decreasing in</w:t>
      </w:r>
      <w:r>
        <w:t xml:space="preserve"> </w:t>
      </w:r>
      <m:oMath>
        <m:r>
          <m:t>s</m:t>
        </m:r>
      </m:oMath>
      <w:r>
        <w:t xml:space="preserve">, and</w:t>
      </w:r>
      <w:r>
        <w:t xml:space="preserve"> </w:t>
      </w:r>
      <m:oMath>
        <m:r>
          <m:t>R</m:t>
        </m:r>
        <m:r>
          <m:rPr>
            <m:sty m:val="p"/>
          </m:rPr>
          <m:t>/</m:t>
        </m:r>
        <m:d>
          <m:dPr>
            <m:begChr m:val="("/>
            <m:endChr m:val=")"/>
            <m:sepChr m:val=""/>
            <m:grow/>
          </m:dPr>
          <m:e>
            <m:r>
              <m:t>r</m:t>
            </m:r>
            <m:r>
              <m:rPr>
                <m:sty m:val="p"/>
              </m:rPr>
              <m:t>+</m:t>
            </m:r>
            <m:r>
              <m:t>η</m:t>
            </m:r>
          </m:e>
        </m:d>
      </m:oMath>
      <w:r>
        <w:t xml:space="preserve"> </w:t>
      </w:r>
      <w:r>
        <w:t xml:space="preserve">is decreasing in</w:t>
      </w:r>
      <w:r>
        <w:t xml:space="preserve"> </w:t>
      </w:r>
      <m:oMath>
        <m:r>
          <m:t>η</m:t>
        </m:r>
      </m:oMath>
      <w:r>
        <w:t xml:space="preserve">, so</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w:t>
      </w:r>
      <w:r>
        <w:t xml:space="preserve">is increasing in</w:t>
      </w:r>
      <w:r>
        <w:t xml:space="preserve"> </w:t>
      </w:r>
      <m:oMath>
        <m:r>
          <m:t>s</m:t>
        </m:r>
      </m:oMath>
      <w:r>
        <w:t xml:space="preserve">. The investment condition compares this present value with</w:t>
      </w:r>
      <w:r>
        <w:t xml:space="preserve"> </w:t>
      </w:r>
      <m:oMath>
        <m:r>
          <m:t>g</m:t>
        </m:r>
        <m:d>
          <m:dPr>
            <m:begChr m:val="("/>
            <m:endChr m:val=")"/>
            <m:sepChr m:val=""/>
            <m:grow/>
          </m:dPr>
          <m:e>
            <m:sSub>
              <m:e>
                <m:r>
                  <m:t>O</m:t>
                </m:r>
              </m:e>
              <m:sub>
                <m:r>
                  <m:t>j</m:t>
                </m:r>
              </m:sub>
            </m:sSub>
          </m:e>
        </m:d>
      </m:oMath>
      <w:r>
        <w:t xml:space="preserve">, so the set of</w:t>
      </w:r>
      <w:r>
        <w:t xml:space="preserve"> </w:t>
      </w:r>
      <m:oMath>
        <m:sSub>
          <m:e>
            <m:r>
              <m:t>O</m:t>
            </m:r>
          </m:e>
          <m:sub>
            <m:r>
              <m:t>j</m:t>
            </m:r>
          </m:sub>
        </m:sSub>
      </m:oMath>
      <w:r>
        <w:t xml:space="preserve"> </w:t>
      </w:r>
      <w:r>
        <w:t xml:space="preserve">for which it holds is larger at higher</w:t>
      </w:r>
      <w:r>
        <w:t xml:space="preserve"> </w:t>
      </w:r>
      <m:oMath>
        <m:r>
          <m:t>s</m:t>
        </m:r>
      </m:oMath>
      <w:r>
        <w:t xml:space="preserve">. For any</w:t>
      </w:r>
      <w:r>
        <w:t xml:space="preserve"> </w:t>
      </w:r>
      <m:oMath>
        <m:sSub>
          <m:e>
            <m:r>
              <m:t>O</m:t>
            </m:r>
          </m:e>
          <m:sub>
            <m:r>
              <m:t>j</m:t>
            </m:r>
          </m:sub>
        </m:sSub>
      </m:oMath>
      <w:r>
        <w:t xml:space="preserve"> </w:t>
      </w:r>
      <w:r>
        <w:t xml:space="preserve">with</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0</m:t>
                </m:r>
              </m:e>
            </m:d>
          </m:e>
        </m:d>
        <m:r>
          <m:rPr>
            <m:sty m:val="p"/>
          </m:rPr>
          <m:t>&lt;</m:t>
        </m:r>
        <m:r>
          <m:t>g</m:t>
        </m:r>
        <m:d>
          <m:dPr>
            <m:begChr m:val="("/>
            <m:endChr m:val=")"/>
            <m:sepChr m:val=""/>
            <m:grow/>
          </m:dPr>
          <m:e>
            <m:sSub>
              <m:e>
                <m:r>
                  <m:t>O</m:t>
                </m:r>
              </m:e>
              <m:sub>
                <m:r>
                  <m:t>j</m:t>
                </m:r>
              </m:sub>
            </m:sSub>
          </m:e>
        </m:d>
        <m:r>
          <m:rPr>
            <m:sty m:val="p"/>
          </m:rPr>
          <m:t>≤</m:t>
        </m:r>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the investment is made only with protection.</w:t>
      </w:r>
      <w:r>
        <w:t xml:space="preserve"> </w:t>
      </w:r>
      <m:oMath>
        <m:r>
          <m:rPr>
            <m:sty m:val="p"/>
          </m:rPr>
          <m:t>◼</m:t>
        </m:r>
      </m:oMath>
    </w:p>
    <w:p>
      <w:pPr>
        <w:pStyle w:val="BodyText"/>
      </w:pPr>
      <w:r>
        <w:rPr>
          <w:bCs/>
          <w:b/>
        </w:rPr>
        <w:t xml:space="preserve">Proof of Proposition 8.</w:t>
      </w:r>
      <w:r>
        <w:t xml:space="preserve"> </w:t>
      </w:r>
      <w:r>
        <w:t xml:space="preserve">Fix the total rate</w:t>
      </w:r>
      <w:r>
        <w:t xml:space="preserve"> </w:t>
      </w:r>
      <m:oMath>
        <m:r>
          <m:t>H</m:t>
        </m:r>
      </m:oMath>
      <w:r>
        <w:t xml:space="preserve">. By the argument for Proposition 6, vendor</w:t>
      </w:r>
      <w:r>
        <w:t xml:space="preserve"> </w:t>
      </w:r>
      <m:oMath>
        <m:r>
          <m:t>i</m:t>
        </m:r>
      </m:oMath>
      <w:r>
        <w:t xml:space="preserve">’s best response to rivals’ total rate</w:t>
      </w:r>
      <w:r>
        <w:t xml:space="preserve"> </w:t>
      </w:r>
      <m:oMath>
        <m:r>
          <m:t>H</m:t>
        </m:r>
        <m:r>
          <m:rPr>
            <m:sty m:val="p"/>
          </m:rPr>
          <m:t>−</m:t>
        </m:r>
        <m:sSub>
          <m:e>
            <m:r>
              <m:t>η</m:t>
            </m:r>
          </m:e>
          <m:sub>
            <m:r>
              <m:t>i</m:t>
            </m:r>
          </m:sub>
        </m:sSub>
      </m:oMath>
      <w:r>
        <w:t xml:space="preserve"> </w:t>
      </w:r>
      <w:r>
        <w:t xml:space="preserve">is the unique positive root of</w:t>
      </w:r>
      <w:r>
        <w:t xml:space="preserve"> </w:t>
      </w:r>
      <m:oMath>
        <m:sSup>
          <m:e>
            <m:r>
              <m:t>η</m:t>
            </m:r>
          </m:e>
          <m:sup>
            <m:r>
              <m:t>2</m:t>
            </m:r>
          </m:sup>
        </m:sSup>
        <m:r>
          <m:rPr>
            <m:sty m:val="p"/>
          </m:rPr>
          <m:t>+</m:t>
        </m:r>
        <m:r>
          <m:t>2</m:t>
        </m:r>
        <m:d>
          <m:dPr>
            <m:begChr m:val="("/>
            <m:endChr m:val=")"/>
            <m:sepChr m:val=""/>
            <m:grow/>
          </m:dPr>
          <m:e>
            <m:r>
              <m:t>r</m:t>
            </m:r>
            <m:r>
              <m:rPr>
                <m:sty m:val="p"/>
              </m:rPr>
              <m:t>+</m:t>
            </m:r>
            <m:r>
              <m:t>H</m:t>
            </m:r>
            <m:r>
              <m:rPr>
                <m:sty m:val="p"/>
              </m:rPr>
              <m:t>−</m:t>
            </m:r>
            <m:r>
              <m:t>η</m:t>
            </m:r>
          </m:e>
        </m:d>
        <m:r>
          <m:t>η</m:t>
        </m:r>
        <m:r>
          <m:rPr>
            <m:sty m:val="p"/>
          </m:rPr>
          <m:t>−</m:t>
        </m:r>
        <m:r>
          <m:t>2</m:t>
        </m:r>
        <m:r>
          <m:t>G</m:t>
        </m:r>
        <m:d>
          <m:dPr>
            <m:begChr m:val="("/>
            <m:endChr m:val=")"/>
            <m:sepChr m:val=""/>
            <m:grow/>
          </m:dPr>
          <m:e>
            <m:r>
              <m:t>r</m:t>
            </m:r>
            <m:r>
              <m:rPr>
                <m:sty m:val="p"/>
              </m:rPr>
              <m:t>+</m:t>
            </m:r>
            <m:r>
              <m:t>H</m:t>
            </m:r>
            <m:r>
              <m:rPr>
                <m:sty m:val="p"/>
              </m:rPr>
              <m:t>−</m:t>
            </m:r>
            <m:r>
              <m:t>η</m:t>
            </m:r>
          </m:e>
        </m:d>
        <m:r>
          <m:rPr>
            <m:sty m:val="p"/>
          </m:rPr>
          <m:t>/</m:t>
        </m:r>
        <m:r>
          <m:t>K</m:t>
        </m:r>
        <m:r>
          <m:rPr>
            <m:sty m:val="p"/>
          </m:rPr>
          <m:t>=</m:t>
        </m:r>
        <m:r>
          <m:t>0</m:t>
        </m:r>
      </m:oMath>
      <w:r>
        <w:t xml:space="preserve">, which rearranges to</w:t>
      </w:r>
    </w:p>
    <w:p>
      <w:pPr>
        <w:pStyle w:val="BodyText"/>
      </w:pPr>
      <m:oMathPara>
        <m:oMathParaPr>
          <m:jc m:val="center"/>
        </m:oMathParaPr>
        <m:oMath>
          <m:f>
            <m:fPr>
              <m:type m:val="lin"/>
            </m:fPr>
            <m:num>
              <m:r>
                <m:t>K</m:t>
              </m:r>
            </m:num>
            <m:den>
              <m:r>
                <m:t>2</m:t>
              </m:r>
            </m:den>
          </m:f>
          <m:sSup>
            <m:e>
              <m:r>
                <m:t>η</m:t>
              </m:r>
            </m:e>
            <m:sup>
              <m:r>
                <m:t>2</m:t>
              </m:r>
            </m:sup>
          </m:sSup>
          <m:r>
            <m:rPr>
              <m:sty m:val="p"/>
            </m:rPr>
            <m:t>−</m:t>
          </m:r>
          <m:d>
            <m:dPr>
              <m:begChr m:val="("/>
              <m:endChr m:val=")"/>
              <m:sepChr m:val=""/>
              <m:grow/>
            </m:dPr>
            <m:e>
              <m:r>
                <m:t>K</m:t>
              </m:r>
              <m:d>
                <m:dPr>
                  <m:begChr m:val="("/>
                  <m:endChr m:val=")"/>
                  <m:sepChr m:val=""/>
                  <m:grow/>
                </m:dPr>
                <m:e>
                  <m:r>
                    <m:t>r</m:t>
                  </m:r>
                  <m:r>
                    <m:rPr>
                      <m:sty m:val="p"/>
                    </m:rPr>
                    <m:t>+</m:t>
                  </m:r>
                  <m:r>
                    <m:t>H</m:t>
                  </m:r>
                </m:e>
              </m:d>
              <m:r>
                <m:rPr>
                  <m:sty m:val="p"/>
                </m:rPr>
                <m:t>+</m:t>
              </m:r>
              <m:r>
                <m:t>G</m:t>
              </m:r>
            </m:e>
          </m:d>
          <m:r>
            <m:t>η</m:t>
          </m:r>
          <m:r>
            <m:rPr>
              <m:sty m:val="p"/>
            </m:rPr>
            <m:t>+</m:t>
          </m:r>
          <m:r>
            <m:t>G</m:t>
          </m:r>
          <m:d>
            <m:dPr>
              <m:begChr m:val="("/>
              <m:endChr m:val=")"/>
              <m:sepChr m:val=""/>
              <m:grow/>
            </m:dPr>
            <m:e>
              <m:r>
                <m:t>r</m:t>
              </m:r>
              <m:r>
                <m:rPr>
                  <m:sty m:val="p"/>
                </m:rPr>
                <m:t>+</m:t>
              </m:r>
              <m:r>
                <m:t>H</m:t>
              </m:r>
            </m:e>
          </m:d>
          <m:r>
            <m:rPr>
              <m:sty m:val="p"/>
            </m:rPr>
            <m:t>=</m:t>
          </m:r>
          <m:r>
            <m:t>0</m:t>
          </m:r>
          <m:r>
            <m:rPr>
              <m:sty m:val="p"/>
            </m:rPr>
            <m:t>.</m:t>
          </m:r>
        </m:oMath>
      </m:oMathPara>
    </w:p>
    <w:p>
      <w:pPr>
        <w:pStyle w:val="FirstParagraph"/>
      </w:pPr>
      <w:r>
        <w:t xml:space="preserve">The product of its two roots is positive and their sum is</w:t>
      </w:r>
      <w:r>
        <w:t xml:space="preserve"> </w:t>
      </w:r>
      <m:oMath>
        <m:r>
          <m:t>2</m:t>
        </m:r>
        <m:d>
          <m:dPr>
            <m:begChr m:val="("/>
            <m:endChr m:val=")"/>
            <m:sepChr m:val=""/>
            <m:grow/>
          </m:dPr>
          <m:e>
            <m:r>
              <m:t>r</m:t>
            </m:r>
            <m:r>
              <m:rPr>
                <m:sty m:val="p"/>
              </m:rPr>
              <m:t>+</m:t>
            </m:r>
            <m:r>
              <m:t>H</m:t>
            </m:r>
          </m:e>
        </m:d>
        <m:r>
          <m:rPr>
            <m:sty m:val="p"/>
          </m:rPr>
          <m:t>+</m:t>
        </m:r>
        <m:r>
          <m:t>2</m:t>
        </m:r>
        <m:r>
          <m:t>G</m:t>
        </m:r>
        <m:r>
          <m:rPr>
            <m:sty m:val="p"/>
          </m:rPr>
          <m:t>/</m:t>
        </m:r>
        <m:r>
          <m:t>K</m:t>
        </m:r>
      </m:oMath>
      <w:r>
        <w:t xml:space="preserve">, so the larger root exceeds</w:t>
      </w:r>
      <w:r>
        <w:t xml:space="preserve"> </w:t>
      </w:r>
      <m:oMath>
        <m:r>
          <m:t>r</m:t>
        </m:r>
        <m:r>
          <m:rPr>
            <m:sty m:val="p"/>
          </m:rPr>
          <m:t>+</m:t>
        </m:r>
        <m:r>
          <m:t>H</m:t>
        </m:r>
        <m:r>
          <m:rPr>
            <m:sty m:val="p"/>
          </m:rPr>
          <m:t>≥</m:t>
        </m:r>
        <m:sSub>
          <m:e>
            <m:r>
              <m:t>η</m:t>
            </m:r>
          </m:e>
          <m:sub>
            <m:r>
              <m:t>i</m:t>
            </m:r>
          </m:sub>
        </m:sSub>
      </m:oMath>
      <w:r>
        <w:t xml:space="preserve"> </w:t>
      </w:r>
      <w:r>
        <w:t xml:space="preserve">and is infeasible. Hence</w:t>
      </w:r>
      <w:r>
        <w:t xml:space="preserve"> </w:t>
      </w:r>
      <m:oMath>
        <m:sSub>
          <m:e>
            <m:r>
              <m:t>η</m:t>
            </m:r>
          </m:e>
          <m:sub>
            <m:r>
              <m:t>i</m:t>
            </m:r>
          </m:sub>
        </m:sSub>
      </m:oMath>
      <w:r>
        <w:t xml:space="preserve"> </w:t>
      </w:r>
      <w:r>
        <w:t xml:space="preserve">is the smaller root, which is the same for every vendor given</w:t>
      </w:r>
      <w:r>
        <w:t xml:space="preserve"> </w:t>
      </w:r>
      <m:oMath>
        <m:r>
          <m:t>H</m:t>
        </m:r>
      </m:oMath>
      <w:r>
        <w:t xml:space="preserve">. All equilibria are therefore symmetric. Substituting</w:t>
      </w:r>
      <w:r>
        <w:t xml:space="preserve"> </w:t>
      </w:r>
      <m:oMath>
        <m:r>
          <m:t>H</m:t>
        </m:r>
        <m:r>
          <m:rPr>
            <m:sty m:val="p"/>
          </m:rPr>
          <m:t>=</m:t>
        </m:r>
        <m:r>
          <m:t>N</m:t>
        </m:r>
        <m:r>
          <m:t>η</m:t>
        </m:r>
      </m:oMath>
      <w:r>
        <w:t xml:space="preserve"> </w:t>
      </w:r>
      <w:r>
        <w:t xml:space="preserve">gives the quadratic (9), which has a positive leading coefficient and a negative constant term and therefore exactly one positive root. Define</w:t>
      </w:r>
      <w:r>
        <w:t xml:space="preserve"> </w:t>
      </w:r>
      <m:oMath>
        <m:r>
          <m:t>F</m:t>
        </m:r>
        <m:d>
          <m:dPr>
            <m:begChr m:val="("/>
            <m:endChr m:val=")"/>
            <m:sepChr m:val=""/>
            <m:grow/>
          </m:dPr>
          <m:e>
            <m:r>
              <m:t>η</m:t>
            </m:r>
            <m:r>
              <m:rPr>
                <m:sty m:val="p"/>
              </m:rPr>
              <m:t>,</m:t>
            </m:r>
            <m:r>
              <m:t>N</m:t>
            </m:r>
          </m:e>
        </m:d>
        <m:r>
          <m:rPr>
            <m:sty m:val="p"/>
          </m:rPr>
          <m:t>=</m:t>
        </m:r>
        <m:r>
          <m:rPr>
            <m:sty m:val="p"/>
          </m:rPr>
          <m:t>−</m:t>
        </m:r>
        <m:d>
          <m:dPr>
            <m:begChr m:val="["/>
            <m:endChr m:val="]"/>
            <m:sepChr m:val=""/>
            <m:grow/>
          </m:dPr>
          <m:e>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e>
        </m:d>
      </m:oMath>
      <w:r>
        <w:t xml:space="preserve">. Then</w:t>
      </w:r>
      <w:r>
        <w:t xml:space="preserve"> </w:t>
      </w:r>
      <m:oMath>
        <m:r>
          <m:t>F</m:t>
        </m:r>
        <m:d>
          <m:dPr>
            <m:begChr m:val="("/>
            <m:endChr m:val=")"/>
            <m:sepChr m:val=""/>
            <m:grow/>
          </m:dPr>
          <m:e>
            <m:r>
              <m:t>0</m:t>
            </m:r>
            <m:r>
              <m:rPr>
                <m:sty m:val="p"/>
              </m:rPr>
              <m:t>,</m:t>
            </m:r>
            <m:r>
              <m:t>N</m:t>
            </m:r>
          </m:e>
        </m:d>
        <m:r>
          <m:rPr>
            <m:sty m:val="p"/>
          </m:rPr>
          <m:t>=</m:t>
        </m:r>
        <m:r>
          <m:t>G</m:t>
        </m:r>
        <m:r>
          <m:t>r</m:t>
        </m:r>
        <m:r>
          <m:rPr>
            <m:sty m:val="p"/>
          </m:rPr>
          <m:t>&gt;</m:t>
        </m:r>
        <m:r>
          <m:t>0</m:t>
        </m:r>
      </m:oMath>
      <w:r>
        <w:t xml:space="preserve"> </w:t>
      </w:r>
      <w:r>
        <w:t xml:space="preserve">and</w:t>
      </w:r>
      <w:r>
        <w:t xml:space="preserve"> </w:t>
      </w:r>
      <m:oMath>
        <m:r>
          <m:t>F</m:t>
        </m:r>
        <m:d>
          <m:dPr>
            <m:begChr m:val="("/>
            <m:endChr m:val=")"/>
            <m:sepChr m:val=""/>
            <m:grow/>
          </m:dPr>
          <m:e>
            <m:r>
              <m:t>G</m:t>
            </m:r>
            <m:r>
              <m:rPr>
                <m:sty m:val="p"/>
              </m:rPr>
              <m:t>/</m:t>
            </m:r>
            <m:r>
              <m:t>K</m:t>
            </m:r>
            <m:r>
              <m:rPr>
                <m:sty m:val="p"/>
              </m:rPr>
              <m:t>,</m:t>
            </m:r>
            <m:r>
              <m:t>N</m:t>
            </m:r>
          </m:e>
        </m:d>
        <m:r>
          <m:rPr>
            <m:sty m:val="p"/>
          </m:rPr>
          <m:t>=</m:t>
        </m:r>
        <m:r>
          <m:rPr>
            <m:sty m:val="p"/>
          </m:rPr>
          <m:t>−</m:t>
        </m:r>
        <m:sSup>
          <m:e>
            <m:r>
              <m:t>G</m:t>
            </m:r>
          </m:e>
          <m:sup>
            <m:r>
              <m:t>2</m:t>
            </m:r>
          </m:sup>
        </m:sSup>
        <m:r>
          <m:rPr>
            <m:sty m:val="p"/>
          </m:rPr>
          <m:t>/</m:t>
        </m:r>
        <m:d>
          <m:dPr>
            <m:begChr m:val="("/>
            <m:endChr m:val=")"/>
            <m:sepChr m:val=""/>
            <m:grow/>
          </m:dPr>
          <m:e>
            <m:r>
              <m:t>2</m:t>
            </m:r>
            <m:r>
              <m:t>K</m:t>
            </m:r>
          </m:e>
        </m:d>
        <m:r>
          <m:rPr>
            <m:sty m:val="p"/>
          </m:rPr>
          <m:t>&lt;</m:t>
        </m:r>
        <m:r>
          <m:t>0</m:t>
        </m:r>
      </m:oMath>
      <w:r>
        <w:t xml:space="preserve">, so the root satisfies</w:t>
      </w:r>
      <w:r>
        <w:t xml:space="preserve"> </w:t>
      </w:r>
      <m:oMath>
        <m:sSup>
          <m:e>
            <m:r>
              <m:t>η</m:t>
            </m:r>
          </m:e>
          <m:sup>
            <m:r>
              <m:rPr>
                <m:sty m:val="p"/>
              </m:rPr>
              <m:t>*</m:t>
            </m:r>
          </m:sup>
        </m:sSup>
        <m:r>
          <m:rPr>
            <m:sty m:val="p"/>
          </m:rPr>
          <m:t>&lt;</m:t>
        </m:r>
        <m:r>
          <m:t>G</m:t>
        </m:r>
        <m:r>
          <m:rPr>
            <m:sty m:val="p"/>
          </m:rPr>
          <m:t>/</m:t>
        </m:r>
        <m:r>
          <m:t>K</m:t>
        </m:r>
      </m:oMath>
      <w:r>
        <w:t xml:space="preserve">, and</w:t>
      </w:r>
      <w:r>
        <w:t xml:space="preserve"> </w:t>
      </w:r>
      <m:oMath>
        <m:r>
          <m:t>F</m:t>
        </m:r>
      </m:oMath>
      <w:r>
        <w:t xml:space="preserve"> </w:t>
      </w:r>
      <w:r>
        <w:t xml:space="preserve">crosses zero from above there. Because</w:t>
      </w:r>
      <w:r>
        <w:t xml:space="preserve"> </w:t>
      </w:r>
      <m:oMath>
        <m:r>
          <m:t>F</m:t>
        </m:r>
        <m:d>
          <m:dPr>
            <m:begChr m:val="("/>
            <m:endChr m:val=")"/>
            <m:sepChr m:val=""/>
            <m:grow/>
          </m:dPr>
          <m:e>
            <m:r>
              <m:t>η</m:t>
            </m:r>
            <m:r>
              <m:rPr>
                <m:sty m:val="p"/>
              </m:rPr>
              <m:t>,</m:t>
            </m:r>
            <m:r>
              <m:t>N</m:t>
            </m:r>
            <m:r>
              <m:rPr>
                <m:sty m:val="p"/>
              </m:rPr>
              <m:t>+</m:t>
            </m:r>
            <m:r>
              <m:t>1</m:t>
            </m:r>
          </m:e>
        </m:d>
        <m:r>
          <m:rPr>
            <m:sty m:val="p"/>
          </m:rPr>
          <m:t>−</m:t>
        </m:r>
        <m:r>
          <m:t>F</m:t>
        </m:r>
        <m:d>
          <m:dPr>
            <m:begChr m:val="("/>
            <m:endChr m:val=")"/>
            <m:sepChr m:val=""/>
            <m:grow/>
          </m:dPr>
          <m:e>
            <m:r>
              <m:t>η</m:t>
            </m:r>
            <m:r>
              <m:rPr>
                <m:sty m:val="p"/>
              </m:rPr>
              <m:t>,</m:t>
            </m:r>
            <m:r>
              <m:t>N</m:t>
            </m:r>
          </m:e>
        </m:d>
        <m:r>
          <m:rPr>
            <m:sty m:val="p"/>
          </m:rPr>
          <m:t>=</m:t>
        </m:r>
        <m:r>
          <m:t>η</m:t>
        </m:r>
        <m:d>
          <m:dPr>
            <m:begChr m:val="("/>
            <m:endChr m:val=")"/>
            <m:sepChr m:val=""/>
            <m:grow/>
          </m:dPr>
          <m:e>
            <m:r>
              <m:t>G</m:t>
            </m:r>
            <m:r>
              <m:rPr>
                <m:sty m:val="p"/>
              </m:rPr>
              <m:t>−</m:t>
            </m:r>
            <m:r>
              <m:t>K</m:t>
            </m:r>
            <m:r>
              <m:t>η</m:t>
            </m:r>
          </m:e>
        </m:d>
        <m:r>
          <m:rPr>
            <m:sty m:val="p"/>
          </m:rPr>
          <m:t>&gt;</m:t>
        </m:r>
        <m:r>
          <m:t>0</m:t>
        </m:r>
      </m:oMath>
      <w:r>
        <w:t xml:space="preserve"> </w:t>
      </w:r>
      <w:r>
        <w:t xml:space="preserve">on</w:t>
      </w:r>
      <w:r>
        <w:t xml:space="preserve"> </w:t>
      </w:r>
      <m:oMath>
        <m:d>
          <m:dPr>
            <m:begChr m:val="("/>
            <m:endChr m:val=")"/>
            <m:sepChr m:val=""/>
            <m:grow/>
          </m:dPr>
          <m:e>
            <m:r>
              <m:t>0</m:t>
            </m:r>
            <m:r>
              <m:rPr>
                <m:sty m:val="p"/>
              </m:rPr>
              <m:t>,</m:t>
            </m:r>
            <m:r>
              <m:t>G</m:t>
            </m:r>
            <m:r>
              <m:rPr>
                <m:sty m:val="p"/>
              </m:rPr>
              <m:t>/</m:t>
            </m:r>
            <m:r>
              <m:t>K</m:t>
            </m:r>
          </m:e>
        </m:d>
      </m:oMath>
      <w:r>
        <w:t xml:space="preserve">, we have</w:t>
      </w:r>
      <w:r>
        <w:t xml:space="preserve"> </w:t>
      </w:r>
      <m:oMath>
        <m:r>
          <m:t>F</m:t>
        </m:r>
        <m:d>
          <m:dPr>
            <m:begChr m:val="("/>
            <m:endChr m:val=")"/>
            <m:sepChr m:val=""/>
            <m:grow/>
          </m:dPr>
          <m:e>
            <m:sSup>
              <m:e>
                <m:r>
                  <m:t>η</m:t>
                </m:r>
              </m:e>
              <m:sup>
                <m:r>
                  <m:rPr>
                    <m:sty m:val="p"/>
                  </m:rPr>
                  <m:t>*</m:t>
                </m:r>
              </m:sup>
            </m:sSup>
            <m:d>
              <m:dPr>
                <m:begChr m:val="("/>
                <m:endChr m:val=")"/>
                <m:sepChr m:val=""/>
                <m:grow/>
              </m:dPr>
              <m:e>
                <m:r>
                  <m:t>N</m:t>
                </m:r>
              </m:e>
            </m:d>
            <m:r>
              <m:rPr>
                <m:sty m:val="p"/>
              </m:rPr>
              <m:t>,</m:t>
            </m:r>
            <m:r>
              <m:t>N</m:t>
            </m:r>
            <m:r>
              <m:rPr>
                <m:sty m:val="p"/>
              </m:rPr>
              <m:t>+</m:t>
            </m:r>
            <m:r>
              <m:t>1</m:t>
            </m:r>
          </m:e>
        </m:d>
        <m:r>
          <m:rPr>
            <m:sty m:val="p"/>
          </m:rPr>
          <m:t>&gt;</m:t>
        </m:r>
        <m:r>
          <m:t>0</m:t>
        </m:r>
      </m:oMath>
      <w:r>
        <w:t xml:space="preserve">, and so the root for</w:t>
      </w:r>
      <w:r>
        <w:t xml:space="preserve"> </w:t>
      </w:r>
      <m:oMath>
        <m:r>
          <m:t>N</m:t>
        </m:r>
        <m:r>
          <m:rPr>
            <m:sty m:val="p"/>
          </m:rPr>
          <m:t>+</m:t>
        </m:r>
        <m:r>
          <m:t>1</m:t>
        </m:r>
      </m:oMath>
      <w:r>
        <w:t xml:space="preserve"> </w:t>
      </w:r>
      <w:r>
        <w:t xml:space="preserve">lies above</w:t>
      </w:r>
      <w:r>
        <w:t xml:space="preserve"> </w:t>
      </w:r>
      <m:oMath>
        <m:sSup>
          <m:e>
            <m:r>
              <m:t>η</m:t>
            </m:r>
          </m:e>
          <m:sup>
            <m:r>
              <m:rPr>
                <m:sty m:val="p"/>
              </m:rPr>
              <m:t>*</m:t>
            </m:r>
          </m:sup>
        </m:sSup>
        <m:d>
          <m:dPr>
            <m:begChr m:val="("/>
            <m:endChr m:val=")"/>
            <m:sepChr m:val=""/>
            <m:grow/>
          </m:dPr>
          <m:e>
            <m:r>
              <m:t>N</m:t>
            </m:r>
          </m:e>
        </m:d>
      </m:oMath>
      <w:r>
        <w:t xml:space="preserve">. Both</w:t>
      </w:r>
      <w:r>
        <w:t xml:space="preserve"> </w:t>
      </w:r>
      <m:oMath>
        <m:sSup>
          <m:e>
            <m:r>
              <m:t>η</m:t>
            </m:r>
          </m:e>
          <m:sup>
            <m:r>
              <m:rPr>
                <m:sty m:val="p"/>
              </m:rPr>
              <m:t>*</m:t>
            </m:r>
          </m:sup>
        </m:sSup>
        <m:d>
          <m:dPr>
            <m:begChr m:val="("/>
            <m:endChr m:val=")"/>
            <m:sepChr m:val=""/>
            <m:grow/>
          </m:dPr>
          <m:e>
            <m:r>
              <m:t>N</m:t>
            </m:r>
          </m:e>
        </m:d>
      </m:oMath>
      <w:r>
        <w:t xml:space="preserve"> </w:t>
      </w:r>
      <w:r>
        <w:t xml:space="preserve">and</w:t>
      </w:r>
      <w:r>
        <w:t xml:space="preserve"> </w:t>
      </w:r>
      <m:oMath>
        <m:r>
          <m:t>N</m:t>
        </m:r>
        <m:sSup>
          <m:e>
            <m:r>
              <m:t>η</m:t>
            </m:r>
          </m:e>
          <m:sup>
            <m:r>
              <m:rPr>
                <m:sty m:val="p"/>
              </m:rPr>
              <m:t>*</m:t>
            </m:r>
          </m:sup>
        </m:sSup>
        <m:d>
          <m:dPr>
            <m:begChr m:val="("/>
            <m:endChr m:val=")"/>
            <m:sepChr m:val=""/>
            <m:grow/>
          </m:dPr>
          <m:e>
            <m:r>
              <m:t>N</m:t>
            </m:r>
          </m:e>
        </m:d>
      </m:oMath>
      <w:r>
        <w:t xml:space="preserve"> </w:t>
      </w:r>
      <w:r>
        <w:t xml:space="preserve">are therefore increasing in</w:t>
      </w:r>
      <w:r>
        <w:t xml:space="preserve"> </w:t>
      </w:r>
      <m:oMath>
        <m:r>
          <m:t>N</m:t>
        </m:r>
      </m:oMath>
      <w:r>
        <w:t xml:space="preserve">. As in the proof of Proposition 6, the first-order condition gives</w:t>
      </w:r>
      <w:r>
        <w:t xml:space="preserve"> </w:t>
      </w:r>
      <m:oMath>
        <m:sSub>
          <m:e>
            <m:r>
              <m:t>J</m:t>
            </m:r>
          </m:e>
          <m:sub>
            <m:r>
              <m:t>i</m:t>
            </m:r>
          </m:sub>
        </m:sSub>
        <m:r>
          <m:rPr>
            <m:sty m:val="p"/>
          </m:rPr>
          <m:t>=</m:t>
        </m:r>
        <m:r>
          <m:t>G</m:t>
        </m:r>
        <m:r>
          <m:rPr>
            <m:sty m:val="p"/>
          </m:rPr>
          <m:t>−</m:t>
        </m:r>
        <m:r>
          <m:t>K</m:t>
        </m:r>
        <m:sSup>
          <m:e>
            <m:r>
              <m:t>η</m:t>
            </m:r>
          </m:e>
          <m:sup>
            <m:r>
              <m:rPr>
                <m:sty m:val="p"/>
              </m:rPr>
              <m:t>*</m:t>
            </m:r>
          </m:sup>
        </m:sSup>
      </m:oMath>
      <w:r>
        <w:t xml:space="preserve">, which is decreasing in</w:t>
      </w:r>
      <w:r>
        <w:t xml:space="preserve"> </w:t>
      </w:r>
      <m:oMath>
        <m:r>
          <m:t>N</m:t>
        </m:r>
      </m:oMath>
      <w:r>
        <w:t xml:space="preserve"> </w:t>
      </w:r>
      <w:r>
        <w:t xml:space="preserve">since</w:t>
      </w:r>
      <w:r>
        <w:t xml:space="preserve"> </w:t>
      </w:r>
      <m:oMath>
        <m:sSup>
          <m:e>
            <m:r>
              <m:t>η</m:t>
            </m:r>
          </m:e>
          <m:sup>
            <m:r>
              <m:rPr>
                <m:sty m:val="p"/>
              </m:rPr>
              <m:t>*</m:t>
            </m:r>
          </m:sup>
        </m:sSup>
      </m:oMath>
      <w:r>
        <w:t xml:space="preserve"> </w:t>
      </w:r>
      <w:r>
        <w:t xml:space="preserve">is increasing, and positive since</w:t>
      </w:r>
      <w:r>
        <w:t xml:space="preserve"> </w:t>
      </w:r>
      <m:oMath>
        <m:sSup>
          <m:e>
            <m:r>
              <m:t>η</m:t>
            </m:r>
          </m:e>
          <m:sup>
            <m:r>
              <m:rPr>
                <m:sty m:val="p"/>
              </m:rPr>
              <m:t>*</m:t>
            </m:r>
          </m:sup>
        </m:sSup>
        <m:r>
          <m:rPr>
            <m:sty m:val="p"/>
          </m:rPr>
          <m:t>&lt;</m:t>
        </m:r>
        <m:r>
          <m:t>G</m:t>
        </m:r>
        <m:r>
          <m:rPr>
            <m:sty m:val="p"/>
          </m:rPr>
          <m:t>/</m:t>
        </m:r>
        <m:r>
          <m:t>K</m:t>
        </m:r>
      </m:oMath>
      <w:r>
        <w:t xml:space="preserve">. The adopter’s value</w:t>
      </w:r>
      <w:r>
        <w:t xml:space="preserve"> </w:t>
      </w:r>
      <m:oMath>
        <m:r>
          <m:t>R</m:t>
        </m:r>
        <m:r>
          <m:rPr>
            <m:sty m:val="p"/>
          </m:rPr>
          <m:t>/</m:t>
        </m:r>
        <m:d>
          <m:dPr>
            <m:begChr m:val="("/>
            <m:endChr m:val=")"/>
            <m:sepChr m:val=""/>
            <m:grow/>
          </m:dPr>
          <m:e>
            <m:r>
              <m:t>r</m:t>
            </m:r>
            <m:r>
              <m:rPr>
                <m:sty m:val="p"/>
              </m:rPr>
              <m:t>+</m:t>
            </m:r>
            <m:sSup>
              <m:e>
                <m:r>
                  <m:t>H</m:t>
                </m:r>
              </m:e>
              <m:sup>
                <m:r>
                  <m:rPr>
                    <m:sty m:val="p"/>
                  </m:rPr>
                  <m:t>*</m:t>
                </m:r>
              </m:sup>
            </m:sSup>
          </m:e>
        </m:d>
      </m:oMath>
      <w:r>
        <w:t xml:space="preserve"> </w:t>
      </w:r>
      <w:r>
        <w:t xml:space="preserve">is decreasing in</w:t>
      </w:r>
      <w:r>
        <w:t xml:space="preserve"> </w:t>
      </w:r>
      <m:oMath>
        <m:sSup>
          <m:e>
            <m:r>
              <m:t>H</m:t>
            </m:r>
          </m:e>
          <m:sup>
            <m:r>
              <m:rPr>
                <m:sty m:val="p"/>
              </m:rPr>
              <m:t>*</m:t>
            </m:r>
          </m:sup>
        </m:sSup>
      </m:oMath>
      <w:r>
        <w:t xml:space="preserve"> </w:t>
      </w:r>
      <w:r>
        <w:t xml:space="preserve">and hence in</w:t>
      </w:r>
      <w:r>
        <w:t xml:space="preserve"> </w:t>
      </w:r>
      <m:oMath>
        <m:r>
          <m:t>N</m:t>
        </m:r>
      </m:oMath>
      <w:r>
        <w:t xml:space="preserve">. For</w:t>
      </w:r>
      <w:r>
        <w:t xml:space="preserve"> </w:t>
      </w:r>
      <m:oMath>
        <m:r>
          <m:t>N</m:t>
        </m:r>
        <m:r>
          <m:rPr>
            <m:sty m:val="p"/>
          </m:rPr>
          <m:t>=</m:t>
        </m:r>
        <m:r>
          <m:t>1</m:t>
        </m:r>
      </m:oMath>
      <w:r>
        <w:t xml:space="preserve">, (9) reduces to</w:t>
      </w:r>
      <w:r>
        <w:t xml:space="preserve"> </w:t>
      </w:r>
      <m:oMath>
        <m:f>
          <m:fPr>
            <m:type m:val="lin"/>
          </m:fPr>
          <m:num>
            <m:r>
              <m:t>K</m:t>
            </m:r>
          </m:num>
          <m:den>
            <m:r>
              <m:t>2</m:t>
            </m:r>
          </m:den>
        </m:f>
        <m:sSup>
          <m:e>
            <m:r>
              <m:t>η</m:t>
            </m:r>
          </m:e>
          <m:sup>
            <m:r>
              <m:t>2</m:t>
            </m:r>
          </m:sup>
        </m:sSup>
        <m:r>
          <m:rPr>
            <m:sty m:val="p"/>
          </m:rPr>
          <m:t>+</m:t>
        </m:r>
        <m:r>
          <m:t>K</m:t>
        </m:r>
        <m:r>
          <m:t>r</m:t>
        </m:r>
        <m:r>
          <m:t>η</m:t>
        </m:r>
        <m:r>
          <m:rPr>
            <m:sty m:val="p"/>
          </m:rPr>
          <m:t>−</m:t>
        </m:r>
        <m:r>
          <m:t>G</m:t>
        </m:r>
        <m:r>
          <m:t>r</m:t>
        </m:r>
        <m:r>
          <m:rPr>
            <m:sty m:val="p"/>
          </m:rPr>
          <m:t>=</m:t>
        </m:r>
        <m:r>
          <m:t>0</m:t>
        </m:r>
      </m:oMath>
      <w:r>
        <w:t xml:space="preserve">, which is the quadratic in the proof of Proposition 6.</w:t>
      </w:r>
      <w:r>
        <w:t xml:space="preserve"> </w:t>
      </w:r>
      <m:oMath>
        <m:r>
          <m:rPr>
            <m:sty m:val="p"/>
          </m:rPr>
          <m:t>◼</m:t>
        </m:r>
      </m:oMath>
    </w:p>
    <w:bookmarkEnd w:id="51"/>
    <w:bookmarkStart w:id="52"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Grossman, S. J., and Hart, O. D. 1986. The costs and benefits of ownership: A theory of vertical and lateral integration.</w:t>
      </w:r>
      <w:r>
        <w:t xml:space="preserve"> </w:t>
      </w:r>
      <w:r>
        <w:rPr>
          <w:iCs/>
          <w:i/>
        </w:rPr>
        <w:t xml:space="preserve">Journal of Political Economy</w:t>
      </w:r>
      <w:r>
        <w:t xml:space="preserve"> </w:t>
      </w:r>
      <w:r>
        <w:t xml:space="preserve">94(4):691–719.</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Klein, B., Crawford, R. G., and Alchian, A. A. 1978. Vertical integration, appropriable rents, and the competitive contracting process.</w:t>
      </w:r>
      <w:r>
        <w:t xml:space="preserve"> </w:t>
      </w:r>
      <w:r>
        <w:rPr>
          <w:iCs/>
          <w:i/>
        </w:rPr>
        <w:t xml:space="preserve">Journal of Law and Economics</w:t>
      </w:r>
      <w:r>
        <w:t xml:space="preserve"> </w:t>
      </w:r>
      <w:r>
        <w:t xml:space="preserve">21(2):297–326.</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2026-10-21T00:31:28Z</dcterms:created>
  <dcterms:modified xsi:type="dcterms:W3CDTF">2026-10-21T00:31:28Z</dcterms:modified>
</cp:coreProperties>
</file>

<file path=docProps/custom.xml><?xml version="1.0" encoding="utf-8"?>
<Properties xmlns="http://schemas.openxmlformats.org/officeDocument/2006/custom-properties" xmlns:vt="http://schemas.openxmlformats.org/officeDocument/2006/docPropsVTypes"/>
</file>