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2"/>
        </w:rPr>
        <w:t>Mitigating Automated Jailbreak Campaigns on LLM Platforms: A Two-Tier Stochastic Screening Design</w:t>
      </w:r>
    </w:p>
    <w:p>
      <w:pPr>
        <w:jc w:val="center"/>
      </w:pPr>
      <w:r>
        <w:rPr>
          <w:b w:val="0"/>
          <w:i/>
        </w:rPr>
        <w:t>[Author names and affiliations]</w:t>
      </w:r>
    </w:p>
    <w:p>
      <w:pPr>
        <w:pStyle w:val="Heading1"/>
      </w:pPr>
      <w:r>
        <w:t>Abstract</w:t>
      </w:r>
    </w:p>
    <w:p>
      <w:pPr>
        <w:jc w:val="both"/>
      </w:pPr>
      <w:r>
        <w:rPr>
          <w:b w:val="0"/>
          <w:i w:val="0"/>
        </w:rPr>
        <w:t>Large language model (LLM) platforms defend against jailbreak and prompt-injection attacks with neural guardrail models (e.g., Llama Guard). Running a guardrail on every prompt consumes scarce GPU capacity and adds latency to every legitimate transaction, yet removing it exposes the platform to breach liability. Automated jailbreak campaigns make the problem sharper: they are bursts of high-volume adversarial traffic that appear as a sudden change in the arrival process of policy-violating prompts. We propose a two-tier architecture in which an inexpensive lexical counter (Tier 1) monitors the arrival process of flagged prompts and activates the semantic guardrail (Tier 2) only when the count is statistically inconsistent with a calibrated benign baseline. The baseline is modeled as a doubly stochastic (Cox) Poisson process with a diurnal intensity, which gives a time-varying negative-binomial control limit. We (i) derive the cost-minimizing activation threshold and show it is characterized by a likelihood-ratio condition, (ii) bound the throughput an adaptive attacker can sustain without being detected, and (iii) evaluate the design in a simulation of seven-day traces with 300 replications against always-on, fixed-threshold, CUSUM, and random-sampling benchmarks. For high-intensity campaigns (8 prompts/min against a baseline of 0.5/min) the design screens 98% of malicious prompts while using about 5% of the always-on guardrail capacity; a CUSUM statistic dominates the Shewhart-type rule for moderate campaigns. The design is, however, fragile against campaigns that evade Tier 1 lexically, and we quantify this limitation. The results yield design rules for cost-effective governance of generative-AI platforms.</w:t>
      </w:r>
    </w:p>
    <w:p>
      <w:r>
        <w:rPr>
          <w:b w:val="0"/>
          <w:i/>
          <w:sz w:val="20"/>
        </w:rPr>
        <w:t>Keywords: LLM security; jailbreak; prompt injection; statistical process control; non-homogeneous Poisson process; design science; security economics</w:t>
      </w:r>
    </w:p>
    <w:p>
      <w:pPr>
        <w:pStyle w:val="Heading1"/>
      </w:pPr>
      <w:r>
        <w:t>1. Introduction</w:t>
      </w:r>
    </w:p>
    <w:p>
      <w:pPr>
        <w:jc w:val="both"/>
      </w:pPr>
      <w:r>
        <w:rPr>
          <w:b w:val="0"/>
          <w:i w:val="0"/>
        </w:rPr>
        <w:t>LLM services are now offered as enterprise cloud platforms with open, text-based interfaces. This openness creates a security exposure that differs from classical web attacks: an adversary can run scripts that issue large numbers of adversarial prompt permutations in order to bypass the model's safety alignment (Perez and Ribeiro 2022; Wei et al. 2023; Zou et al. 2023; Chao et al. 2023), or can embed instructions in third-party content the model later reads (Greshake et al. 2023). Platforms respond with semantic guardrails, i.e., auxiliary neural classifiers that inspect inputs and outputs (Inan et al. 2023). Such guardrails are accurate but are dense neural networks that need dedicated GPU memory and compute, and they add latency to every request that passes through them.</w:t>
      </w:r>
    </w:p>
    <w:p>
      <w:pPr>
        <w:jc w:val="both"/>
      </w:pPr>
      <w:r>
        <w:rPr>
          <w:b w:val="0"/>
          <w:i w:val="0"/>
        </w:rPr>
        <w:t>The platform therefore faces a trade-off under uncertainty. Screening every prompt consumes capacity that could serve legitimate inference and degrades response time for all users; screening nothing in real time exposes the firm to regulatory, reputational, and liability losses when a harmful generation occurs. Reactive scaling does not resolve the trade-off, because an automated campaign can saturate a cluster much faster than typical auto-scaling policies react.</w:t>
      </w:r>
    </w:p>
    <w:p>
      <w:pPr>
        <w:jc w:val="both"/>
      </w:pPr>
      <w:r>
        <w:rPr>
          <w:b w:val="0"/>
          <w:i w:val="0"/>
        </w:rPr>
        <w:t>Our premise is that automated campaigns are, from the platform's viewpoint, a change in the arrival process of flagged prompts, and that such changes can be detected cheaply with statistical process control (SPC) before any expensive semantic inference is invoked. We pose the following questions. (RQ1) How should a platform set the activation threshold of an expensive guardrail when benign traffic is non-stationary and costs of false alarms and misses are asymmetric? (RQ2) How much attack throughput can an adaptive adversary push through undetected, and how does lexical evasion change this? (RQ3) How much guardrail capacity can such a design save relative to always-on screening and to alternative detection rules, and at what loss of coverage?</w:t>
      </w:r>
    </w:p>
    <w:p>
      <w:pPr>
        <w:jc w:val="both"/>
      </w:pPr>
      <w:r>
        <w:rPr>
          <w:b w:val="0"/>
          <w:i w:val="0"/>
        </w:rPr>
        <w:t>Following the design-science tradition in information systems (Hevner et al. 2004), the artifact is a screening architecture together with a threshold-design method; we evaluate it analytically and by simulation against explicit benchmarks. Our contributions are: (1) a formulation of guardrail activation as a sequential detection problem with a Cox-process baseline, which corrects the common simplification of treating benign noise as an additive random term of a Poisson intensity; (2) a closed-form likelihood-ratio characterization of the cost-minimizing threshold (Proposition 1); (3) a bound on undetected attack throughput (Proposition 2) and an evaluation of lexical evasion; and (4) a transparent simulation study that reports false alarms, coverage, delay, and capacity use against four benchmarks, including cases in which the proposed rule performs poorly.</w:t>
      </w:r>
    </w:p>
    <w:p>
      <w:pPr>
        <w:pStyle w:val="Heading1"/>
      </w:pPr>
      <w:r>
        <w:t>2. Related Literature</w:t>
      </w:r>
    </w:p>
    <w:p>
      <w:pPr>
        <w:jc w:val="both"/>
      </w:pPr>
      <w:r>
        <w:rPr>
          <w:b w:val="0"/>
          <w:i w:val="0"/>
        </w:rPr>
        <w:t>Security economics. The economics of information security studies how much to invest in protection given breach losses (Gordon and Loeb 2002) and how detection technologies create value under error trade-offs. Cavusoglu et al. (2004, 2005) model intrusion detection systems and show that their value depends on the interplay of detection and false-alarm rates with the cost of response, and that configuration should be chosen jointly with the cost structure. Our threshold problem is of this type, but the response being triggered is a capacity-consuming classifier rather than a human analyst, and the benign baseline is non-stationary.</w:t>
      </w:r>
    </w:p>
    <w:p>
      <w:pPr>
        <w:jc w:val="both"/>
      </w:pPr>
      <w:r>
        <w:rPr>
          <w:b w:val="0"/>
          <w:i w:val="0"/>
        </w:rPr>
        <w:t>LLM attacks and defenses. Jailbreak research has produced manual prompts (Wei et al. 2023), gradient-based universal suffixes (Zou et al. 2023), and query-efficient automated attackers (Chao et al. 2023), and standardized evaluations such as HarmBench (Mazeika et al. 2024) and JailbreakBench (Chao et al. 2024). Defensive work has concentrated on the accuracy of input-output classifiers (Inan et al. 2023). The operating cost of running such classifiers at platform scale, and the question of when to invoke them, have received much less attention; this is the gap we address.</w:t>
      </w:r>
    </w:p>
    <w:p>
      <w:pPr>
        <w:jc w:val="both"/>
      </w:pPr>
      <w:r>
        <w:rPr>
          <w:b w:val="0"/>
          <w:i w:val="0"/>
        </w:rPr>
        <w:t>Sequential detection and SPC. Attribute control charts (Montgomery 2019) test whether a count exceeds a limit derived from an in-control distribution. For small persistent shifts, cumulative-sum statistics (Page 1954) are more sensitive and are optimal in the minimax sense of Lorden (1971), as shown by Moustakides (1986). Time-varying arrival rates are standard in service-system staffing (Whitt 1999), and doubly stochastic Poisson processes (Grandell 1976) capture overdispersion beyond the Poisson model. We combine these ideas for security screening and add the economic layer that determines the threshold.</w:t>
      </w:r>
    </w:p>
    <w:p>
      <w:pPr>
        <w:pStyle w:val="Heading1"/>
      </w:pPr>
      <w:r>
        <w:t>3. Model</w:t>
      </w:r>
    </w:p>
    <w:p>
      <w:pPr>
        <w:pStyle w:val="Heading2"/>
      </w:pPr>
      <w:r>
        <w:t>3.1 Baseline traffic as a Cox process</w:t>
      </w:r>
    </w:p>
    <w:p>
      <w:pPr>
        <w:jc w:val="both"/>
      </w:pPr>
      <w:r>
        <w:rPr>
          <w:b w:val="0"/>
          <w:i w:val="0"/>
        </w:rPr>
        <w:t>Time is divided into inspection windows of length Δ (one minute in our experiments). Tier 1 is a lexical filter (keyword and pattern matching) that runs in constant time per prompt and returns x_t, the number of prompts in window t that match at least one policy trigger. In the absence of an attack, matches arise from benign causes such as quoted restricted terms and false positives of the filter. We model x_t as conditionally Poisson with a stochastic intensity:</w:t>
      </w:r>
    </w:p>
    <w:p>
      <w:pPr>
        <w:jc w:val="center"/>
      </w:pPr>
      <w:r>
        <w:rPr>
          <w:i/>
        </w:rPr>
        <w:t>x_t | Λ_t ~ Poisson(Λ_t Δ),   Λ_t = λ₀(t) · Z_t,   λ₀(t) = λ̄₀ [1 + Σ_k γ_k θ_k(t)],   Z_t ~ Gamma(shape κ, mean 1) i.i.d.</w:t>
      </w:r>
      <w:r>
        <w:t xml:space="preserve">        (1)</w:t>
      </w:r>
    </w:p>
    <w:p>
      <w:pPr>
        <w:jc w:val="both"/>
      </w:pPr>
      <w:r>
        <w:rPr>
          <w:b w:val="0"/>
          <w:i w:val="0"/>
        </w:rPr>
        <w:t>Here λ̄₀ is the long-run benign match rate, θ_k(t) are bounded periodic functions capturing diurnal and weekly usage with |Σ_k γ_k θ_k(t)| &lt; 1 so that λ₀(t) &gt; 0, and Z_t is a multiplicative random effect for unexplained fluctuation. This corrects a specification in which the fluctuation is added to the intensity (λ₀(t) + ξ_t): an additive noise term can make the intensity negative, and a random intensity makes the count process a Cox (doubly stochastic Poisson) process rather than an NHPP. Marginally, x_t is negative binomial with mean μ_t = λ₀(t)Δ and variance μ_t + μ_t²/κ, so it is overdispersed relative to the Poisson model; as κ → ∞ the model reduces to an NHPP.</w:t>
      </w:r>
    </w:p>
    <w:p>
      <w:pPr>
        <w:pStyle w:val="Heading2"/>
      </w:pPr>
      <w:r>
        <w:t>3.2 Attack and Tier 1 evasion</w:t>
      </w:r>
    </w:p>
    <w:p>
      <w:pPr>
        <w:jc w:val="both"/>
      </w:pPr>
      <w:r>
        <w:rPr>
          <w:b w:val="0"/>
          <w:i w:val="0"/>
        </w:rPr>
        <w:t>During a campaign, malicious prompts arrive at rate a per window. Each is matched by the lexical filter with probability 1 − e, where e ∈ [0,1) is the evasion probability (paraphrase, encoding, translation). The count observed by Tier 1 during a campaign is therefore x_t = (benign matches) + Binomial-thinned attack arrivals, i.e., an increase of mean b = a(1 − e) in the window mean. Campaigns that evade completely (e → 1) are invisible to Tier 1; we treat this as the main limitation rather than assume it away.</w:t>
      </w:r>
    </w:p>
    <w:p>
      <w:pPr>
        <w:pStyle w:val="Heading2"/>
      </w:pPr>
      <w:r>
        <w:t>3.3 Activation rule and threshold</w:t>
      </w:r>
    </w:p>
    <w:p>
      <w:pPr>
        <w:jc w:val="both"/>
      </w:pPr>
      <w:r>
        <w:rPr>
          <w:b w:val="0"/>
          <w:i w:val="0"/>
        </w:rPr>
        <w:t>Tier 2 is the semantic guardrail. When it is activated, all traffic in subsequent windows is routed through it for H windows (a cool-down), and the offending sources may be throttled. The Shewhart-type rule triggers when x_t exceeds a time-varying upper control limit determined by a false-alarm budget α:</w:t>
      </w:r>
    </w:p>
    <w:p>
      <w:pPr>
        <w:jc w:val="center"/>
      </w:pPr>
      <w:r>
        <w:rPr>
          <w:i/>
        </w:rPr>
        <w:t>K_th(t) = min { K : P(x_t ≤ K) ≥ 1 − α },   x_t ~ NegBin(mean μ_t, shape κ)</w:t>
      </w:r>
      <w:r>
        <w:t xml:space="preserve">        (2)</w:t>
      </w:r>
    </w:p>
    <w:p>
      <w:pPr>
        <w:jc w:val="both"/>
      </w:pPr>
      <w:r>
        <w:rPr>
          <w:b w:val="0"/>
          <w:i w:val="0"/>
        </w:rPr>
        <w:t>Because μ_t varies over the day, K_th(t) is a step function of time rather than the single constant obtained from a stationary Poisson model. Triggering takes effect from the next window, so prompts in the triggering window are not screened in real time (they can be reviewed post hoc).</w:t>
      </w:r>
    </w:p>
    <w:p>
      <w:pPr>
        <w:pStyle w:val="Heading2"/>
      </w:pPr>
      <w:r>
        <w:t>3.4 Economic threshold design</w:t>
      </w:r>
    </w:p>
    <w:p>
      <w:pPr>
        <w:jc w:val="both"/>
      </w:pPr>
      <w:r>
        <w:rPr>
          <w:b w:val="0"/>
          <w:i w:val="0"/>
        </w:rPr>
        <w:t>Consider a single-window decision. Let π₁ be the probability that a window belongs to a campaign and π₀ = 1 − π₁. Activating Tier 2 in a window costs C (GPU cost plus the latency disutility imposed on users in that window, C = C_g + η ΔL v_t, where ΔL is the added guardrail latency and v_t the traffic volume). A campaign window that is not screened costs ρM, where M is the expected breach loss and ρ ≥ 1 is a risk-aversion factor (the risk premium in the original draft, which we now state explicitly as a parameter of the loss rather than a hedge against heavy tails). With a cutoff K, expected cost is</w:t>
      </w:r>
    </w:p>
    <w:p>
      <w:pPr>
        <w:jc w:val="center"/>
      </w:pPr>
      <w:r>
        <w:rPr>
          <w:i/>
        </w:rPr>
        <w:t>J(K) = π₀ C · P₀(x &gt; K) + π₁ ρM · P₁(x ≤ K)</w:t>
      </w:r>
      <w:r>
        <w:t xml:space="preserve">        (3)</w:t>
      </w:r>
    </w:p>
    <w:p>
      <w:r>
        <w:rPr>
          <w:b/>
        </w:rPr>
        <w:t xml:space="preserve">Proposition 1 (cost-minimizing threshold). </w:t>
      </w:r>
      <w:r>
        <w:t>Let f₀ and f₁ be the probability mass functions of x under no attack and under attack, with f₁/f₀ strictly increasing (this holds when benign counts are Poisson with mean μ₀ and an attack adds an independent Poisson(b) count: f₁(k)/f₀(k) = ((μ₀+b)/μ₀)^k e^{−b}). Then J is quasi-convex in K and the optimal cutoff is K* = min{ K ≥ −1 : f₁(K+1)/f₀(K+1) ≥ π₀C / (π₁ρM) }, where K* = −1 means always-on screening. K* is non-decreasing in C/(ρM).</w:t>
      </w:r>
    </w:p>
    <w:p>
      <w:pPr>
        <w:jc w:val="both"/>
      </w:pPr>
      <w:r>
        <w:rPr>
          <w:b w:val="0"/>
          <w:i w:val="0"/>
        </w:rPr>
        <w:t>The proof is in Appendix A. The proposition has two practical implications. First, "always screen" is the optimal policy when the breach cost per attack window is large relative to the screening cost per window (K* = −1). Tier-1 gating is valuable only when screening is expensive enough, through GPU contention or user-visible latency, relative to the loss it prevents. Second, the SPC rule (2) with a fixed α is the special case in which the false-alarm constraint is exogenous; Proposition 1 shows what α implicitly assumes about cost ratios. Table 1 gives optimal cutoffs for μ₀ = 0.5; the cutoff rises with the visible attack rate b because stronger attacks stay detectable at a higher cutoff.</w:t>
      </w:r>
    </w:p>
    <w:p>
      <w:r>
        <w:rPr>
          <w:b/>
          <w:i w:val="0"/>
          <w:sz w:val="20"/>
        </w:rPr>
        <w:t>Table 1. Cost-minimizing cutoffs from Proposition 1 (Poisson baseline, μ₀ = 0.5 per window).</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pPr>
              <w:spacing w:after="0"/>
            </w:pPr>
            <w:r/>
            <w:r>
              <w:rPr>
                <w:b/>
                <w:sz w:val="18"/>
              </w:rPr>
              <w:t>Visible attack rate b</w:t>
            </w:r>
          </w:p>
        </w:tc>
        <w:tc>
          <w:tcPr>
            <w:tcW w:type="dxa" w:w="1881"/>
          </w:tcPr>
          <w:p>
            <w:pPr>
              <w:spacing w:after="0"/>
            </w:pPr>
            <w:r/>
            <w:r>
              <w:rPr>
                <w:b/>
                <w:sz w:val="18"/>
              </w:rPr>
              <w:t>π₁ρM/(π₀C)</w:t>
            </w:r>
          </w:p>
        </w:tc>
        <w:tc>
          <w:tcPr>
            <w:tcW w:type="dxa" w:w="1881"/>
          </w:tcPr>
          <w:p>
            <w:pPr>
              <w:spacing w:after="0"/>
            </w:pPr>
            <w:r/>
            <w:r>
              <w:rPr>
                <w:b/>
                <w:sz w:val="18"/>
              </w:rPr>
              <w:t>Optimal K*</w:t>
            </w:r>
          </w:p>
        </w:tc>
        <w:tc>
          <w:tcPr>
            <w:tcW w:type="dxa" w:w="1881"/>
          </w:tcPr>
          <w:p>
            <w:pPr>
              <w:spacing w:after="0"/>
            </w:pPr>
            <w:r/>
            <w:r>
              <w:rPr>
                <w:b/>
                <w:sz w:val="18"/>
              </w:rPr>
              <w:t>False-trigger prob. P₀(x&gt;K*)</w:t>
            </w:r>
          </w:p>
        </w:tc>
        <w:tc>
          <w:tcPr>
            <w:tcW w:type="dxa" w:w="1881"/>
          </w:tcPr>
          <w:p>
            <w:pPr>
              <w:spacing w:after="0"/>
            </w:pPr>
            <w:r/>
            <w:r>
              <w:rPr>
                <w:b/>
                <w:sz w:val="18"/>
              </w:rPr>
              <w:t>Miss prob. P₁(x≤K*)</w:t>
            </w:r>
          </w:p>
        </w:tc>
      </w:tr>
      <w:tr>
        <w:tc>
          <w:tcPr>
            <w:tcW w:type="dxa" w:w="1881"/>
          </w:tcPr>
          <w:p>
            <w:pPr>
              <w:spacing w:after="0"/>
            </w:pPr>
            <w:r/>
            <w:r>
              <w:rPr>
                <w:b w:val="0"/>
                <w:sz w:val="18"/>
              </w:rPr>
              <w:t>2</w:t>
            </w:r>
          </w:p>
        </w:tc>
        <w:tc>
          <w:tcPr>
            <w:tcW w:type="dxa" w:w="1881"/>
          </w:tcPr>
          <w:p>
            <w:pPr>
              <w:spacing w:after="0"/>
            </w:pPr>
            <w:r/>
            <w:r>
              <w:rPr>
                <w:b w:val="0"/>
                <w:sz w:val="18"/>
              </w:rPr>
              <w:t>0.1</w:t>
            </w:r>
          </w:p>
        </w:tc>
        <w:tc>
          <w:tcPr>
            <w:tcW w:type="dxa" w:w="1881"/>
          </w:tcPr>
          <w:p>
            <w:pPr>
              <w:spacing w:after="0"/>
            </w:pPr>
            <w:r/>
            <w:r>
              <w:rPr>
                <w:b w:val="0"/>
                <w:sz w:val="18"/>
              </w:rPr>
              <w:t>2</w:t>
            </w:r>
          </w:p>
        </w:tc>
        <w:tc>
          <w:tcPr>
            <w:tcW w:type="dxa" w:w="1881"/>
          </w:tcPr>
          <w:p>
            <w:pPr>
              <w:spacing w:after="0"/>
            </w:pPr>
            <w:r/>
            <w:r>
              <w:rPr>
                <w:b w:val="0"/>
                <w:sz w:val="18"/>
              </w:rPr>
              <w:t>0.014</w:t>
            </w:r>
          </w:p>
        </w:tc>
        <w:tc>
          <w:tcPr>
            <w:tcW w:type="dxa" w:w="1881"/>
          </w:tcPr>
          <w:p>
            <w:pPr>
              <w:spacing w:after="0"/>
            </w:pPr>
            <w:r/>
            <w:r>
              <w:rPr>
                <w:b w:val="0"/>
                <w:sz w:val="18"/>
              </w:rPr>
              <w:t>0.544</w:t>
            </w:r>
          </w:p>
        </w:tc>
      </w:tr>
      <w:tr>
        <w:tc>
          <w:tcPr>
            <w:tcW w:type="dxa" w:w="1881"/>
          </w:tcPr>
          <w:p>
            <w:pPr>
              <w:spacing w:after="0"/>
            </w:pPr>
            <w:r/>
            <w:r>
              <w:rPr>
                <w:b w:val="0"/>
                <w:sz w:val="18"/>
              </w:rPr>
              <w:t>2</w:t>
            </w:r>
          </w:p>
        </w:tc>
        <w:tc>
          <w:tcPr>
            <w:tcW w:type="dxa" w:w="1881"/>
          </w:tcPr>
          <w:p>
            <w:pPr>
              <w:spacing w:after="0"/>
            </w:pPr>
            <w:r/>
            <w:r>
              <w:rPr>
                <w:b w:val="0"/>
                <w:sz w:val="18"/>
              </w:rPr>
              <w:t>1</w:t>
            </w:r>
          </w:p>
        </w:tc>
        <w:tc>
          <w:tcPr>
            <w:tcW w:type="dxa" w:w="1881"/>
          </w:tcPr>
          <w:p>
            <w:pPr>
              <w:spacing w:after="0"/>
            </w:pPr>
            <w:r/>
            <w:r>
              <w:rPr>
                <w:b w:val="0"/>
                <w:sz w:val="18"/>
              </w:rPr>
              <w:t>1</w:t>
            </w:r>
          </w:p>
        </w:tc>
        <w:tc>
          <w:tcPr>
            <w:tcW w:type="dxa" w:w="1881"/>
          </w:tcPr>
          <w:p>
            <w:pPr>
              <w:spacing w:after="0"/>
            </w:pPr>
            <w:r/>
            <w:r>
              <w:rPr>
                <w:b w:val="0"/>
                <w:sz w:val="18"/>
              </w:rPr>
              <w:t>0.090</w:t>
            </w:r>
          </w:p>
        </w:tc>
        <w:tc>
          <w:tcPr>
            <w:tcW w:type="dxa" w:w="1881"/>
          </w:tcPr>
          <w:p>
            <w:pPr>
              <w:spacing w:after="0"/>
            </w:pPr>
            <w:r/>
            <w:r>
              <w:rPr>
                <w:b w:val="0"/>
                <w:sz w:val="18"/>
              </w:rPr>
              <w:t>0.287</w:t>
            </w:r>
          </w:p>
        </w:tc>
      </w:tr>
      <w:tr>
        <w:tc>
          <w:tcPr>
            <w:tcW w:type="dxa" w:w="1881"/>
          </w:tcPr>
          <w:p>
            <w:pPr>
              <w:spacing w:after="0"/>
            </w:pPr>
            <w:r/>
            <w:r>
              <w:rPr>
                <w:b w:val="0"/>
                <w:sz w:val="18"/>
              </w:rPr>
              <w:t>2</w:t>
            </w:r>
          </w:p>
        </w:tc>
        <w:tc>
          <w:tcPr>
            <w:tcW w:type="dxa" w:w="1881"/>
          </w:tcPr>
          <w:p>
            <w:pPr>
              <w:spacing w:after="0"/>
            </w:pPr>
            <w:r/>
            <w:r>
              <w:rPr>
                <w:b w:val="0"/>
                <w:sz w:val="18"/>
              </w:rPr>
              <w:t>10</w:t>
            </w:r>
          </w:p>
        </w:tc>
        <w:tc>
          <w:tcPr>
            <w:tcW w:type="dxa" w:w="1881"/>
          </w:tcPr>
          <w:p>
            <w:pPr>
              <w:spacing w:after="0"/>
            </w:pPr>
            <w:r/>
            <w:r>
              <w:rPr>
                <w:b w:val="0"/>
                <w:sz w:val="18"/>
              </w:rPr>
              <w:t>−1 (always on)</w:t>
            </w:r>
          </w:p>
        </w:tc>
        <w:tc>
          <w:tcPr>
            <w:tcW w:type="dxa" w:w="1881"/>
          </w:tcPr>
          <w:p>
            <w:pPr>
              <w:spacing w:after="0"/>
            </w:pPr>
            <w:r/>
            <w:r>
              <w:rPr>
                <w:b w:val="0"/>
                <w:sz w:val="18"/>
              </w:rPr>
              <w:t>1.000</w:t>
            </w:r>
          </w:p>
        </w:tc>
        <w:tc>
          <w:tcPr>
            <w:tcW w:type="dxa" w:w="1881"/>
          </w:tcPr>
          <w:p>
            <w:pPr>
              <w:spacing w:after="0"/>
            </w:pPr>
            <w:r/>
            <w:r>
              <w:rPr>
                <w:b w:val="0"/>
                <w:sz w:val="18"/>
              </w:rPr>
              <w:t>0.000</w:t>
            </w:r>
          </w:p>
        </w:tc>
      </w:tr>
      <w:tr>
        <w:tc>
          <w:tcPr>
            <w:tcW w:type="dxa" w:w="1881"/>
          </w:tcPr>
          <w:p>
            <w:pPr>
              <w:spacing w:after="0"/>
            </w:pPr>
            <w:r/>
            <w:r>
              <w:rPr>
                <w:b w:val="0"/>
                <w:sz w:val="18"/>
              </w:rPr>
              <w:t>4</w:t>
            </w:r>
          </w:p>
        </w:tc>
        <w:tc>
          <w:tcPr>
            <w:tcW w:type="dxa" w:w="1881"/>
          </w:tcPr>
          <w:p>
            <w:pPr>
              <w:spacing w:after="0"/>
            </w:pPr>
            <w:r/>
            <w:r>
              <w:rPr>
                <w:b w:val="0"/>
                <w:sz w:val="18"/>
              </w:rPr>
              <w:t>0.1</w:t>
            </w:r>
          </w:p>
        </w:tc>
        <w:tc>
          <w:tcPr>
            <w:tcW w:type="dxa" w:w="1881"/>
          </w:tcPr>
          <w:p>
            <w:pPr>
              <w:spacing w:after="0"/>
            </w:pPr>
            <w:r/>
            <w:r>
              <w:rPr>
                <w:b w:val="0"/>
                <w:sz w:val="18"/>
              </w:rPr>
              <w:t>2</w:t>
            </w:r>
          </w:p>
        </w:tc>
        <w:tc>
          <w:tcPr>
            <w:tcW w:type="dxa" w:w="1881"/>
          </w:tcPr>
          <w:p>
            <w:pPr>
              <w:spacing w:after="0"/>
            </w:pPr>
            <w:r/>
            <w:r>
              <w:rPr>
                <w:b w:val="0"/>
                <w:sz w:val="18"/>
              </w:rPr>
              <w:t>0.014</w:t>
            </w:r>
          </w:p>
        </w:tc>
        <w:tc>
          <w:tcPr>
            <w:tcW w:type="dxa" w:w="1881"/>
          </w:tcPr>
          <w:p>
            <w:pPr>
              <w:spacing w:after="0"/>
            </w:pPr>
            <w:r/>
            <w:r>
              <w:rPr>
                <w:b w:val="0"/>
                <w:sz w:val="18"/>
              </w:rPr>
              <w:t>0.174</w:t>
            </w:r>
          </w:p>
        </w:tc>
      </w:tr>
      <w:tr>
        <w:tc>
          <w:tcPr>
            <w:tcW w:type="dxa" w:w="1881"/>
          </w:tcPr>
          <w:p>
            <w:pPr>
              <w:spacing w:after="0"/>
            </w:pPr>
            <w:r/>
            <w:r>
              <w:rPr>
                <w:b w:val="0"/>
                <w:sz w:val="18"/>
              </w:rPr>
              <w:t>4</w:t>
            </w:r>
          </w:p>
        </w:tc>
        <w:tc>
          <w:tcPr>
            <w:tcW w:type="dxa" w:w="1881"/>
          </w:tcPr>
          <w:p>
            <w:pPr>
              <w:spacing w:after="0"/>
            </w:pPr>
            <w:r/>
            <w:r>
              <w:rPr>
                <w:b w:val="0"/>
                <w:sz w:val="18"/>
              </w:rPr>
              <w:t>1</w:t>
            </w:r>
          </w:p>
        </w:tc>
        <w:tc>
          <w:tcPr>
            <w:tcW w:type="dxa" w:w="1881"/>
          </w:tcPr>
          <w:p>
            <w:pPr>
              <w:spacing w:after="0"/>
            </w:pPr>
            <w:r/>
            <w:r>
              <w:rPr>
                <w:b w:val="0"/>
                <w:sz w:val="18"/>
              </w:rPr>
              <w:t>1</w:t>
            </w:r>
          </w:p>
        </w:tc>
        <w:tc>
          <w:tcPr>
            <w:tcW w:type="dxa" w:w="1881"/>
          </w:tcPr>
          <w:p>
            <w:pPr>
              <w:spacing w:after="0"/>
            </w:pPr>
            <w:r/>
            <w:r>
              <w:rPr>
                <w:b w:val="0"/>
                <w:sz w:val="18"/>
              </w:rPr>
              <w:t>0.090</w:t>
            </w:r>
          </w:p>
        </w:tc>
        <w:tc>
          <w:tcPr>
            <w:tcW w:type="dxa" w:w="1881"/>
          </w:tcPr>
          <w:p>
            <w:pPr>
              <w:spacing w:after="0"/>
            </w:pPr>
            <w:r/>
            <w:r>
              <w:rPr>
                <w:b w:val="0"/>
                <w:sz w:val="18"/>
              </w:rPr>
              <w:t>0.061</w:t>
            </w:r>
          </w:p>
        </w:tc>
      </w:tr>
      <w:tr>
        <w:tc>
          <w:tcPr>
            <w:tcW w:type="dxa" w:w="1881"/>
          </w:tcPr>
          <w:p>
            <w:pPr>
              <w:spacing w:after="0"/>
            </w:pPr>
            <w:r/>
            <w:r>
              <w:rPr>
                <w:b w:val="0"/>
                <w:sz w:val="18"/>
              </w:rPr>
              <w:t>4</w:t>
            </w:r>
          </w:p>
        </w:tc>
        <w:tc>
          <w:tcPr>
            <w:tcW w:type="dxa" w:w="1881"/>
          </w:tcPr>
          <w:p>
            <w:pPr>
              <w:spacing w:after="0"/>
            </w:pPr>
            <w:r/>
            <w:r>
              <w:rPr>
                <w:b w:val="0"/>
                <w:sz w:val="18"/>
              </w:rPr>
              <w:t>10</w:t>
            </w:r>
          </w:p>
        </w:tc>
        <w:tc>
          <w:tcPr>
            <w:tcW w:type="dxa" w:w="1881"/>
          </w:tcPr>
          <w:p>
            <w:pPr>
              <w:spacing w:after="0"/>
            </w:pPr>
            <w:r/>
            <w:r>
              <w:rPr>
                <w:b w:val="0"/>
                <w:sz w:val="18"/>
              </w:rPr>
              <w:t>0</w:t>
            </w:r>
          </w:p>
        </w:tc>
        <w:tc>
          <w:tcPr>
            <w:tcW w:type="dxa" w:w="1881"/>
          </w:tcPr>
          <w:p>
            <w:pPr>
              <w:spacing w:after="0"/>
            </w:pPr>
            <w:r/>
            <w:r>
              <w:rPr>
                <w:b w:val="0"/>
                <w:sz w:val="18"/>
              </w:rPr>
              <w:t>0.393</w:t>
            </w:r>
          </w:p>
        </w:tc>
        <w:tc>
          <w:tcPr>
            <w:tcW w:type="dxa" w:w="1881"/>
          </w:tcPr>
          <w:p>
            <w:pPr>
              <w:spacing w:after="0"/>
            </w:pPr>
            <w:r/>
            <w:r>
              <w:rPr>
                <w:b w:val="0"/>
                <w:sz w:val="18"/>
              </w:rPr>
              <w:t>0.011</w:t>
            </w:r>
          </w:p>
        </w:tc>
      </w:tr>
      <w:tr>
        <w:tc>
          <w:tcPr>
            <w:tcW w:type="dxa" w:w="1881"/>
          </w:tcPr>
          <w:p>
            <w:pPr>
              <w:spacing w:after="0"/>
            </w:pPr>
            <w:r/>
            <w:r>
              <w:rPr>
                <w:b w:val="0"/>
                <w:sz w:val="18"/>
              </w:rPr>
              <w:t>4</w:t>
            </w:r>
          </w:p>
        </w:tc>
        <w:tc>
          <w:tcPr>
            <w:tcW w:type="dxa" w:w="1881"/>
          </w:tcPr>
          <w:p>
            <w:pPr>
              <w:spacing w:after="0"/>
            </w:pPr>
            <w:r/>
            <w:r>
              <w:rPr>
                <w:b w:val="0"/>
                <w:sz w:val="18"/>
              </w:rPr>
              <w:t>100</w:t>
            </w:r>
          </w:p>
        </w:tc>
        <w:tc>
          <w:tcPr>
            <w:tcW w:type="dxa" w:w="1881"/>
          </w:tcPr>
          <w:p>
            <w:pPr>
              <w:spacing w:after="0"/>
            </w:pPr>
            <w:r/>
            <w:r>
              <w:rPr>
                <w:b w:val="0"/>
                <w:sz w:val="18"/>
              </w:rPr>
              <w:t>−1 (always on)</w:t>
            </w:r>
          </w:p>
        </w:tc>
        <w:tc>
          <w:tcPr>
            <w:tcW w:type="dxa" w:w="1881"/>
          </w:tcPr>
          <w:p>
            <w:pPr>
              <w:spacing w:after="0"/>
            </w:pPr>
            <w:r/>
            <w:r>
              <w:rPr>
                <w:b w:val="0"/>
                <w:sz w:val="18"/>
              </w:rPr>
              <w:t>1.000</w:t>
            </w:r>
          </w:p>
        </w:tc>
        <w:tc>
          <w:tcPr>
            <w:tcW w:type="dxa" w:w="1881"/>
          </w:tcPr>
          <w:p>
            <w:pPr>
              <w:spacing w:after="0"/>
            </w:pPr>
            <w:r/>
            <w:r>
              <w:rPr>
                <w:b w:val="0"/>
                <w:sz w:val="18"/>
              </w:rPr>
              <w:t>0.000</w:t>
            </w:r>
          </w:p>
        </w:tc>
      </w:tr>
      <w:tr>
        <w:tc>
          <w:tcPr>
            <w:tcW w:type="dxa" w:w="1881"/>
          </w:tcPr>
          <w:p>
            <w:pPr>
              <w:spacing w:after="0"/>
            </w:pPr>
            <w:r/>
            <w:r>
              <w:rPr>
                <w:b w:val="0"/>
                <w:sz w:val="18"/>
              </w:rPr>
              <w:t>8</w:t>
            </w:r>
          </w:p>
        </w:tc>
        <w:tc>
          <w:tcPr>
            <w:tcW w:type="dxa" w:w="1881"/>
          </w:tcPr>
          <w:p>
            <w:pPr>
              <w:spacing w:after="0"/>
            </w:pPr>
            <w:r/>
            <w:r>
              <w:rPr>
                <w:b w:val="0"/>
                <w:sz w:val="18"/>
              </w:rPr>
              <w:t>0.1</w:t>
            </w:r>
          </w:p>
        </w:tc>
        <w:tc>
          <w:tcPr>
            <w:tcW w:type="dxa" w:w="1881"/>
          </w:tcPr>
          <w:p>
            <w:pPr>
              <w:spacing w:after="0"/>
            </w:pPr>
            <w:r/>
            <w:r>
              <w:rPr>
                <w:b w:val="0"/>
                <w:sz w:val="18"/>
              </w:rPr>
              <w:t>3</w:t>
            </w:r>
          </w:p>
        </w:tc>
        <w:tc>
          <w:tcPr>
            <w:tcW w:type="dxa" w:w="1881"/>
          </w:tcPr>
          <w:p>
            <w:pPr>
              <w:spacing w:after="0"/>
            </w:pPr>
            <w:r/>
            <w:r>
              <w:rPr>
                <w:b w:val="0"/>
                <w:sz w:val="18"/>
              </w:rPr>
              <w:t>0.002</w:t>
            </w:r>
          </w:p>
        </w:tc>
        <w:tc>
          <w:tcPr>
            <w:tcW w:type="dxa" w:w="1881"/>
          </w:tcPr>
          <w:p>
            <w:pPr>
              <w:spacing w:after="0"/>
            </w:pPr>
            <w:r/>
            <w:r>
              <w:rPr>
                <w:b w:val="0"/>
                <w:sz w:val="18"/>
              </w:rPr>
              <w:t>0.030</w:t>
            </w:r>
          </w:p>
        </w:tc>
      </w:tr>
      <w:tr>
        <w:tc>
          <w:tcPr>
            <w:tcW w:type="dxa" w:w="1881"/>
          </w:tcPr>
          <w:p>
            <w:pPr>
              <w:spacing w:after="0"/>
            </w:pPr>
            <w:r/>
            <w:r>
              <w:rPr>
                <w:b w:val="0"/>
                <w:sz w:val="18"/>
              </w:rPr>
              <w:t>8</w:t>
            </w:r>
          </w:p>
        </w:tc>
        <w:tc>
          <w:tcPr>
            <w:tcW w:type="dxa" w:w="1881"/>
          </w:tcPr>
          <w:p>
            <w:pPr>
              <w:spacing w:after="0"/>
            </w:pPr>
            <w:r/>
            <w:r>
              <w:rPr>
                <w:b w:val="0"/>
                <w:sz w:val="18"/>
              </w:rPr>
              <w:t>1</w:t>
            </w:r>
          </w:p>
        </w:tc>
        <w:tc>
          <w:tcPr>
            <w:tcW w:type="dxa" w:w="1881"/>
          </w:tcPr>
          <w:p>
            <w:pPr>
              <w:spacing w:after="0"/>
            </w:pPr>
            <w:r/>
            <w:r>
              <w:rPr>
                <w:b w:val="0"/>
                <w:sz w:val="18"/>
              </w:rPr>
              <w:t>2</w:t>
            </w:r>
          </w:p>
        </w:tc>
        <w:tc>
          <w:tcPr>
            <w:tcW w:type="dxa" w:w="1881"/>
          </w:tcPr>
          <w:p>
            <w:pPr>
              <w:spacing w:after="0"/>
            </w:pPr>
            <w:r/>
            <w:r>
              <w:rPr>
                <w:b w:val="0"/>
                <w:sz w:val="18"/>
              </w:rPr>
              <w:t>0.014</w:t>
            </w:r>
          </w:p>
        </w:tc>
        <w:tc>
          <w:tcPr>
            <w:tcW w:type="dxa" w:w="1881"/>
          </w:tcPr>
          <w:p>
            <w:pPr>
              <w:spacing w:after="0"/>
            </w:pPr>
            <w:r/>
            <w:r>
              <w:rPr>
                <w:b w:val="0"/>
                <w:sz w:val="18"/>
              </w:rPr>
              <w:t>0.009</w:t>
            </w:r>
          </w:p>
        </w:tc>
      </w:tr>
      <w:tr>
        <w:tc>
          <w:tcPr>
            <w:tcW w:type="dxa" w:w="1881"/>
          </w:tcPr>
          <w:p>
            <w:pPr>
              <w:spacing w:after="0"/>
            </w:pPr>
            <w:r/>
            <w:r>
              <w:rPr>
                <w:b w:val="0"/>
                <w:sz w:val="18"/>
              </w:rPr>
              <w:t>8</w:t>
            </w:r>
          </w:p>
        </w:tc>
        <w:tc>
          <w:tcPr>
            <w:tcW w:type="dxa" w:w="1881"/>
          </w:tcPr>
          <w:p>
            <w:pPr>
              <w:spacing w:after="0"/>
            </w:pPr>
            <w:r/>
            <w:r>
              <w:rPr>
                <w:b w:val="0"/>
                <w:sz w:val="18"/>
              </w:rPr>
              <w:t>10</w:t>
            </w:r>
          </w:p>
        </w:tc>
        <w:tc>
          <w:tcPr>
            <w:tcW w:type="dxa" w:w="1881"/>
          </w:tcPr>
          <w:p>
            <w:pPr>
              <w:spacing w:after="0"/>
            </w:pPr>
            <w:r/>
            <w:r>
              <w:rPr>
                <w:b w:val="0"/>
                <w:sz w:val="18"/>
              </w:rPr>
              <w:t>2</w:t>
            </w:r>
          </w:p>
        </w:tc>
        <w:tc>
          <w:tcPr>
            <w:tcW w:type="dxa" w:w="1881"/>
          </w:tcPr>
          <w:p>
            <w:pPr>
              <w:spacing w:after="0"/>
            </w:pPr>
            <w:r/>
            <w:r>
              <w:rPr>
                <w:b w:val="0"/>
                <w:sz w:val="18"/>
              </w:rPr>
              <w:t>0.014</w:t>
            </w:r>
          </w:p>
        </w:tc>
        <w:tc>
          <w:tcPr>
            <w:tcW w:type="dxa" w:w="1881"/>
          </w:tcPr>
          <w:p>
            <w:pPr>
              <w:spacing w:after="0"/>
            </w:pPr>
            <w:r/>
            <w:r>
              <w:rPr>
                <w:b w:val="0"/>
                <w:sz w:val="18"/>
              </w:rPr>
              <w:t>0.009</w:t>
            </w:r>
          </w:p>
        </w:tc>
      </w:tr>
      <w:tr>
        <w:tc>
          <w:tcPr>
            <w:tcW w:type="dxa" w:w="1881"/>
          </w:tcPr>
          <w:p>
            <w:pPr>
              <w:spacing w:after="0"/>
            </w:pPr>
            <w:r/>
            <w:r>
              <w:rPr>
                <w:b w:val="0"/>
                <w:sz w:val="18"/>
              </w:rPr>
              <w:t>8</w:t>
            </w:r>
          </w:p>
        </w:tc>
        <w:tc>
          <w:tcPr>
            <w:tcW w:type="dxa" w:w="1881"/>
          </w:tcPr>
          <w:p>
            <w:pPr>
              <w:spacing w:after="0"/>
            </w:pPr>
            <w:r/>
            <w:r>
              <w:rPr>
                <w:b w:val="0"/>
                <w:sz w:val="18"/>
              </w:rPr>
              <w:t>100</w:t>
            </w:r>
          </w:p>
        </w:tc>
        <w:tc>
          <w:tcPr>
            <w:tcW w:type="dxa" w:w="1881"/>
          </w:tcPr>
          <w:p>
            <w:pPr>
              <w:spacing w:after="0"/>
            </w:pPr>
            <w:r/>
            <w:r>
              <w:rPr>
                <w:b w:val="0"/>
                <w:sz w:val="18"/>
              </w:rPr>
              <w:t>1</w:t>
            </w:r>
          </w:p>
        </w:tc>
        <w:tc>
          <w:tcPr>
            <w:tcW w:type="dxa" w:w="1881"/>
          </w:tcPr>
          <w:p>
            <w:pPr>
              <w:spacing w:after="0"/>
            </w:pPr>
            <w:r/>
            <w:r>
              <w:rPr>
                <w:b w:val="0"/>
                <w:sz w:val="18"/>
              </w:rPr>
              <w:t>0.090</w:t>
            </w:r>
          </w:p>
        </w:tc>
        <w:tc>
          <w:tcPr>
            <w:tcW w:type="dxa" w:w="1881"/>
          </w:tcPr>
          <w:p>
            <w:pPr>
              <w:spacing w:after="0"/>
            </w:pPr>
            <w:r/>
            <w:r>
              <w:rPr>
                <w:b w:val="0"/>
                <w:sz w:val="18"/>
              </w:rPr>
              <w:t>0.002</w:t>
            </w:r>
          </w:p>
        </w:tc>
      </w:tr>
    </w:tbl>
    <w:p/>
    <w:p>
      <w:pPr>
        <w:pStyle w:val="Heading2"/>
      </w:pPr>
      <w:r>
        <w:t>3.5 What an adaptive attacker can push through</w:t>
      </w:r>
    </w:p>
    <w:p>
      <w:r>
        <w:rPr>
          <w:b/>
        </w:rPr>
        <w:t xml:space="preserve">Proposition 2 (undetected throughput). </w:t>
      </w:r>
      <w:r>
        <w:t>Under rule (2) with cutoff K and baseline mean μ₀, the per-window trigger probability p(b) = P(Poisson(μ₀+b) &gt; K) is strictly increasing in the visible rate b. For any δ ∈ (0,1), an attacker who wants the per-window trigger probability not to exceed δ must keep b ≤ b̄(δ), the unique solution of p(b) = δ. A campaign of n windows then goes untriggered with probability at most (1 − p(b))ⁿ, which falls geometrically in n unless b is held far below b̄.</w:t>
      </w:r>
    </w:p>
    <w:p>
      <w:pPr>
        <w:jc w:val="both"/>
      </w:pPr>
      <w:r>
        <w:rPr>
          <w:b w:val="0"/>
          <w:i w:val="0"/>
        </w:rPr>
        <w:t>For μ₀ = 0.5 and K = 4, b̄(0.01) = 0.78, b̄(0.05) = 1.5, and b̄(0.10) = 1.9 visible prompts per minute. A lexical rule therefore does not stop low-rate attacks; it caps the rate at which an attacker can proceed without triggering the guardrail at roughly one to two visible prompts per minute, and lexical evasion (e &gt; 0) raises the true attack rate that is compatible with a given visible rate by a factor 1/(1 − e). The screening layer should therefore be paired with rate limiting and with the output-side guardrail rather than treated as a complete defense.</w:t>
      </w:r>
    </w:p>
    <w:p>
      <w:pPr>
        <w:pStyle w:val="Heading2"/>
      </w:pPr>
      <w:r>
        <w:t>3.6 Sequential extension</w:t>
      </w:r>
    </w:p>
    <w:p>
      <w:pPr>
        <w:jc w:val="both"/>
      </w:pPr>
      <w:r>
        <w:rPr>
          <w:b w:val="0"/>
          <w:i w:val="0"/>
        </w:rPr>
        <w:t>The Shewhart rule uses one window at a time and is insensitive to small persistent shifts. A one-sided CUSUM on standardized counts, S_t = max(0, S_{t−1} + (x_t − μ_t)/σ_t − k), triggers when S_t exceeds h, where σ_t² = μ_t + μ_t²/κ. It uses the same calibrated baseline, so the NHPP/Cox calibration is the core of the design and the monitoring statistic is interchangeable. We evaluate both.</w:t>
      </w:r>
    </w:p>
    <w:p>
      <w:pPr>
        <w:pStyle w:val="Heading1"/>
      </w:pPr>
      <w:r>
        <w:t>4. Simulation Study</w:t>
      </w:r>
    </w:p>
    <w:p>
      <w:pPr>
        <w:pStyle w:val="Heading2"/>
      </w:pPr>
      <w:r>
        <w:t>4.1 Design</w:t>
      </w:r>
    </w:p>
    <w:p>
      <w:pPr>
        <w:jc w:val="both"/>
      </w:pPr>
      <w:r>
        <w:rPr>
          <w:b w:val="0"/>
          <w:i w:val="0"/>
        </w:rPr>
        <w:t>We simulate a seven-day horizon of one-minute windows (10,080 windows). Benign matches follow model (1) with λ̄₀ = 0.5 per minute, one diurnal term with γ = 0.6 (peak at 15:00), and κ = 25 (coefficient of variation of Z_t equal to 0.2). Benign traffic volume is proportional to λ₀(t). One 60-minute campaign begins at a random time each day. Attack volume per window is Poisson(a); each malicious prompt is visible to Tier 1 with probability 1 − e. The cool-down is H = 5 windows. We run R = 300 independent replications per scenario and report means over replications and campaigns. All code is deterministic given the seed. Parameters are assumptions, not estimates from a production system (see Section 6).</w:t>
      </w:r>
    </w:p>
    <w:p>
      <w:pPr>
        <w:jc w:val="both"/>
      </w:pPr>
      <w:r>
        <w:rPr>
          <w:b w:val="0"/>
          <w:i w:val="0"/>
        </w:rPr>
        <w:t>Benchmarks: (A) always-on Tier 2; (B) fixed Shewhart limit set at the average baseline (K = 4, α = 0.001 under a stationary Poisson model); (C) proposed time-varying Shewhart limit with α = 0.001 (K_th(t) ranges over 3–5 during the day); (D) CUSUM with k = 0.5 and h = 8.8, where h is calibrated so that its benign false-trigger count equals that of rule C (3.2 per week), making C and D comparable at equal false-alarm cost; (E) random sampling that routes to Tier 2 the same fraction of traffic as rule C. Metrics: coverage (share of malicious prompts that arrive while Tier 2 is active), campaign detection probability (a trigger occurs during the campaign), median detection delay in minutes, benign false triggers per week, and Tier 2 share (traffic-weighted share of volume screened by Tier 2, a proxy for capacity use). Added latency is Tier 2 share × ΔL, with ΔL = 240 ms treated as a parameter.</w:t>
      </w:r>
    </w:p>
    <w:p>
      <w:pPr>
        <w:pStyle w:val="Heading2"/>
      </w:pPr>
      <w:r>
        <w:t>4.2 Benign operation</w:t>
      </w:r>
    </w:p>
    <w:p>
      <w:pPr>
        <w:jc w:val="both"/>
      </w:pPr>
      <w:r>
        <w:rPr>
          <w:b w:val="0"/>
          <w:i w:val="0"/>
        </w:rPr>
        <w:t>With no attack, the fixed limit B produces 5.8 false triggers per week, versus 3.2 for the time-varying limit C: allowing the limit to follow the diurnal intensity removes about 45% of false triggers at the same α, because the fixed limit is too low at the afternoon peak. Tier 2 is active for 0.17% of benign traffic under C and 0.41% under B. In particular, the zero false-positive rate reported for a 30-window benign period in an earlier version of this paper reflected a sample too short to estimate a rate of 10⁻³ per window; with 10,080 windows the false triggers are measurable and not zero.</w:t>
      </w:r>
    </w:p>
    <w:p>
      <w:pPr>
        <w:pStyle w:val="Heading2"/>
      </w:pPr>
      <w:r>
        <w:t>4.3 Detection and capacity use</w:t>
      </w:r>
    </w:p>
    <w:p>
      <w:r>
        <w:rPr>
          <w:b/>
          <w:i w:val="0"/>
          <w:sz w:val="20"/>
        </w:rPr>
        <w:t>Table 2. Performance by campaign intensity a (no lexical evasion, e = 0; baseline 0.5/min; 60-min daily campaign; 300 replications). Always-on (A) has coverage 100%, Tier 2 share 100%, and added latency 240 ms.</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tcPr>
          <w:p>
            <w:pPr>
              <w:spacing w:after="0"/>
            </w:pPr>
            <w:r/>
            <w:r>
              <w:rPr>
                <w:b/>
                <w:sz w:val="18"/>
              </w:rPr>
              <w:t>a (prompts/min)</w:t>
            </w:r>
          </w:p>
        </w:tc>
        <w:tc>
          <w:tcPr>
            <w:tcW w:type="dxa" w:w="1344"/>
          </w:tcPr>
          <w:p>
            <w:pPr>
              <w:spacing w:after="0"/>
            </w:pPr>
            <w:r/>
            <w:r>
              <w:rPr>
                <w:b/>
                <w:sz w:val="18"/>
              </w:rPr>
              <w:t>Rule</w:t>
            </w:r>
          </w:p>
        </w:tc>
        <w:tc>
          <w:tcPr>
            <w:tcW w:type="dxa" w:w="1344"/>
          </w:tcPr>
          <w:p>
            <w:pPr>
              <w:spacing w:after="0"/>
            </w:pPr>
            <w:r/>
            <w:r>
              <w:rPr>
                <w:b/>
                <w:sz w:val="18"/>
              </w:rPr>
              <w:t>Coverage (%)</w:t>
            </w:r>
          </w:p>
        </w:tc>
        <w:tc>
          <w:tcPr>
            <w:tcW w:type="dxa" w:w="1344"/>
          </w:tcPr>
          <w:p>
            <w:pPr>
              <w:spacing w:after="0"/>
            </w:pPr>
            <w:r/>
            <w:r>
              <w:rPr>
                <w:b/>
                <w:sz w:val="18"/>
              </w:rPr>
              <w:t>Campaign detected (%)</w:t>
            </w:r>
          </w:p>
        </w:tc>
        <w:tc>
          <w:tcPr>
            <w:tcW w:type="dxa" w:w="1344"/>
          </w:tcPr>
          <w:p>
            <w:pPr>
              <w:spacing w:after="0"/>
            </w:pPr>
            <w:r/>
            <w:r>
              <w:rPr>
                <w:b/>
                <w:sz w:val="18"/>
              </w:rPr>
              <w:t>Median delay (min)</w:t>
            </w:r>
          </w:p>
        </w:tc>
        <w:tc>
          <w:tcPr>
            <w:tcW w:type="dxa" w:w="1344"/>
          </w:tcPr>
          <w:p>
            <w:pPr>
              <w:spacing w:after="0"/>
            </w:pPr>
            <w:r/>
            <w:r>
              <w:rPr>
                <w:b/>
                <w:sz w:val="18"/>
              </w:rPr>
              <w:t>Tier 2 share (%)</w:t>
            </w:r>
          </w:p>
        </w:tc>
        <w:tc>
          <w:tcPr>
            <w:tcW w:type="dxa" w:w="1344"/>
          </w:tcPr>
          <w:p>
            <w:pPr>
              <w:spacing w:after="0"/>
            </w:pPr>
            <w:r/>
            <w:r>
              <w:rPr>
                <w:b/>
                <w:sz w:val="18"/>
              </w:rPr>
              <w:t>Added latency (ms)</w:t>
            </w:r>
          </w:p>
        </w:tc>
      </w:tr>
      <w:tr>
        <w:tc>
          <w:tcPr>
            <w:tcW w:type="dxa" w:w="1344"/>
          </w:tcPr>
          <w:p>
            <w:pPr>
              <w:spacing w:after="0"/>
            </w:pPr>
            <w:r/>
            <w:r>
              <w:rPr>
                <w:b w:val="0"/>
                <w:sz w:val="18"/>
              </w:rPr>
              <w:t>1</w:t>
            </w:r>
          </w:p>
        </w:tc>
        <w:tc>
          <w:tcPr>
            <w:tcW w:type="dxa" w:w="1344"/>
          </w:tcPr>
          <w:p>
            <w:pPr>
              <w:spacing w:after="0"/>
            </w:pPr>
            <w:r/>
            <w:r>
              <w:rPr>
                <w:b w:val="0"/>
                <w:sz w:val="18"/>
              </w:rPr>
              <w:t>B Fixed</w:t>
            </w:r>
          </w:p>
        </w:tc>
        <w:tc>
          <w:tcPr>
            <w:tcW w:type="dxa" w:w="1344"/>
          </w:tcPr>
          <w:p>
            <w:pPr>
              <w:spacing w:after="0"/>
            </w:pPr>
            <w:r/>
            <w:r>
              <w:rPr>
                <w:b w:val="0"/>
                <w:sz w:val="18"/>
              </w:rPr>
              <w:t>9.5</w:t>
            </w:r>
          </w:p>
        </w:tc>
        <w:tc>
          <w:tcPr>
            <w:tcW w:type="dxa" w:w="1344"/>
          </w:tcPr>
          <w:p>
            <w:pPr>
              <w:spacing w:after="0"/>
            </w:pPr>
            <w:r/>
            <w:r>
              <w:rPr>
                <w:b w:val="0"/>
                <w:sz w:val="18"/>
              </w:rPr>
              <w:t>65.5</w:t>
            </w:r>
          </w:p>
        </w:tc>
        <w:tc>
          <w:tcPr>
            <w:tcW w:type="dxa" w:w="1344"/>
          </w:tcPr>
          <w:p>
            <w:pPr>
              <w:spacing w:after="0"/>
            </w:pPr>
            <w:r/>
            <w:r>
              <w:rPr>
                <w:b w:val="0"/>
                <w:sz w:val="18"/>
              </w:rPr>
              <w:t>20</w:t>
            </w:r>
          </w:p>
        </w:tc>
        <w:tc>
          <w:tcPr>
            <w:tcW w:type="dxa" w:w="1344"/>
          </w:tcPr>
          <w:p>
            <w:pPr>
              <w:spacing w:after="0"/>
            </w:pPr>
            <w:r/>
            <w:r>
              <w:rPr>
                <w:b w:val="0"/>
                <w:sz w:val="18"/>
              </w:rPr>
              <w:t>0.9</w:t>
            </w:r>
          </w:p>
        </w:tc>
        <w:tc>
          <w:tcPr>
            <w:tcW w:type="dxa" w:w="1344"/>
          </w:tcPr>
          <w:p>
            <w:pPr>
              <w:spacing w:after="0"/>
            </w:pPr>
            <w:r/>
            <w:r>
              <w:rPr>
                <w:b w:val="0"/>
                <w:sz w:val="18"/>
              </w:rPr>
              <w:t>2.2</w:t>
            </w:r>
          </w:p>
        </w:tc>
      </w:tr>
      <w:tr>
        <w:tc>
          <w:tcPr>
            <w:tcW w:type="dxa" w:w="1344"/>
          </w:tcPr>
          <w:p>
            <w:pPr>
              <w:spacing w:after="0"/>
            </w:pPr>
            <w:r/>
            <w:r>
              <w:rPr>
                <w:b w:val="0"/>
                <w:sz w:val="18"/>
              </w:rPr>
              <w:t>1</w:t>
            </w:r>
          </w:p>
        </w:tc>
        <w:tc>
          <w:tcPr>
            <w:tcW w:type="dxa" w:w="1344"/>
          </w:tcPr>
          <w:p>
            <w:pPr>
              <w:spacing w:after="0"/>
            </w:pPr>
            <w:r/>
            <w:r>
              <w:rPr>
                <w:b w:val="0"/>
                <w:sz w:val="18"/>
              </w:rPr>
              <w:t>C Time-varying</w:t>
            </w:r>
          </w:p>
        </w:tc>
        <w:tc>
          <w:tcPr>
            <w:tcW w:type="dxa" w:w="1344"/>
          </w:tcPr>
          <w:p>
            <w:pPr>
              <w:spacing w:after="0"/>
            </w:pPr>
            <w:r/>
            <w:r>
              <w:rPr>
                <w:b w:val="0"/>
                <w:sz w:val="18"/>
              </w:rPr>
              <w:t>11.1</w:t>
            </w:r>
          </w:p>
        </w:tc>
        <w:tc>
          <w:tcPr>
            <w:tcW w:type="dxa" w:w="1344"/>
          </w:tcPr>
          <w:p>
            <w:pPr>
              <w:spacing w:after="0"/>
            </w:pPr>
            <w:r/>
            <w:r>
              <w:rPr>
                <w:b w:val="0"/>
                <w:sz w:val="18"/>
              </w:rPr>
              <w:t>71.3</w:t>
            </w:r>
          </w:p>
        </w:tc>
        <w:tc>
          <w:tcPr>
            <w:tcW w:type="dxa" w:w="1344"/>
          </w:tcPr>
          <w:p>
            <w:pPr>
              <w:spacing w:after="0"/>
            </w:pPr>
            <w:r/>
            <w:r>
              <w:rPr>
                <w:b w:val="0"/>
                <w:sz w:val="18"/>
              </w:rPr>
              <w:t>18</w:t>
            </w:r>
          </w:p>
        </w:tc>
        <w:tc>
          <w:tcPr>
            <w:tcW w:type="dxa" w:w="1344"/>
          </w:tcPr>
          <w:p>
            <w:pPr>
              <w:spacing w:after="0"/>
            </w:pPr>
            <w:r/>
            <w:r>
              <w:rPr>
                <w:b w:val="0"/>
                <w:sz w:val="18"/>
              </w:rPr>
              <w:t>0.6</w:t>
            </w:r>
          </w:p>
        </w:tc>
        <w:tc>
          <w:tcPr>
            <w:tcW w:type="dxa" w:w="1344"/>
          </w:tcPr>
          <w:p>
            <w:pPr>
              <w:spacing w:after="0"/>
            </w:pPr>
            <w:r/>
            <w:r>
              <w:rPr>
                <w:b w:val="0"/>
                <w:sz w:val="18"/>
              </w:rPr>
              <w:t>1.4</w:t>
            </w:r>
          </w:p>
        </w:tc>
      </w:tr>
      <w:tr>
        <w:tc>
          <w:tcPr>
            <w:tcW w:type="dxa" w:w="1344"/>
          </w:tcPr>
          <w:p>
            <w:pPr>
              <w:spacing w:after="0"/>
            </w:pPr>
            <w:r/>
            <w:r>
              <w:rPr>
                <w:b w:val="0"/>
                <w:sz w:val="18"/>
              </w:rPr>
              <w:t>1</w:t>
            </w:r>
          </w:p>
        </w:tc>
        <w:tc>
          <w:tcPr>
            <w:tcW w:type="dxa" w:w="1344"/>
          </w:tcPr>
          <w:p>
            <w:pPr>
              <w:spacing w:after="0"/>
            </w:pPr>
            <w:r/>
            <w:r>
              <w:rPr>
                <w:b w:val="0"/>
                <w:sz w:val="18"/>
              </w:rPr>
              <w:t>D CUSUM</w:t>
            </w:r>
          </w:p>
        </w:tc>
        <w:tc>
          <w:tcPr>
            <w:tcW w:type="dxa" w:w="1344"/>
          </w:tcPr>
          <w:p>
            <w:pPr>
              <w:spacing w:after="0"/>
            </w:pPr>
            <w:r/>
            <w:r>
              <w:rPr>
                <w:b w:val="0"/>
                <w:sz w:val="18"/>
              </w:rPr>
              <w:t>43.7</w:t>
            </w:r>
          </w:p>
        </w:tc>
        <w:tc>
          <w:tcPr>
            <w:tcW w:type="dxa" w:w="1344"/>
          </w:tcPr>
          <w:p>
            <w:pPr>
              <w:spacing w:after="0"/>
            </w:pPr>
            <w:r/>
            <w:r>
              <w:rPr>
                <w:b w:val="0"/>
                <w:sz w:val="18"/>
              </w:rPr>
              <w:t>100.0</w:t>
            </w:r>
          </w:p>
        </w:tc>
        <w:tc>
          <w:tcPr>
            <w:tcW w:type="dxa" w:w="1344"/>
          </w:tcPr>
          <w:p>
            <w:pPr>
              <w:spacing w:after="0"/>
            </w:pPr>
            <w:r/>
            <w:r>
              <w:rPr>
                <w:b w:val="0"/>
                <w:sz w:val="18"/>
              </w:rPr>
              <w:t>9</w:t>
            </w:r>
          </w:p>
        </w:tc>
        <w:tc>
          <w:tcPr>
            <w:tcW w:type="dxa" w:w="1344"/>
          </w:tcPr>
          <w:p>
            <w:pPr>
              <w:spacing w:after="0"/>
            </w:pPr>
            <w:r/>
            <w:r>
              <w:rPr>
                <w:b w:val="0"/>
                <w:sz w:val="18"/>
              </w:rPr>
              <w:t>1.9</w:t>
            </w:r>
          </w:p>
        </w:tc>
        <w:tc>
          <w:tcPr>
            <w:tcW w:type="dxa" w:w="1344"/>
          </w:tcPr>
          <w:p>
            <w:pPr>
              <w:spacing w:after="0"/>
            </w:pPr>
            <w:r/>
            <w:r>
              <w:rPr>
                <w:b w:val="0"/>
                <w:sz w:val="18"/>
              </w:rPr>
              <w:t>4.6</w:t>
            </w:r>
          </w:p>
        </w:tc>
      </w:tr>
      <w:tr>
        <w:tc>
          <w:tcPr>
            <w:tcW w:type="dxa" w:w="1344"/>
          </w:tcPr>
          <w:p>
            <w:pPr>
              <w:spacing w:after="0"/>
            </w:pPr>
            <w:r/>
            <w:r>
              <w:rPr>
                <w:b w:val="0"/>
                <w:sz w:val="18"/>
              </w:rPr>
              <w:t>1</w:t>
            </w:r>
          </w:p>
        </w:tc>
        <w:tc>
          <w:tcPr>
            <w:tcW w:type="dxa" w:w="1344"/>
          </w:tcPr>
          <w:p>
            <w:pPr>
              <w:spacing w:after="0"/>
            </w:pPr>
            <w:r/>
            <w:r>
              <w:rPr>
                <w:b w:val="0"/>
                <w:sz w:val="18"/>
              </w:rPr>
              <w:t>E Random</w:t>
            </w:r>
          </w:p>
        </w:tc>
        <w:tc>
          <w:tcPr>
            <w:tcW w:type="dxa" w:w="1344"/>
          </w:tcPr>
          <w:p>
            <w:pPr>
              <w:spacing w:after="0"/>
            </w:pPr>
            <w:r/>
            <w:r>
              <w:rPr>
                <w:b w:val="0"/>
                <w:sz w:val="18"/>
              </w:rPr>
              <w:t>0.6</w:t>
            </w:r>
          </w:p>
        </w:tc>
        <w:tc>
          <w:tcPr>
            <w:tcW w:type="dxa" w:w="1344"/>
          </w:tcPr>
          <w:p>
            <w:pPr>
              <w:spacing w:after="0"/>
            </w:pPr>
            <w:r/>
            <w:r>
              <w:rPr>
                <w:b w:val="0"/>
                <w:sz w:val="18"/>
              </w:rPr>
              <w:t>—</w:t>
            </w:r>
          </w:p>
        </w:tc>
        <w:tc>
          <w:tcPr>
            <w:tcW w:type="dxa" w:w="1344"/>
          </w:tcPr>
          <w:p>
            <w:pPr>
              <w:spacing w:after="0"/>
            </w:pPr>
            <w:r/>
            <w:r>
              <w:rPr>
                <w:b w:val="0"/>
                <w:sz w:val="18"/>
              </w:rPr>
              <w:t>—</w:t>
            </w:r>
          </w:p>
        </w:tc>
        <w:tc>
          <w:tcPr>
            <w:tcW w:type="dxa" w:w="1344"/>
          </w:tcPr>
          <w:p>
            <w:pPr>
              <w:spacing w:after="0"/>
            </w:pPr>
            <w:r/>
            <w:r>
              <w:rPr>
                <w:b w:val="0"/>
                <w:sz w:val="18"/>
              </w:rPr>
              <w:t>0.6</w:t>
            </w:r>
          </w:p>
        </w:tc>
        <w:tc>
          <w:tcPr>
            <w:tcW w:type="dxa" w:w="1344"/>
          </w:tcPr>
          <w:p>
            <w:pPr>
              <w:spacing w:after="0"/>
            </w:pPr>
            <w:r/>
            <w:r>
              <w:rPr>
                <w:b w:val="0"/>
                <w:sz w:val="18"/>
              </w:rPr>
              <w:t>1.4</w:t>
            </w:r>
          </w:p>
        </w:tc>
      </w:tr>
      <w:tr>
        <w:tc>
          <w:tcPr>
            <w:tcW w:type="dxa" w:w="1344"/>
          </w:tcPr>
          <w:p>
            <w:pPr>
              <w:spacing w:after="0"/>
            </w:pPr>
            <w:r/>
            <w:r>
              <w:rPr>
                <w:b w:val="0"/>
                <w:sz w:val="18"/>
              </w:rPr>
              <w:t>2</w:t>
            </w:r>
          </w:p>
        </w:tc>
        <w:tc>
          <w:tcPr>
            <w:tcW w:type="dxa" w:w="1344"/>
          </w:tcPr>
          <w:p>
            <w:pPr>
              <w:spacing w:after="0"/>
            </w:pPr>
            <w:r/>
            <w:r>
              <w:rPr>
                <w:b w:val="0"/>
                <w:sz w:val="18"/>
              </w:rPr>
              <w:t>B Fixed</w:t>
            </w:r>
          </w:p>
        </w:tc>
        <w:tc>
          <w:tcPr>
            <w:tcW w:type="dxa" w:w="1344"/>
          </w:tcPr>
          <w:p>
            <w:pPr>
              <w:spacing w:after="0"/>
            </w:pPr>
            <w:r/>
            <w:r>
              <w:rPr>
                <w:b w:val="0"/>
                <w:sz w:val="18"/>
              </w:rPr>
              <w:t>42.1</w:t>
            </w:r>
          </w:p>
        </w:tc>
        <w:tc>
          <w:tcPr>
            <w:tcW w:type="dxa" w:w="1344"/>
          </w:tcPr>
          <w:p>
            <w:pPr>
              <w:spacing w:after="0"/>
            </w:pPr>
            <w:r/>
            <w:r>
              <w:rPr>
                <w:b w:val="0"/>
                <w:sz w:val="18"/>
              </w:rPr>
              <w:t>99.7</w:t>
            </w:r>
          </w:p>
        </w:tc>
        <w:tc>
          <w:tcPr>
            <w:tcW w:type="dxa" w:w="1344"/>
          </w:tcPr>
          <w:p>
            <w:pPr>
              <w:spacing w:after="0"/>
            </w:pPr>
            <w:r/>
            <w:r>
              <w:rPr>
                <w:b w:val="0"/>
                <w:sz w:val="18"/>
              </w:rPr>
              <w:t>6</w:t>
            </w:r>
          </w:p>
        </w:tc>
        <w:tc>
          <w:tcPr>
            <w:tcW w:type="dxa" w:w="1344"/>
          </w:tcPr>
          <w:p>
            <w:pPr>
              <w:spacing w:after="0"/>
            </w:pPr>
            <w:r/>
            <w:r>
              <w:rPr>
                <w:b w:val="0"/>
                <w:sz w:val="18"/>
              </w:rPr>
              <w:t>2.4</w:t>
            </w:r>
          </w:p>
        </w:tc>
        <w:tc>
          <w:tcPr>
            <w:tcW w:type="dxa" w:w="1344"/>
          </w:tcPr>
          <w:p>
            <w:pPr>
              <w:spacing w:after="0"/>
            </w:pPr>
            <w:r/>
            <w:r>
              <w:rPr>
                <w:b w:val="0"/>
                <w:sz w:val="18"/>
              </w:rPr>
              <w:t>5.8</w:t>
            </w:r>
          </w:p>
        </w:tc>
      </w:tr>
      <w:tr>
        <w:tc>
          <w:tcPr>
            <w:tcW w:type="dxa" w:w="1344"/>
          </w:tcPr>
          <w:p>
            <w:pPr>
              <w:spacing w:after="0"/>
            </w:pPr>
            <w:r/>
            <w:r>
              <w:rPr>
                <w:b w:val="0"/>
                <w:sz w:val="18"/>
              </w:rPr>
              <w:t>2</w:t>
            </w:r>
          </w:p>
        </w:tc>
        <w:tc>
          <w:tcPr>
            <w:tcW w:type="dxa" w:w="1344"/>
          </w:tcPr>
          <w:p>
            <w:pPr>
              <w:spacing w:after="0"/>
            </w:pPr>
            <w:r/>
            <w:r>
              <w:rPr>
                <w:b w:val="0"/>
                <w:sz w:val="18"/>
              </w:rPr>
              <w:t>C Time-varying</w:t>
            </w:r>
          </w:p>
        </w:tc>
        <w:tc>
          <w:tcPr>
            <w:tcW w:type="dxa" w:w="1344"/>
          </w:tcPr>
          <w:p>
            <w:pPr>
              <w:spacing w:after="0"/>
            </w:pPr>
            <w:r/>
            <w:r>
              <w:rPr>
                <w:b w:val="0"/>
                <w:sz w:val="18"/>
              </w:rPr>
              <w:t>45.9</w:t>
            </w:r>
          </w:p>
        </w:tc>
        <w:tc>
          <w:tcPr>
            <w:tcW w:type="dxa" w:w="1344"/>
          </w:tcPr>
          <w:p>
            <w:pPr>
              <w:spacing w:after="0"/>
            </w:pPr>
            <w:r/>
            <w:r>
              <w:rPr>
                <w:b w:val="0"/>
                <w:sz w:val="18"/>
              </w:rPr>
              <w:t>99.4</w:t>
            </w:r>
          </w:p>
        </w:tc>
        <w:tc>
          <w:tcPr>
            <w:tcW w:type="dxa" w:w="1344"/>
          </w:tcPr>
          <w:p>
            <w:pPr>
              <w:spacing w:after="0"/>
            </w:pPr>
            <w:r/>
            <w:r>
              <w:rPr>
                <w:b w:val="0"/>
                <w:sz w:val="18"/>
              </w:rPr>
              <w:t>6</w:t>
            </w:r>
          </w:p>
        </w:tc>
        <w:tc>
          <w:tcPr>
            <w:tcW w:type="dxa" w:w="1344"/>
          </w:tcPr>
          <w:p>
            <w:pPr>
              <w:spacing w:after="0"/>
            </w:pPr>
            <w:r/>
            <w:r>
              <w:rPr>
                <w:b w:val="0"/>
                <w:sz w:val="18"/>
              </w:rPr>
              <w:t>2.0</w:t>
            </w:r>
          </w:p>
        </w:tc>
        <w:tc>
          <w:tcPr>
            <w:tcW w:type="dxa" w:w="1344"/>
          </w:tcPr>
          <w:p>
            <w:pPr>
              <w:spacing w:after="0"/>
            </w:pPr>
            <w:r/>
            <w:r>
              <w:rPr>
                <w:b w:val="0"/>
                <w:sz w:val="18"/>
              </w:rPr>
              <w:t>4.8</w:t>
            </w:r>
          </w:p>
        </w:tc>
      </w:tr>
      <w:tr>
        <w:tc>
          <w:tcPr>
            <w:tcW w:type="dxa" w:w="1344"/>
          </w:tcPr>
          <w:p>
            <w:pPr>
              <w:spacing w:after="0"/>
            </w:pPr>
            <w:r/>
            <w:r>
              <w:rPr>
                <w:b w:val="0"/>
                <w:sz w:val="18"/>
              </w:rPr>
              <w:t>2</w:t>
            </w:r>
          </w:p>
        </w:tc>
        <w:tc>
          <w:tcPr>
            <w:tcW w:type="dxa" w:w="1344"/>
          </w:tcPr>
          <w:p>
            <w:pPr>
              <w:spacing w:after="0"/>
            </w:pPr>
            <w:r/>
            <w:r>
              <w:rPr>
                <w:b w:val="0"/>
                <w:sz w:val="18"/>
              </w:rPr>
              <w:t>D CUSUM</w:t>
            </w:r>
          </w:p>
        </w:tc>
        <w:tc>
          <w:tcPr>
            <w:tcW w:type="dxa" w:w="1344"/>
          </w:tcPr>
          <w:p>
            <w:pPr>
              <w:spacing w:after="0"/>
            </w:pPr>
            <w:r/>
            <w:r>
              <w:rPr>
                <w:b w:val="0"/>
                <w:sz w:val="18"/>
              </w:rPr>
              <w:t>80.9</w:t>
            </w:r>
          </w:p>
        </w:tc>
        <w:tc>
          <w:tcPr>
            <w:tcW w:type="dxa" w:w="1344"/>
          </w:tcPr>
          <w:p>
            <w:pPr>
              <w:spacing w:after="0"/>
            </w:pPr>
            <w:r/>
            <w:r>
              <w:rPr>
                <w:b w:val="0"/>
                <w:sz w:val="18"/>
              </w:rPr>
              <w:t>100.0</w:t>
            </w:r>
          </w:p>
        </w:tc>
        <w:tc>
          <w:tcPr>
            <w:tcW w:type="dxa" w:w="1344"/>
          </w:tcPr>
          <w:p>
            <w:pPr>
              <w:spacing w:after="0"/>
            </w:pPr>
            <w:r/>
            <w:r>
              <w:rPr>
                <w:b w:val="0"/>
                <w:sz w:val="18"/>
              </w:rPr>
              <w:t>4</w:t>
            </w:r>
          </w:p>
        </w:tc>
        <w:tc>
          <w:tcPr>
            <w:tcW w:type="dxa" w:w="1344"/>
          </w:tcPr>
          <w:p>
            <w:pPr>
              <w:spacing w:after="0"/>
            </w:pPr>
            <w:r/>
            <w:r>
              <w:rPr>
                <w:b w:val="0"/>
                <w:sz w:val="18"/>
              </w:rPr>
              <w:t>3.6</w:t>
            </w:r>
          </w:p>
        </w:tc>
        <w:tc>
          <w:tcPr>
            <w:tcW w:type="dxa" w:w="1344"/>
          </w:tcPr>
          <w:p>
            <w:pPr>
              <w:spacing w:after="0"/>
            </w:pPr>
            <w:r/>
            <w:r>
              <w:rPr>
                <w:b w:val="0"/>
                <w:sz w:val="18"/>
              </w:rPr>
              <w:t>8.6</w:t>
            </w:r>
          </w:p>
        </w:tc>
      </w:tr>
      <w:tr>
        <w:tc>
          <w:tcPr>
            <w:tcW w:type="dxa" w:w="1344"/>
          </w:tcPr>
          <w:p>
            <w:pPr>
              <w:spacing w:after="0"/>
            </w:pPr>
            <w:r/>
            <w:r>
              <w:rPr>
                <w:b w:val="0"/>
                <w:sz w:val="18"/>
              </w:rPr>
              <w:t>2</w:t>
            </w:r>
          </w:p>
        </w:tc>
        <w:tc>
          <w:tcPr>
            <w:tcW w:type="dxa" w:w="1344"/>
          </w:tcPr>
          <w:p>
            <w:pPr>
              <w:spacing w:after="0"/>
            </w:pPr>
            <w:r/>
            <w:r>
              <w:rPr>
                <w:b w:val="0"/>
                <w:sz w:val="18"/>
              </w:rPr>
              <w:t>E Random</w:t>
            </w:r>
          </w:p>
        </w:tc>
        <w:tc>
          <w:tcPr>
            <w:tcW w:type="dxa" w:w="1344"/>
          </w:tcPr>
          <w:p>
            <w:pPr>
              <w:spacing w:after="0"/>
            </w:pPr>
            <w:r/>
            <w:r>
              <w:rPr>
                <w:b w:val="0"/>
                <w:sz w:val="18"/>
              </w:rPr>
              <w:t>2.0</w:t>
            </w:r>
          </w:p>
        </w:tc>
        <w:tc>
          <w:tcPr>
            <w:tcW w:type="dxa" w:w="1344"/>
          </w:tcPr>
          <w:p>
            <w:pPr>
              <w:spacing w:after="0"/>
            </w:pPr>
            <w:r/>
            <w:r>
              <w:rPr>
                <w:b w:val="0"/>
                <w:sz w:val="18"/>
              </w:rPr>
              <w:t>—</w:t>
            </w:r>
          </w:p>
        </w:tc>
        <w:tc>
          <w:tcPr>
            <w:tcW w:type="dxa" w:w="1344"/>
          </w:tcPr>
          <w:p>
            <w:pPr>
              <w:spacing w:after="0"/>
            </w:pPr>
            <w:r/>
            <w:r>
              <w:rPr>
                <w:b w:val="0"/>
                <w:sz w:val="18"/>
              </w:rPr>
              <w:t>—</w:t>
            </w:r>
          </w:p>
        </w:tc>
        <w:tc>
          <w:tcPr>
            <w:tcW w:type="dxa" w:w="1344"/>
          </w:tcPr>
          <w:p>
            <w:pPr>
              <w:spacing w:after="0"/>
            </w:pPr>
            <w:r/>
            <w:r>
              <w:rPr>
                <w:b w:val="0"/>
                <w:sz w:val="18"/>
              </w:rPr>
              <w:t>2.0</w:t>
            </w:r>
          </w:p>
        </w:tc>
        <w:tc>
          <w:tcPr>
            <w:tcW w:type="dxa" w:w="1344"/>
          </w:tcPr>
          <w:p>
            <w:pPr>
              <w:spacing w:after="0"/>
            </w:pPr>
            <w:r/>
            <w:r>
              <w:rPr>
                <w:b w:val="0"/>
                <w:sz w:val="18"/>
              </w:rPr>
              <w:t>4.8</w:t>
            </w:r>
          </w:p>
        </w:tc>
      </w:tr>
      <w:tr>
        <w:tc>
          <w:tcPr>
            <w:tcW w:type="dxa" w:w="1344"/>
          </w:tcPr>
          <w:p>
            <w:pPr>
              <w:spacing w:after="0"/>
            </w:pPr>
            <w:r/>
            <w:r>
              <w:rPr>
                <w:b w:val="0"/>
                <w:sz w:val="18"/>
              </w:rPr>
              <w:t>4</w:t>
            </w:r>
          </w:p>
        </w:tc>
        <w:tc>
          <w:tcPr>
            <w:tcW w:type="dxa" w:w="1344"/>
          </w:tcPr>
          <w:p>
            <w:pPr>
              <w:spacing w:after="0"/>
            </w:pPr>
            <w:r/>
            <w:r>
              <w:rPr>
                <w:b w:val="0"/>
                <w:sz w:val="18"/>
              </w:rPr>
              <w:t>B Fixed</w:t>
            </w:r>
          </w:p>
        </w:tc>
        <w:tc>
          <w:tcPr>
            <w:tcW w:type="dxa" w:w="1344"/>
          </w:tcPr>
          <w:p>
            <w:pPr>
              <w:spacing w:after="0"/>
            </w:pPr>
            <w:r/>
            <w:r>
              <w:rPr>
                <w:b w:val="0"/>
                <w:sz w:val="18"/>
              </w:rPr>
              <w:t>92.3</w:t>
            </w:r>
          </w:p>
        </w:tc>
        <w:tc>
          <w:tcPr>
            <w:tcW w:type="dxa" w:w="1344"/>
          </w:tcPr>
          <w:p>
            <w:pPr>
              <w:spacing w:after="0"/>
            </w:pPr>
            <w:r/>
            <w:r>
              <w:rPr>
                <w:b w:val="0"/>
                <w:sz w:val="18"/>
              </w:rPr>
              <w:t>100.0</w:t>
            </w:r>
          </w:p>
        </w:tc>
        <w:tc>
          <w:tcPr>
            <w:tcW w:type="dxa" w:w="1344"/>
          </w:tcPr>
          <w:p>
            <w:pPr>
              <w:spacing w:after="0"/>
            </w:pPr>
            <w:r/>
            <w:r>
              <w:rPr>
                <w:b w:val="0"/>
                <w:sz w:val="18"/>
              </w:rPr>
              <w:t>2</w:t>
            </w:r>
          </w:p>
        </w:tc>
        <w:tc>
          <w:tcPr>
            <w:tcW w:type="dxa" w:w="1344"/>
          </w:tcPr>
          <w:p>
            <w:pPr>
              <w:spacing w:after="0"/>
            </w:pPr>
            <w:r/>
            <w:r>
              <w:rPr>
                <w:b w:val="0"/>
                <w:sz w:val="18"/>
              </w:rPr>
              <w:t>4.7</w:t>
            </w:r>
          </w:p>
        </w:tc>
        <w:tc>
          <w:tcPr>
            <w:tcW w:type="dxa" w:w="1344"/>
          </w:tcPr>
          <w:p>
            <w:pPr>
              <w:spacing w:after="0"/>
            </w:pPr>
            <w:r/>
            <w:r>
              <w:rPr>
                <w:b w:val="0"/>
                <w:sz w:val="18"/>
              </w:rPr>
              <w:t>11.3</w:t>
            </w:r>
          </w:p>
        </w:tc>
      </w:tr>
      <w:tr>
        <w:tc>
          <w:tcPr>
            <w:tcW w:type="dxa" w:w="1344"/>
          </w:tcPr>
          <w:p>
            <w:pPr>
              <w:spacing w:after="0"/>
            </w:pPr>
            <w:r/>
            <w:r>
              <w:rPr>
                <w:b w:val="0"/>
                <w:sz w:val="18"/>
              </w:rPr>
              <w:t>4</w:t>
            </w:r>
          </w:p>
        </w:tc>
        <w:tc>
          <w:tcPr>
            <w:tcW w:type="dxa" w:w="1344"/>
          </w:tcPr>
          <w:p>
            <w:pPr>
              <w:spacing w:after="0"/>
            </w:pPr>
            <w:r/>
            <w:r>
              <w:rPr>
                <w:b w:val="0"/>
                <w:sz w:val="18"/>
              </w:rPr>
              <w:t>C Time-varying</w:t>
            </w:r>
          </w:p>
        </w:tc>
        <w:tc>
          <w:tcPr>
            <w:tcW w:type="dxa" w:w="1344"/>
          </w:tcPr>
          <w:p>
            <w:pPr>
              <w:spacing w:after="0"/>
            </w:pPr>
            <w:r/>
            <w:r>
              <w:rPr>
                <w:b w:val="0"/>
                <w:sz w:val="18"/>
              </w:rPr>
              <w:t>91.7</w:t>
            </w:r>
          </w:p>
        </w:tc>
        <w:tc>
          <w:tcPr>
            <w:tcW w:type="dxa" w:w="1344"/>
          </w:tcPr>
          <w:p>
            <w:pPr>
              <w:spacing w:after="0"/>
            </w:pPr>
            <w:r/>
            <w:r>
              <w:rPr>
                <w:b w:val="0"/>
                <w:sz w:val="18"/>
              </w:rPr>
              <w:t>100.0</w:t>
            </w:r>
          </w:p>
        </w:tc>
        <w:tc>
          <w:tcPr>
            <w:tcW w:type="dxa" w:w="1344"/>
          </w:tcPr>
          <w:p>
            <w:pPr>
              <w:spacing w:after="0"/>
            </w:pPr>
            <w:r/>
            <w:r>
              <w:rPr>
                <w:b w:val="0"/>
                <w:sz w:val="18"/>
              </w:rPr>
              <w:t>2</w:t>
            </w:r>
          </w:p>
        </w:tc>
        <w:tc>
          <w:tcPr>
            <w:tcW w:type="dxa" w:w="1344"/>
          </w:tcPr>
          <w:p>
            <w:pPr>
              <w:spacing w:after="0"/>
            </w:pPr>
            <w:r/>
            <w:r>
              <w:rPr>
                <w:b w:val="0"/>
                <w:sz w:val="18"/>
              </w:rPr>
              <w:t>4.3</w:t>
            </w:r>
          </w:p>
        </w:tc>
        <w:tc>
          <w:tcPr>
            <w:tcW w:type="dxa" w:w="1344"/>
          </w:tcPr>
          <w:p>
            <w:pPr>
              <w:spacing w:after="0"/>
            </w:pPr>
            <w:r/>
            <w:r>
              <w:rPr>
                <w:b w:val="0"/>
                <w:sz w:val="18"/>
              </w:rPr>
              <w:t>10.3</w:t>
            </w:r>
          </w:p>
        </w:tc>
      </w:tr>
      <w:tr>
        <w:tc>
          <w:tcPr>
            <w:tcW w:type="dxa" w:w="1344"/>
          </w:tcPr>
          <w:p>
            <w:pPr>
              <w:spacing w:after="0"/>
            </w:pPr>
            <w:r/>
            <w:r>
              <w:rPr>
                <w:b w:val="0"/>
                <w:sz w:val="18"/>
              </w:rPr>
              <w:t>4</w:t>
            </w:r>
          </w:p>
        </w:tc>
        <w:tc>
          <w:tcPr>
            <w:tcW w:type="dxa" w:w="1344"/>
          </w:tcPr>
          <w:p>
            <w:pPr>
              <w:spacing w:after="0"/>
            </w:pPr>
            <w:r/>
            <w:r>
              <w:rPr>
                <w:b w:val="0"/>
                <w:sz w:val="18"/>
              </w:rPr>
              <w:t>D CUSUM</w:t>
            </w:r>
          </w:p>
        </w:tc>
        <w:tc>
          <w:tcPr>
            <w:tcW w:type="dxa" w:w="1344"/>
          </w:tcPr>
          <w:p>
            <w:pPr>
              <w:spacing w:after="0"/>
            </w:pPr>
            <w:r/>
            <w:r>
              <w:rPr>
                <w:b w:val="0"/>
                <w:sz w:val="18"/>
              </w:rPr>
              <w:t>96.0</w:t>
            </w:r>
          </w:p>
        </w:tc>
        <w:tc>
          <w:tcPr>
            <w:tcW w:type="dxa" w:w="1344"/>
          </w:tcPr>
          <w:p>
            <w:pPr>
              <w:spacing w:after="0"/>
            </w:pPr>
            <w:r/>
            <w:r>
              <w:rPr>
                <w:b w:val="0"/>
                <w:sz w:val="18"/>
              </w:rPr>
              <w:t>100.0</w:t>
            </w:r>
          </w:p>
        </w:tc>
        <w:tc>
          <w:tcPr>
            <w:tcW w:type="dxa" w:w="1344"/>
          </w:tcPr>
          <w:p>
            <w:pPr>
              <w:spacing w:after="0"/>
            </w:pPr>
            <w:r/>
            <w:r>
              <w:rPr>
                <w:b w:val="0"/>
                <w:sz w:val="18"/>
              </w:rPr>
              <w:t>2</w:t>
            </w:r>
          </w:p>
        </w:tc>
        <w:tc>
          <w:tcPr>
            <w:tcW w:type="dxa" w:w="1344"/>
          </w:tcPr>
          <w:p>
            <w:pPr>
              <w:spacing w:after="0"/>
            </w:pPr>
            <w:r/>
            <w:r>
              <w:rPr>
                <w:b w:val="0"/>
                <w:sz w:val="18"/>
              </w:rPr>
              <w:t>4.5</w:t>
            </w:r>
          </w:p>
        </w:tc>
        <w:tc>
          <w:tcPr>
            <w:tcW w:type="dxa" w:w="1344"/>
          </w:tcPr>
          <w:p>
            <w:pPr>
              <w:spacing w:after="0"/>
            </w:pPr>
            <w:r/>
            <w:r>
              <w:rPr>
                <w:b w:val="0"/>
                <w:sz w:val="18"/>
              </w:rPr>
              <w:t>10.8</w:t>
            </w:r>
          </w:p>
        </w:tc>
      </w:tr>
      <w:tr>
        <w:tc>
          <w:tcPr>
            <w:tcW w:type="dxa" w:w="1344"/>
          </w:tcPr>
          <w:p>
            <w:pPr>
              <w:spacing w:after="0"/>
            </w:pPr>
            <w:r/>
            <w:r>
              <w:rPr>
                <w:b w:val="0"/>
                <w:sz w:val="18"/>
              </w:rPr>
              <w:t>4</w:t>
            </w:r>
          </w:p>
        </w:tc>
        <w:tc>
          <w:tcPr>
            <w:tcW w:type="dxa" w:w="1344"/>
          </w:tcPr>
          <w:p>
            <w:pPr>
              <w:spacing w:after="0"/>
            </w:pPr>
            <w:r/>
            <w:r>
              <w:rPr>
                <w:b w:val="0"/>
                <w:sz w:val="18"/>
              </w:rPr>
              <w:t>E Random</w:t>
            </w:r>
          </w:p>
        </w:tc>
        <w:tc>
          <w:tcPr>
            <w:tcW w:type="dxa" w:w="1344"/>
          </w:tcPr>
          <w:p>
            <w:pPr>
              <w:spacing w:after="0"/>
            </w:pPr>
            <w:r/>
            <w:r>
              <w:rPr>
                <w:b w:val="0"/>
                <w:sz w:val="18"/>
              </w:rPr>
              <w:t>4.3</w:t>
            </w:r>
          </w:p>
        </w:tc>
        <w:tc>
          <w:tcPr>
            <w:tcW w:type="dxa" w:w="1344"/>
          </w:tcPr>
          <w:p>
            <w:pPr>
              <w:spacing w:after="0"/>
            </w:pPr>
            <w:r/>
            <w:r>
              <w:rPr>
                <w:b w:val="0"/>
                <w:sz w:val="18"/>
              </w:rPr>
              <w:t>—</w:t>
            </w:r>
          </w:p>
        </w:tc>
        <w:tc>
          <w:tcPr>
            <w:tcW w:type="dxa" w:w="1344"/>
          </w:tcPr>
          <w:p>
            <w:pPr>
              <w:spacing w:after="0"/>
            </w:pPr>
            <w:r/>
            <w:r>
              <w:rPr>
                <w:b w:val="0"/>
                <w:sz w:val="18"/>
              </w:rPr>
              <w:t>—</w:t>
            </w:r>
          </w:p>
        </w:tc>
        <w:tc>
          <w:tcPr>
            <w:tcW w:type="dxa" w:w="1344"/>
          </w:tcPr>
          <w:p>
            <w:pPr>
              <w:spacing w:after="0"/>
            </w:pPr>
            <w:r/>
            <w:r>
              <w:rPr>
                <w:b w:val="0"/>
                <w:sz w:val="18"/>
              </w:rPr>
              <w:t>4.3</w:t>
            </w:r>
          </w:p>
        </w:tc>
        <w:tc>
          <w:tcPr>
            <w:tcW w:type="dxa" w:w="1344"/>
          </w:tcPr>
          <w:p>
            <w:pPr>
              <w:spacing w:after="0"/>
            </w:pPr>
            <w:r/>
            <w:r>
              <w:rPr>
                <w:b w:val="0"/>
                <w:sz w:val="18"/>
              </w:rPr>
              <w:t>10.3</w:t>
            </w:r>
          </w:p>
        </w:tc>
      </w:tr>
      <w:tr>
        <w:tc>
          <w:tcPr>
            <w:tcW w:type="dxa" w:w="1344"/>
          </w:tcPr>
          <w:p>
            <w:pPr>
              <w:spacing w:after="0"/>
            </w:pPr>
            <w:r/>
            <w:r>
              <w:rPr>
                <w:b w:val="0"/>
                <w:sz w:val="18"/>
              </w:rPr>
              <w:t>8</w:t>
            </w:r>
          </w:p>
        </w:tc>
        <w:tc>
          <w:tcPr>
            <w:tcW w:type="dxa" w:w="1344"/>
          </w:tcPr>
          <w:p>
            <w:pPr>
              <w:spacing w:after="0"/>
            </w:pPr>
            <w:r/>
            <w:r>
              <w:rPr>
                <w:b w:val="0"/>
                <w:sz w:val="18"/>
              </w:rPr>
              <w:t>B Fixed</w:t>
            </w:r>
          </w:p>
        </w:tc>
        <w:tc>
          <w:tcPr>
            <w:tcW w:type="dxa" w:w="1344"/>
          </w:tcPr>
          <w:p>
            <w:pPr>
              <w:spacing w:after="0"/>
            </w:pPr>
            <w:r/>
            <w:r>
              <w:rPr>
                <w:b w:val="0"/>
                <w:sz w:val="18"/>
              </w:rPr>
              <w:t>98.2</w:t>
            </w:r>
          </w:p>
        </w:tc>
        <w:tc>
          <w:tcPr>
            <w:tcW w:type="dxa" w:w="1344"/>
          </w:tcPr>
          <w:p>
            <w:pPr>
              <w:spacing w:after="0"/>
            </w:pPr>
            <w:r/>
            <w:r>
              <w:rPr>
                <w:b w:val="0"/>
                <w:sz w:val="18"/>
              </w:rPr>
              <w:t>100.0</w:t>
            </w:r>
          </w:p>
        </w:tc>
        <w:tc>
          <w:tcPr>
            <w:tcW w:type="dxa" w:w="1344"/>
          </w:tcPr>
          <w:p>
            <w:pPr>
              <w:spacing w:after="0"/>
            </w:pPr>
            <w:r/>
            <w:r>
              <w:rPr>
                <w:b w:val="0"/>
                <w:sz w:val="18"/>
              </w:rPr>
              <w:t>1</w:t>
            </w:r>
          </w:p>
        </w:tc>
        <w:tc>
          <w:tcPr>
            <w:tcW w:type="dxa" w:w="1344"/>
          </w:tcPr>
          <w:p>
            <w:pPr>
              <w:spacing w:after="0"/>
            </w:pPr>
            <w:r/>
            <w:r>
              <w:rPr>
                <w:b w:val="0"/>
                <w:sz w:val="18"/>
              </w:rPr>
              <w:t>4.9</w:t>
            </w:r>
          </w:p>
        </w:tc>
        <w:tc>
          <w:tcPr>
            <w:tcW w:type="dxa" w:w="1344"/>
          </w:tcPr>
          <w:p>
            <w:pPr>
              <w:spacing w:after="0"/>
            </w:pPr>
            <w:r/>
            <w:r>
              <w:rPr>
                <w:b w:val="0"/>
                <w:sz w:val="18"/>
              </w:rPr>
              <w:t>11.8</w:t>
            </w:r>
          </w:p>
        </w:tc>
      </w:tr>
      <w:tr>
        <w:tc>
          <w:tcPr>
            <w:tcW w:type="dxa" w:w="1344"/>
          </w:tcPr>
          <w:p>
            <w:pPr>
              <w:spacing w:after="0"/>
            </w:pPr>
            <w:r/>
            <w:r>
              <w:rPr>
                <w:b w:val="0"/>
                <w:sz w:val="18"/>
              </w:rPr>
              <w:t>8</w:t>
            </w:r>
          </w:p>
        </w:tc>
        <w:tc>
          <w:tcPr>
            <w:tcW w:type="dxa" w:w="1344"/>
          </w:tcPr>
          <w:p>
            <w:pPr>
              <w:spacing w:after="0"/>
            </w:pPr>
            <w:r/>
            <w:r>
              <w:rPr>
                <w:b w:val="0"/>
                <w:sz w:val="18"/>
              </w:rPr>
              <w:t>C Time-varying</w:t>
            </w:r>
          </w:p>
        </w:tc>
        <w:tc>
          <w:tcPr>
            <w:tcW w:type="dxa" w:w="1344"/>
          </w:tcPr>
          <w:p>
            <w:pPr>
              <w:spacing w:after="0"/>
            </w:pPr>
            <w:r/>
            <w:r>
              <w:rPr>
                <w:b w:val="0"/>
                <w:sz w:val="18"/>
              </w:rPr>
              <w:t>98.2</w:t>
            </w:r>
          </w:p>
        </w:tc>
        <w:tc>
          <w:tcPr>
            <w:tcW w:type="dxa" w:w="1344"/>
          </w:tcPr>
          <w:p>
            <w:pPr>
              <w:spacing w:after="0"/>
            </w:pPr>
            <w:r/>
            <w:r>
              <w:rPr>
                <w:b w:val="0"/>
                <w:sz w:val="18"/>
              </w:rPr>
              <w:t>100.0</w:t>
            </w:r>
          </w:p>
        </w:tc>
        <w:tc>
          <w:tcPr>
            <w:tcW w:type="dxa" w:w="1344"/>
          </w:tcPr>
          <w:p>
            <w:pPr>
              <w:spacing w:after="0"/>
            </w:pPr>
            <w:r/>
            <w:r>
              <w:rPr>
                <w:b w:val="0"/>
                <w:sz w:val="18"/>
              </w:rPr>
              <w:t>1</w:t>
            </w:r>
          </w:p>
        </w:tc>
        <w:tc>
          <w:tcPr>
            <w:tcW w:type="dxa" w:w="1344"/>
          </w:tcPr>
          <w:p>
            <w:pPr>
              <w:spacing w:after="0"/>
            </w:pPr>
            <w:r/>
            <w:r>
              <w:rPr>
                <w:b w:val="0"/>
                <w:sz w:val="18"/>
              </w:rPr>
              <w:t>4.7</w:t>
            </w:r>
          </w:p>
        </w:tc>
        <w:tc>
          <w:tcPr>
            <w:tcW w:type="dxa" w:w="1344"/>
          </w:tcPr>
          <w:p>
            <w:pPr>
              <w:spacing w:after="0"/>
            </w:pPr>
            <w:r/>
            <w:r>
              <w:rPr>
                <w:b w:val="0"/>
                <w:sz w:val="18"/>
              </w:rPr>
              <w:t>11.3</w:t>
            </w:r>
          </w:p>
        </w:tc>
      </w:tr>
      <w:tr>
        <w:tc>
          <w:tcPr>
            <w:tcW w:type="dxa" w:w="1344"/>
          </w:tcPr>
          <w:p>
            <w:pPr>
              <w:spacing w:after="0"/>
            </w:pPr>
            <w:r/>
            <w:r>
              <w:rPr>
                <w:b w:val="0"/>
                <w:sz w:val="18"/>
              </w:rPr>
              <w:t>8</w:t>
            </w:r>
          </w:p>
        </w:tc>
        <w:tc>
          <w:tcPr>
            <w:tcW w:type="dxa" w:w="1344"/>
          </w:tcPr>
          <w:p>
            <w:pPr>
              <w:spacing w:after="0"/>
            </w:pPr>
            <w:r/>
            <w:r>
              <w:rPr>
                <w:b w:val="0"/>
                <w:sz w:val="18"/>
              </w:rPr>
              <w:t>D CUSUM</w:t>
            </w:r>
          </w:p>
        </w:tc>
        <w:tc>
          <w:tcPr>
            <w:tcW w:type="dxa" w:w="1344"/>
          </w:tcPr>
          <w:p>
            <w:pPr>
              <w:spacing w:after="0"/>
            </w:pPr>
            <w:r/>
            <w:r>
              <w:rPr>
                <w:b w:val="0"/>
                <w:sz w:val="18"/>
              </w:rPr>
              <w:t>97.8</w:t>
            </w:r>
          </w:p>
        </w:tc>
        <w:tc>
          <w:tcPr>
            <w:tcW w:type="dxa" w:w="1344"/>
          </w:tcPr>
          <w:p>
            <w:pPr>
              <w:spacing w:after="0"/>
            </w:pPr>
            <w:r/>
            <w:r>
              <w:rPr>
                <w:b w:val="0"/>
                <w:sz w:val="18"/>
              </w:rPr>
              <w:t>100.0</w:t>
            </w:r>
          </w:p>
        </w:tc>
        <w:tc>
          <w:tcPr>
            <w:tcW w:type="dxa" w:w="1344"/>
          </w:tcPr>
          <w:p>
            <w:pPr>
              <w:spacing w:after="0"/>
            </w:pPr>
            <w:r/>
            <w:r>
              <w:rPr>
                <w:b w:val="0"/>
                <w:sz w:val="18"/>
              </w:rPr>
              <w:t>1</w:t>
            </w:r>
          </w:p>
        </w:tc>
        <w:tc>
          <w:tcPr>
            <w:tcW w:type="dxa" w:w="1344"/>
          </w:tcPr>
          <w:p>
            <w:pPr>
              <w:spacing w:after="0"/>
            </w:pPr>
            <w:r/>
            <w:r>
              <w:rPr>
                <w:b w:val="0"/>
                <w:sz w:val="18"/>
              </w:rPr>
              <w:t>4.6</w:t>
            </w:r>
          </w:p>
        </w:tc>
        <w:tc>
          <w:tcPr>
            <w:tcW w:type="dxa" w:w="1344"/>
          </w:tcPr>
          <w:p>
            <w:pPr>
              <w:spacing w:after="0"/>
            </w:pPr>
            <w:r/>
            <w:r>
              <w:rPr>
                <w:b w:val="0"/>
                <w:sz w:val="18"/>
              </w:rPr>
              <w:t>11.0</w:t>
            </w:r>
          </w:p>
        </w:tc>
      </w:tr>
      <w:tr>
        <w:tc>
          <w:tcPr>
            <w:tcW w:type="dxa" w:w="1344"/>
          </w:tcPr>
          <w:p>
            <w:pPr>
              <w:spacing w:after="0"/>
            </w:pPr>
            <w:r/>
            <w:r>
              <w:rPr>
                <w:b w:val="0"/>
                <w:sz w:val="18"/>
              </w:rPr>
              <w:t>8</w:t>
            </w:r>
          </w:p>
        </w:tc>
        <w:tc>
          <w:tcPr>
            <w:tcW w:type="dxa" w:w="1344"/>
          </w:tcPr>
          <w:p>
            <w:pPr>
              <w:spacing w:after="0"/>
            </w:pPr>
            <w:r/>
            <w:r>
              <w:rPr>
                <w:b w:val="0"/>
                <w:sz w:val="18"/>
              </w:rPr>
              <w:t>E Random</w:t>
            </w:r>
          </w:p>
        </w:tc>
        <w:tc>
          <w:tcPr>
            <w:tcW w:type="dxa" w:w="1344"/>
          </w:tcPr>
          <w:p>
            <w:pPr>
              <w:spacing w:after="0"/>
            </w:pPr>
            <w:r/>
            <w:r>
              <w:rPr>
                <w:b w:val="0"/>
                <w:sz w:val="18"/>
              </w:rPr>
              <w:t>4.7</w:t>
            </w:r>
          </w:p>
        </w:tc>
        <w:tc>
          <w:tcPr>
            <w:tcW w:type="dxa" w:w="1344"/>
          </w:tcPr>
          <w:p>
            <w:pPr>
              <w:spacing w:after="0"/>
            </w:pPr>
            <w:r/>
            <w:r>
              <w:rPr>
                <w:b w:val="0"/>
                <w:sz w:val="18"/>
              </w:rPr>
              <w:t>—</w:t>
            </w:r>
          </w:p>
        </w:tc>
        <w:tc>
          <w:tcPr>
            <w:tcW w:type="dxa" w:w="1344"/>
          </w:tcPr>
          <w:p>
            <w:pPr>
              <w:spacing w:after="0"/>
            </w:pPr>
            <w:r/>
            <w:r>
              <w:rPr>
                <w:b w:val="0"/>
                <w:sz w:val="18"/>
              </w:rPr>
              <w:t>—</w:t>
            </w:r>
          </w:p>
        </w:tc>
        <w:tc>
          <w:tcPr>
            <w:tcW w:type="dxa" w:w="1344"/>
          </w:tcPr>
          <w:p>
            <w:pPr>
              <w:spacing w:after="0"/>
            </w:pPr>
            <w:r/>
            <w:r>
              <w:rPr>
                <w:b w:val="0"/>
                <w:sz w:val="18"/>
              </w:rPr>
              <w:t>4.7</w:t>
            </w:r>
          </w:p>
        </w:tc>
        <w:tc>
          <w:tcPr>
            <w:tcW w:type="dxa" w:w="1344"/>
          </w:tcPr>
          <w:p>
            <w:pPr>
              <w:spacing w:after="0"/>
            </w:pPr>
            <w:r/>
            <w:r>
              <w:rPr>
                <w:b w:val="0"/>
                <w:sz w:val="18"/>
              </w:rPr>
              <w:t>11.3</w:t>
            </w:r>
          </w:p>
        </w:tc>
      </w:tr>
    </w:tbl>
    <w:p/>
    <w:p>
      <w:pPr>
        <w:jc w:val="both"/>
      </w:pPr>
      <w:r>
        <w:rPr>
          <w:b w:val="0"/>
          <w:i w:val="0"/>
        </w:rPr>
        <w:t>For intense campaigns (a = 8, the case studied in the earlier version), rule C screens 98.2% of malicious prompts, detects every campaign within about one minute, and uses 4.7% of the always-on Tier 2 capacity (a 95.3% reduction), with average added latency of 11 ms versus 240 ms. The 98.2% figure is not a "true positive rate" in the classical sense: it is coverage and its complement (1.8%) is mainly prompts in the first window before the trigger takes effect. The reduction in capacity is also mechanically bounded by the campaign duty cycle; with one 60-minute campaign per day it cannot exceed about 96%, so savings figures depend on how often campaigns occur, which is an empirical quantity that platforms must measure.</w:t>
      </w:r>
    </w:p>
    <w:p>
      <w:pPr>
        <w:jc w:val="both"/>
      </w:pPr>
      <w:r>
        <w:rPr>
          <w:b w:val="0"/>
          <w:i w:val="0"/>
        </w:rPr>
        <w:t>Performance falls sharply for weaker campaigns. At a = 2 rule C detects 99% of campaigns but covers only 46% of malicious prompts because the trigger needs several windows to fire; at a = 1 coverage is 11%. The CUSUM statistic D, calibrated to the same false-trigger budget, covers 81% at a = 2 and 44% at a = 1, at the cost of a higher Tier 2 share (3.6% and 1.9%). The Shewhart rule is not dominated for strong campaigns, where all three rules perform similarly, and is simpler to explain to operators; CUSUM is preferable if moderate campaigns are the threat of concern. Random sampling at matched capacity yields coverage equal to its sampling rate (0.6–4.7%) and is dominated everywhere.</w:t>
      </w:r>
    </w:p>
    <w:p>
      <w:pPr>
        <w:pStyle w:val="Heading2"/>
      </w:pPr>
      <w:r>
        <w:t>4.4 Lexical evasion</w:t>
      </w:r>
    </w:p>
    <w:p>
      <w:r>
        <w:rPr>
          <w:b/>
          <w:i w:val="0"/>
          <w:sz w:val="20"/>
        </w:rPr>
        <w:t>Table 3. Effect of Tier 1 evasion at a = 8 prompts/min (visible rate 8(1−e)).</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pPr>
              <w:spacing w:after="0"/>
            </w:pPr>
            <w:r/>
            <w:r>
              <w:rPr>
                <w:b/>
                <w:sz w:val="18"/>
              </w:rPr>
              <w:t>Evasion e</w:t>
            </w:r>
          </w:p>
        </w:tc>
        <w:tc>
          <w:tcPr>
            <w:tcW w:type="dxa" w:w="1568"/>
          </w:tcPr>
          <w:p>
            <w:pPr>
              <w:spacing w:after="0"/>
            </w:pPr>
            <w:r/>
            <w:r>
              <w:rPr>
                <w:b/>
                <w:sz w:val="18"/>
              </w:rPr>
              <w:t>Rule</w:t>
            </w:r>
          </w:p>
        </w:tc>
        <w:tc>
          <w:tcPr>
            <w:tcW w:type="dxa" w:w="1568"/>
          </w:tcPr>
          <w:p>
            <w:pPr>
              <w:spacing w:after="0"/>
            </w:pPr>
            <w:r/>
            <w:r>
              <w:rPr>
                <w:b/>
                <w:sz w:val="18"/>
              </w:rPr>
              <w:t>Coverage (%)</w:t>
            </w:r>
          </w:p>
        </w:tc>
        <w:tc>
          <w:tcPr>
            <w:tcW w:type="dxa" w:w="1568"/>
          </w:tcPr>
          <w:p>
            <w:pPr>
              <w:spacing w:after="0"/>
            </w:pPr>
            <w:r/>
            <w:r>
              <w:rPr>
                <w:b/>
                <w:sz w:val="18"/>
              </w:rPr>
              <w:t>Campaign detected (%)</w:t>
            </w:r>
          </w:p>
        </w:tc>
        <w:tc>
          <w:tcPr>
            <w:tcW w:type="dxa" w:w="1568"/>
          </w:tcPr>
          <w:p>
            <w:pPr>
              <w:spacing w:after="0"/>
            </w:pPr>
            <w:r/>
            <w:r>
              <w:rPr>
                <w:b/>
                <w:sz w:val="18"/>
              </w:rPr>
              <w:t>Median delay (min)</w:t>
            </w:r>
          </w:p>
        </w:tc>
        <w:tc>
          <w:tcPr>
            <w:tcW w:type="dxa" w:w="1568"/>
          </w:tcPr>
          <w:p>
            <w:pPr>
              <w:spacing w:after="0"/>
            </w:pPr>
            <w:r/>
            <w:r>
              <w:rPr>
                <w:b/>
                <w:sz w:val="18"/>
              </w:rPr>
              <w:t>Tier 2 share (%)</w:t>
            </w:r>
          </w:p>
        </w:tc>
      </w:tr>
      <w:tr>
        <w:tc>
          <w:tcPr>
            <w:tcW w:type="dxa" w:w="1568"/>
          </w:tcPr>
          <w:p>
            <w:pPr>
              <w:spacing w:after="0"/>
            </w:pPr>
            <w:r/>
            <w:r>
              <w:rPr>
                <w:b w:val="0"/>
                <w:sz w:val="18"/>
              </w:rPr>
              <w:t>0</w:t>
            </w:r>
          </w:p>
        </w:tc>
        <w:tc>
          <w:tcPr>
            <w:tcW w:type="dxa" w:w="1568"/>
          </w:tcPr>
          <w:p>
            <w:pPr>
              <w:spacing w:after="0"/>
            </w:pPr>
            <w:r/>
            <w:r>
              <w:rPr>
                <w:b w:val="0"/>
                <w:sz w:val="18"/>
              </w:rPr>
              <w:t>C Time-varying</w:t>
            </w:r>
          </w:p>
        </w:tc>
        <w:tc>
          <w:tcPr>
            <w:tcW w:type="dxa" w:w="1568"/>
          </w:tcPr>
          <w:p>
            <w:pPr>
              <w:spacing w:after="0"/>
            </w:pPr>
            <w:r/>
            <w:r>
              <w:rPr>
                <w:b w:val="0"/>
                <w:sz w:val="18"/>
              </w:rPr>
              <w:t>98.2</w:t>
            </w:r>
          </w:p>
        </w:tc>
        <w:tc>
          <w:tcPr>
            <w:tcW w:type="dxa" w:w="1568"/>
          </w:tcPr>
          <w:p>
            <w:pPr>
              <w:spacing w:after="0"/>
            </w:pPr>
            <w:r/>
            <w:r>
              <w:rPr>
                <w:b w:val="0"/>
                <w:sz w:val="18"/>
              </w:rPr>
              <w:t>100.0</w:t>
            </w:r>
          </w:p>
        </w:tc>
        <w:tc>
          <w:tcPr>
            <w:tcW w:type="dxa" w:w="1568"/>
          </w:tcPr>
          <w:p>
            <w:pPr>
              <w:spacing w:after="0"/>
            </w:pPr>
            <w:r/>
            <w:r>
              <w:rPr>
                <w:b w:val="0"/>
                <w:sz w:val="18"/>
              </w:rPr>
              <w:t>1</w:t>
            </w:r>
          </w:p>
        </w:tc>
        <w:tc>
          <w:tcPr>
            <w:tcW w:type="dxa" w:w="1568"/>
          </w:tcPr>
          <w:p>
            <w:pPr>
              <w:spacing w:after="0"/>
            </w:pPr>
            <w:r/>
            <w:r>
              <w:rPr>
                <w:b w:val="0"/>
                <w:sz w:val="18"/>
              </w:rPr>
              <w:t>4.7</w:t>
            </w:r>
          </w:p>
        </w:tc>
      </w:tr>
      <w:tr>
        <w:tc>
          <w:tcPr>
            <w:tcW w:type="dxa" w:w="1568"/>
          </w:tcPr>
          <w:p>
            <w:pPr>
              <w:spacing w:after="0"/>
            </w:pPr>
            <w:r/>
            <w:r>
              <w:rPr>
                <w:b w:val="0"/>
                <w:sz w:val="18"/>
              </w:rPr>
              <w:t>0</w:t>
            </w:r>
          </w:p>
        </w:tc>
        <w:tc>
          <w:tcPr>
            <w:tcW w:type="dxa" w:w="1568"/>
          </w:tcPr>
          <w:p>
            <w:pPr>
              <w:spacing w:after="0"/>
            </w:pPr>
            <w:r/>
            <w:r>
              <w:rPr>
                <w:b w:val="0"/>
                <w:sz w:val="18"/>
              </w:rPr>
              <w:t>D CUSUM</w:t>
            </w:r>
          </w:p>
        </w:tc>
        <w:tc>
          <w:tcPr>
            <w:tcW w:type="dxa" w:w="1568"/>
          </w:tcPr>
          <w:p>
            <w:pPr>
              <w:spacing w:after="0"/>
            </w:pPr>
            <w:r/>
            <w:r>
              <w:rPr>
                <w:b w:val="0"/>
                <w:sz w:val="18"/>
              </w:rPr>
              <w:t>97.8</w:t>
            </w:r>
          </w:p>
        </w:tc>
        <w:tc>
          <w:tcPr>
            <w:tcW w:type="dxa" w:w="1568"/>
          </w:tcPr>
          <w:p>
            <w:pPr>
              <w:spacing w:after="0"/>
            </w:pPr>
            <w:r/>
            <w:r>
              <w:rPr>
                <w:b w:val="0"/>
                <w:sz w:val="18"/>
              </w:rPr>
              <w:t>100.0</w:t>
            </w:r>
          </w:p>
        </w:tc>
        <w:tc>
          <w:tcPr>
            <w:tcW w:type="dxa" w:w="1568"/>
          </w:tcPr>
          <w:p>
            <w:pPr>
              <w:spacing w:after="0"/>
            </w:pPr>
            <w:r/>
            <w:r>
              <w:rPr>
                <w:b w:val="0"/>
                <w:sz w:val="18"/>
              </w:rPr>
              <w:t>1</w:t>
            </w:r>
          </w:p>
        </w:tc>
        <w:tc>
          <w:tcPr>
            <w:tcW w:type="dxa" w:w="1568"/>
          </w:tcPr>
          <w:p>
            <w:pPr>
              <w:spacing w:after="0"/>
            </w:pPr>
            <w:r/>
            <w:r>
              <w:rPr>
                <w:b w:val="0"/>
                <w:sz w:val="18"/>
              </w:rPr>
              <w:t>4.6</w:t>
            </w:r>
          </w:p>
        </w:tc>
      </w:tr>
      <w:tr>
        <w:tc>
          <w:tcPr>
            <w:tcW w:type="dxa" w:w="1568"/>
          </w:tcPr>
          <w:p>
            <w:pPr>
              <w:spacing w:after="0"/>
            </w:pPr>
            <w:r/>
            <w:r>
              <w:rPr>
                <w:b w:val="0"/>
                <w:sz w:val="18"/>
              </w:rPr>
              <w:t>0.5</w:t>
            </w:r>
          </w:p>
        </w:tc>
        <w:tc>
          <w:tcPr>
            <w:tcW w:type="dxa" w:w="1568"/>
          </w:tcPr>
          <w:p>
            <w:pPr>
              <w:spacing w:after="0"/>
            </w:pPr>
            <w:r/>
            <w:r>
              <w:rPr>
                <w:b w:val="0"/>
                <w:sz w:val="18"/>
              </w:rPr>
              <w:t>C Time-varying</w:t>
            </w:r>
          </w:p>
        </w:tc>
        <w:tc>
          <w:tcPr>
            <w:tcW w:type="dxa" w:w="1568"/>
          </w:tcPr>
          <w:p>
            <w:pPr>
              <w:spacing w:after="0"/>
            </w:pPr>
            <w:r/>
            <w:r>
              <w:rPr>
                <w:b w:val="0"/>
                <w:sz w:val="18"/>
              </w:rPr>
              <w:t>91.6</w:t>
            </w:r>
          </w:p>
        </w:tc>
        <w:tc>
          <w:tcPr>
            <w:tcW w:type="dxa" w:w="1568"/>
          </w:tcPr>
          <w:p>
            <w:pPr>
              <w:spacing w:after="0"/>
            </w:pPr>
            <w:r/>
            <w:r>
              <w:rPr>
                <w:b w:val="0"/>
                <w:sz w:val="18"/>
              </w:rPr>
              <w:t>100.0</w:t>
            </w:r>
          </w:p>
        </w:tc>
        <w:tc>
          <w:tcPr>
            <w:tcW w:type="dxa" w:w="1568"/>
          </w:tcPr>
          <w:p>
            <w:pPr>
              <w:spacing w:after="0"/>
            </w:pPr>
            <w:r/>
            <w:r>
              <w:rPr>
                <w:b w:val="0"/>
                <w:sz w:val="18"/>
              </w:rPr>
              <w:t>2</w:t>
            </w:r>
          </w:p>
        </w:tc>
        <w:tc>
          <w:tcPr>
            <w:tcW w:type="dxa" w:w="1568"/>
          </w:tcPr>
          <w:p>
            <w:pPr>
              <w:spacing w:after="0"/>
            </w:pPr>
            <w:r/>
            <w:r>
              <w:rPr>
                <w:b w:val="0"/>
                <w:sz w:val="18"/>
              </w:rPr>
              <w:t>4.3</w:t>
            </w:r>
          </w:p>
        </w:tc>
      </w:tr>
      <w:tr>
        <w:tc>
          <w:tcPr>
            <w:tcW w:type="dxa" w:w="1568"/>
          </w:tcPr>
          <w:p>
            <w:pPr>
              <w:spacing w:after="0"/>
            </w:pPr>
            <w:r/>
            <w:r>
              <w:rPr>
                <w:b w:val="0"/>
                <w:sz w:val="18"/>
              </w:rPr>
              <w:t>0.5</w:t>
            </w:r>
          </w:p>
        </w:tc>
        <w:tc>
          <w:tcPr>
            <w:tcW w:type="dxa" w:w="1568"/>
          </w:tcPr>
          <w:p>
            <w:pPr>
              <w:spacing w:after="0"/>
            </w:pPr>
            <w:r/>
            <w:r>
              <w:rPr>
                <w:b w:val="0"/>
                <w:sz w:val="18"/>
              </w:rPr>
              <w:t>D CUSUM</w:t>
            </w:r>
          </w:p>
        </w:tc>
        <w:tc>
          <w:tcPr>
            <w:tcW w:type="dxa" w:w="1568"/>
          </w:tcPr>
          <w:p>
            <w:pPr>
              <w:spacing w:after="0"/>
            </w:pPr>
            <w:r/>
            <w:r>
              <w:rPr>
                <w:b w:val="0"/>
                <w:sz w:val="18"/>
              </w:rPr>
              <w:t>96.0</w:t>
            </w:r>
          </w:p>
        </w:tc>
        <w:tc>
          <w:tcPr>
            <w:tcW w:type="dxa" w:w="1568"/>
          </w:tcPr>
          <w:p>
            <w:pPr>
              <w:spacing w:after="0"/>
            </w:pPr>
            <w:r/>
            <w:r>
              <w:rPr>
                <w:b w:val="0"/>
                <w:sz w:val="18"/>
              </w:rPr>
              <w:t>100.0</w:t>
            </w:r>
          </w:p>
        </w:tc>
        <w:tc>
          <w:tcPr>
            <w:tcW w:type="dxa" w:w="1568"/>
          </w:tcPr>
          <w:p>
            <w:pPr>
              <w:spacing w:after="0"/>
            </w:pPr>
            <w:r/>
            <w:r>
              <w:rPr>
                <w:b w:val="0"/>
                <w:sz w:val="18"/>
              </w:rPr>
              <w:t>2</w:t>
            </w:r>
          </w:p>
        </w:tc>
        <w:tc>
          <w:tcPr>
            <w:tcW w:type="dxa" w:w="1568"/>
          </w:tcPr>
          <w:p>
            <w:pPr>
              <w:spacing w:after="0"/>
            </w:pPr>
            <w:r/>
            <w:r>
              <w:rPr>
                <w:b w:val="0"/>
                <w:sz w:val="18"/>
              </w:rPr>
              <w:t>4.6</w:t>
            </w:r>
          </w:p>
        </w:tc>
      </w:tr>
      <w:tr>
        <w:tc>
          <w:tcPr>
            <w:tcW w:type="dxa" w:w="1568"/>
          </w:tcPr>
          <w:p>
            <w:pPr>
              <w:spacing w:after="0"/>
            </w:pPr>
            <w:r/>
            <w:r>
              <w:rPr>
                <w:b w:val="0"/>
                <w:sz w:val="18"/>
              </w:rPr>
              <w:t>0.9</w:t>
            </w:r>
          </w:p>
        </w:tc>
        <w:tc>
          <w:tcPr>
            <w:tcW w:type="dxa" w:w="1568"/>
          </w:tcPr>
          <w:p>
            <w:pPr>
              <w:spacing w:after="0"/>
            </w:pPr>
            <w:r/>
            <w:r>
              <w:rPr>
                <w:b w:val="0"/>
                <w:sz w:val="18"/>
              </w:rPr>
              <w:t>C Time-varying</w:t>
            </w:r>
          </w:p>
        </w:tc>
        <w:tc>
          <w:tcPr>
            <w:tcW w:type="dxa" w:w="1568"/>
          </w:tcPr>
          <w:p>
            <w:pPr>
              <w:spacing w:after="0"/>
            </w:pPr>
            <w:r/>
            <w:r>
              <w:rPr>
                <w:b w:val="0"/>
                <w:sz w:val="18"/>
              </w:rPr>
              <w:t>6.9</w:t>
            </w:r>
          </w:p>
        </w:tc>
        <w:tc>
          <w:tcPr>
            <w:tcW w:type="dxa" w:w="1568"/>
          </w:tcPr>
          <w:p>
            <w:pPr>
              <w:spacing w:after="0"/>
            </w:pPr>
            <w:r/>
            <w:r>
              <w:rPr>
                <w:b w:val="0"/>
                <w:sz w:val="18"/>
              </w:rPr>
              <w:t>56.6</w:t>
            </w:r>
          </w:p>
        </w:tc>
        <w:tc>
          <w:tcPr>
            <w:tcW w:type="dxa" w:w="1568"/>
          </w:tcPr>
          <w:p>
            <w:pPr>
              <w:spacing w:after="0"/>
            </w:pPr>
            <w:r/>
            <w:r>
              <w:rPr>
                <w:b w:val="0"/>
                <w:sz w:val="18"/>
              </w:rPr>
              <w:t>25</w:t>
            </w:r>
          </w:p>
        </w:tc>
        <w:tc>
          <w:tcPr>
            <w:tcW w:type="dxa" w:w="1568"/>
          </w:tcPr>
          <w:p>
            <w:pPr>
              <w:spacing w:after="0"/>
            </w:pPr>
            <w:r/>
            <w:r>
              <w:rPr>
                <w:b w:val="0"/>
                <w:sz w:val="18"/>
              </w:rPr>
              <w:t>0.4</w:t>
            </w:r>
          </w:p>
        </w:tc>
      </w:tr>
      <w:tr>
        <w:tc>
          <w:tcPr>
            <w:tcW w:type="dxa" w:w="1568"/>
          </w:tcPr>
          <w:p>
            <w:pPr>
              <w:spacing w:after="0"/>
            </w:pPr>
            <w:r/>
            <w:r>
              <w:rPr>
                <w:b w:val="0"/>
                <w:sz w:val="18"/>
              </w:rPr>
              <w:t>0.9</w:t>
            </w:r>
          </w:p>
        </w:tc>
        <w:tc>
          <w:tcPr>
            <w:tcW w:type="dxa" w:w="1568"/>
          </w:tcPr>
          <w:p>
            <w:pPr>
              <w:spacing w:after="0"/>
            </w:pPr>
            <w:r/>
            <w:r>
              <w:rPr>
                <w:b w:val="0"/>
                <w:sz w:val="18"/>
              </w:rPr>
              <w:t>D CUSUM</w:t>
            </w:r>
          </w:p>
        </w:tc>
        <w:tc>
          <w:tcPr>
            <w:tcW w:type="dxa" w:w="1568"/>
          </w:tcPr>
          <w:p>
            <w:pPr>
              <w:spacing w:after="0"/>
            </w:pPr>
            <w:r/>
            <w:r>
              <w:rPr>
                <w:b w:val="0"/>
                <w:sz w:val="18"/>
              </w:rPr>
              <w:t>33.1</w:t>
            </w:r>
          </w:p>
        </w:tc>
        <w:tc>
          <w:tcPr>
            <w:tcW w:type="dxa" w:w="1568"/>
          </w:tcPr>
          <w:p>
            <w:pPr>
              <w:spacing w:after="0"/>
            </w:pPr>
            <w:r/>
            <w:r>
              <w:rPr>
                <w:b w:val="0"/>
                <w:sz w:val="18"/>
              </w:rPr>
              <w:t>99.7</w:t>
            </w:r>
          </w:p>
        </w:tc>
        <w:tc>
          <w:tcPr>
            <w:tcW w:type="dxa" w:w="1568"/>
          </w:tcPr>
          <w:p>
            <w:pPr>
              <w:spacing w:after="0"/>
            </w:pPr>
            <w:r/>
            <w:r>
              <w:rPr>
                <w:b w:val="0"/>
                <w:sz w:val="18"/>
              </w:rPr>
              <w:t>11</w:t>
            </w:r>
          </w:p>
        </w:tc>
        <w:tc>
          <w:tcPr>
            <w:tcW w:type="dxa" w:w="1568"/>
          </w:tcPr>
          <w:p>
            <w:pPr>
              <w:spacing w:after="0"/>
            </w:pPr>
            <w:r/>
            <w:r>
              <w:rPr>
                <w:b w:val="0"/>
                <w:sz w:val="18"/>
              </w:rPr>
              <w:t>1.4</w:t>
            </w:r>
          </w:p>
        </w:tc>
      </w:tr>
    </w:tbl>
    <w:p/>
    <w:p>
      <w:pPr>
        <w:jc w:val="both"/>
      </w:pPr>
      <w:r>
        <w:rPr>
          <w:b w:val="0"/>
          <w:i w:val="0"/>
        </w:rPr>
        <w:t>Evasion of 50% leaves performance at a = 8 largely intact, since the visible rate (4/min) remains well above the limit. At e = 0.9 the visible rate falls to 0.8/min and rule C covers only 6.9% of malicious prompts and detects 57% of campaigns; CUSUM recovers detection (99.7% of campaigns) but covers only 33% of prompts because of the delay. A platform whose adversaries can reliably paraphrase around the lexical filter should not rely on Tier 1 alone. Since evasion reduces the visible rate through b = a(1−e), Proposition 2 applies directly.</w:t>
      </w:r>
    </w:p>
    <w:p>
      <w:pPr>
        <w:pStyle w:val="Heading2"/>
      </w:pPr>
      <w:r>
        <w:t>4.5 Sensitivity to the false-alarm budget</w:t>
      </w:r>
    </w:p>
    <w:p>
      <w:r>
        <w:rPr>
          <w:b/>
          <w:i w:val="0"/>
          <w:sz w:val="20"/>
        </w:rPr>
        <w:t>Table 4. Sensitivity of rule C to α (a = 2, e = 0.5, visible rate 1/min).</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pPr>
              <w:spacing w:after="0"/>
            </w:pPr>
            <w:r/>
            <w:r>
              <w:rPr>
                <w:b/>
                <w:sz w:val="18"/>
              </w:rPr>
              <w:t>α</w:t>
            </w:r>
          </w:p>
        </w:tc>
        <w:tc>
          <w:tcPr>
            <w:tcW w:type="dxa" w:w="1568"/>
          </w:tcPr>
          <w:p>
            <w:pPr>
              <w:spacing w:after="0"/>
            </w:pPr>
            <w:r/>
            <w:r>
              <w:rPr>
                <w:b/>
                <w:sz w:val="18"/>
              </w:rPr>
              <w:t>False triggers/week</w:t>
            </w:r>
          </w:p>
        </w:tc>
        <w:tc>
          <w:tcPr>
            <w:tcW w:type="dxa" w:w="1568"/>
          </w:tcPr>
          <w:p>
            <w:pPr>
              <w:spacing w:after="0"/>
            </w:pPr>
            <w:r/>
            <w:r>
              <w:rPr>
                <w:b/>
                <w:sz w:val="18"/>
              </w:rPr>
              <w:t>Coverage (%)</w:t>
            </w:r>
          </w:p>
        </w:tc>
        <w:tc>
          <w:tcPr>
            <w:tcW w:type="dxa" w:w="1568"/>
          </w:tcPr>
          <w:p>
            <w:pPr>
              <w:spacing w:after="0"/>
            </w:pPr>
            <w:r/>
            <w:r>
              <w:rPr>
                <w:b/>
                <w:sz w:val="18"/>
              </w:rPr>
              <w:t>Campaign detected (%)</w:t>
            </w:r>
          </w:p>
        </w:tc>
        <w:tc>
          <w:tcPr>
            <w:tcW w:type="dxa" w:w="1568"/>
          </w:tcPr>
          <w:p>
            <w:pPr>
              <w:spacing w:after="0"/>
            </w:pPr>
            <w:r/>
            <w:r>
              <w:rPr>
                <w:b/>
                <w:sz w:val="18"/>
              </w:rPr>
              <w:t>Median delay (min)</w:t>
            </w:r>
          </w:p>
        </w:tc>
        <w:tc>
          <w:tcPr>
            <w:tcW w:type="dxa" w:w="1568"/>
          </w:tcPr>
          <w:p>
            <w:pPr>
              <w:spacing w:after="0"/>
            </w:pPr>
            <w:r/>
            <w:r>
              <w:rPr>
                <w:b/>
                <w:sz w:val="18"/>
              </w:rPr>
              <w:t>Tier 2 share (%)</w:t>
            </w:r>
          </w:p>
        </w:tc>
      </w:tr>
      <w:tr>
        <w:tc>
          <w:tcPr>
            <w:tcW w:type="dxa" w:w="1568"/>
          </w:tcPr>
          <w:p>
            <w:pPr>
              <w:spacing w:after="0"/>
            </w:pPr>
            <w:r/>
            <w:r>
              <w:rPr>
                <w:b w:val="0"/>
                <w:sz w:val="18"/>
              </w:rPr>
              <w:t>0.01</w:t>
            </w:r>
          </w:p>
        </w:tc>
        <w:tc>
          <w:tcPr>
            <w:tcW w:type="dxa" w:w="1568"/>
          </w:tcPr>
          <w:p>
            <w:pPr>
              <w:spacing w:after="0"/>
            </w:pPr>
            <w:r/>
            <w:r>
              <w:rPr>
                <w:b w:val="0"/>
                <w:sz w:val="18"/>
              </w:rPr>
              <w:t>44.2</w:t>
            </w:r>
          </w:p>
        </w:tc>
        <w:tc>
          <w:tcPr>
            <w:tcW w:type="dxa" w:w="1568"/>
          </w:tcPr>
          <w:p>
            <w:pPr>
              <w:spacing w:after="0"/>
            </w:pPr>
            <w:r/>
            <w:r>
              <w:rPr>
                <w:b w:val="0"/>
                <w:sz w:val="18"/>
              </w:rPr>
              <w:t>39.1</w:t>
            </w:r>
          </w:p>
        </w:tc>
        <w:tc>
          <w:tcPr>
            <w:tcW w:type="dxa" w:w="1568"/>
          </w:tcPr>
          <w:p>
            <w:pPr>
              <w:spacing w:after="0"/>
            </w:pPr>
            <w:r/>
            <w:r>
              <w:rPr>
                <w:b w:val="0"/>
                <w:sz w:val="18"/>
              </w:rPr>
              <w:t>99.0</w:t>
            </w:r>
          </w:p>
        </w:tc>
        <w:tc>
          <w:tcPr>
            <w:tcW w:type="dxa" w:w="1568"/>
          </w:tcPr>
          <w:p>
            <w:pPr>
              <w:spacing w:after="0"/>
            </w:pPr>
            <w:r/>
            <w:r>
              <w:rPr>
                <w:b w:val="0"/>
                <w:sz w:val="18"/>
              </w:rPr>
              <w:t>7</w:t>
            </w:r>
          </w:p>
        </w:tc>
        <w:tc>
          <w:tcPr>
            <w:tcW w:type="dxa" w:w="1568"/>
          </w:tcPr>
          <w:p>
            <w:pPr>
              <w:spacing w:after="0"/>
            </w:pPr>
            <w:r/>
            <w:r>
              <w:rPr>
                <w:b w:val="0"/>
                <w:sz w:val="18"/>
              </w:rPr>
              <w:t>3.9</w:t>
            </w:r>
          </w:p>
        </w:tc>
      </w:tr>
      <w:tr>
        <w:tc>
          <w:tcPr>
            <w:tcW w:type="dxa" w:w="1568"/>
          </w:tcPr>
          <w:p>
            <w:pPr>
              <w:spacing w:after="0"/>
            </w:pPr>
            <w:r/>
            <w:r>
              <w:rPr>
                <w:b w:val="0"/>
                <w:sz w:val="18"/>
              </w:rPr>
              <w:t>0.001</w:t>
            </w:r>
          </w:p>
        </w:tc>
        <w:tc>
          <w:tcPr>
            <w:tcW w:type="dxa" w:w="1568"/>
          </w:tcPr>
          <w:p>
            <w:pPr>
              <w:spacing w:after="0"/>
            </w:pPr>
            <w:r/>
            <w:r>
              <w:rPr>
                <w:b w:val="0"/>
                <w:sz w:val="18"/>
              </w:rPr>
              <w:t>3.3</w:t>
            </w:r>
          </w:p>
        </w:tc>
        <w:tc>
          <w:tcPr>
            <w:tcW w:type="dxa" w:w="1568"/>
          </w:tcPr>
          <w:p>
            <w:pPr>
              <w:spacing w:after="0"/>
            </w:pPr>
            <w:r/>
            <w:r>
              <w:rPr>
                <w:b w:val="0"/>
                <w:sz w:val="18"/>
              </w:rPr>
              <w:t>11.3</w:t>
            </w:r>
          </w:p>
        </w:tc>
        <w:tc>
          <w:tcPr>
            <w:tcW w:type="dxa" w:w="1568"/>
          </w:tcPr>
          <w:p>
            <w:pPr>
              <w:spacing w:after="0"/>
            </w:pPr>
            <w:r/>
            <w:r>
              <w:rPr>
                <w:b w:val="0"/>
                <w:sz w:val="18"/>
              </w:rPr>
              <w:t>72.6</w:t>
            </w:r>
          </w:p>
        </w:tc>
        <w:tc>
          <w:tcPr>
            <w:tcW w:type="dxa" w:w="1568"/>
          </w:tcPr>
          <w:p>
            <w:pPr>
              <w:spacing w:after="0"/>
            </w:pPr>
            <w:r/>
            <w:r>
              <w:rPr>
                <w:b w:val="0"/>
                <w:sz w:val="18"/>
              </w:rPr>
              <w:t>20</w:t>
            </w:r>
          </w:p>
        </w:tc>
        <w:tc>
          <w:tcPr>
            <w:tcW w:type="dxa" w:w="1568"/>
          </w:tcPr>
          <w:p>
            <w:pPr>
              <w:spacing w:after="0"/>
            </w:pPr>
            <w:r/>
            <w:r>
              <w:rPr>
                <w:b w:val="0"/>
                <w:sz w:val="18"/>
              </w:rPr>
              <w:t>0.58</w:t>
            </w:r>
          </w:p>
        </w:tc>
      </w:tr>
      <w:tr>
        <w:tc>
          <w:tcPr>
            <w:tcW w:type="dxa" w:w="1568"/>
          </w:tcPr>
          <w:p>
            <w:pPr>
              <w:spacing w:after="0"/>
            </w:pPr>
            <w:r/>
            <w:r>
              <w:rPr>
                <w:b w:val="0"/>
                <w:sz w:val="18"/>
              </w:rPr>
              <w:t>0.0001</w:t>
            </w:r>
          </w:p>
        </w:tc>
        <w:tc>
          <w:tcPr>
            <w:tcW w:type="dxa" w:w="1568"/>
          </w:tcPr>
          <w:p>
            <w:pPr>
              <w:spacing w:after="0"/>
            </w:pPr>
            <w:r/>
            <w:r>
              <w:rPr>
                <w:b w:val="0"/>
                <w:sz w:val="18"/>
              </w:rPr>
              <w:t>0.35</w:t>
            </w:r>
          </w:p>
        </w:tc>
        <w:tc>
          <w:tcPr>
            <w:tcW w:type="dxa" w:w="1568"/>
          </w:tcPr>
          <w:p>
            <w:pPr>
              <w:spacing w:after="0"/>
            </w:pPr>
            <w:r/>
            <w:r>
              <w:rPr>
                <w:b w:val="0"/>
                <w:sz w:val="18"/>
              </w:rPr>
              <w:t>4.1</w:t>
            </w:r>
          </w:p>
        </w:tc>
        <w:tc>
          <w:tcPr>
            <w:tcW w:type="dxa" w:w="1568"/>
          </w:tcPr>
          <w:p>
            <w:pPr>
              <w:spacing w:after="0"/>
            </w:pPr>
            <w:r/>
            <w:r>
              <w:rPr>
                <w:b w:val="0"/>
                <w:sz w:val="18"/>
              </w:rPr>
              <w:t>34.3</w:t>
            </w:r>
          </w:p>
        </w:tc>
        <w:tc>
          <w:tcPr>
            <w:tcW w:type="dxa" w:w="1568"/>
          </w:tcPr>
          <w:p>
            <w:pPr>
              <w:spacing w:after="0"/>
            </w:pPr>
            <w:r/>
            <w:r>
              <w:rPr>
                <w:b w:val="0"/>
                <w:sz w:val="18"/>
              </w:rPr>
              <w:t>24</w:t>
            </w:r>
          </w:p>
        </w:tc>
        <w:tc>
          <w:tcPr>
            <w:tcW w:type="dxa" w:w="1568"/>
          </w:tcPr>
          <w:p>
            <w:pPr>
              <w:spacing w:after="0"/>
            </w:pPr>
            <w:r/>
            <w:r>
              <w:rPr>
                <w:b w:val="0"/>
                <w:sz w:val="18"/>
              </w:rPr>
              <w:t>0.14</w:t>
            </w:r>
          </w:p>
        </w:tc>
      </w:tr>
    </w:tbl>
    <w:p/>
    <w:p>
      <w:pPr>
        <w:jc w:val="both"/>
      </w:pPr>
      <w:r>
        <w:rPr>
          <w:b w:val="0"/>
          <w:i w:val="0"/>
        </w:rPr>
        <w:t>The false-alarm budget governs the trade-off: tightening α from 0.01 to 0.0001 reduces false triggers by two orders of magnitude and reduces coverage of a hard-to-see campaign from 39% to 4%. Proposition 1 gives the principled way to choose α: from the cost ratio rather than by convention.</w:t>
      </w:r>
    </w:p>
    <w:p>
      <w:pPr>
        <w:pStyle w:val="Heading1"/>
      </w:pPr>
      <w:r>
        <w:t>5. Discussion and Implications</w:t>
      </w:r>
    </w:p>
    <w:p>
      <w:pPr>
        <w:jc w:val="both"/>
      </w:pPr>
      <w:r>
        <w:rPr>
          <w:b w:val="0"/>
          <w:i w:val="0"/>
        </w:rPr>
        <w:t>For platform operators. (1) Gate the guardrail only if screening is costly relative to expected breach loss; otherwise Proposition 1 recommends always-on screening, and the savings reported here are the savings from avoiding it. (2) Calibrate the baseline by time of day: this alone removes a large share of false triggers. (3) Prefer CUSUM-type statistics when moderate-intensity or partly evasive campaigns are the concern, at the price of more screening. (4) Do not use the lexical tier as the sole defense against adaptive adversaries: it is a throughput governor, and Proposition 2 shows how much it concedes. Pair it with rate limiting, per-source tracking, and output-side checks.</w:t>
      </w:r>
    </w:p>
    <w:p>
      <w:pPr>
        <w:jc w:val="both"/>
      </w:pPr>
      <w:r>
        <w:rPr>
          <w:b w:val="0"/>
          <w:i w:val="0"/>
        </w:rPr>
        <w:t>For research. The IS literature has modeled intrusion detection as a trade-off between false alarms and misses; generative-AI platforms add a distinct structure, namely a cheap, evadable detector that gates a costly, accurate one, with resource contention that makes false alarms expensive for all users. The model offers a platform-level view of AI security design in which detection and capacity decisions are made jointly.</w:t>
      </w:r>
    </w:p>
    <w:p>
      <w:pPr>
        <w:pStyle w:val="Heading1"/>
      </w:pPr>
      <w:r>
        <w:t>6. Limitations</w:t>
      </w:r>
    </w:p>
    <w:p>
      <w:pPr>
        <w:jc w:val="both"/>
      </w:pPr>
      <w:r>
        <w:rPr>
          <w:b w:val="0"/>
          <w:i w:val="0"/>
        </w:rPr>
        <w:t>The results come from a synthetic simulation; no production traces were used and the parameters (λ̄₀, diurnal amplitude, κ, campaign length and frequency, ΔL = 240 ms) are illustrative assumptions. We treat Tier 2 as perfect on the traffic it screens, and we do not model its recall, which for real guardrails varies by attack type (it can be estimated with benchmarks such as JailbreakBench or HarmBench). The attacker is non-strategic in the simulation: it does not observe or learn the threshold, whereas Proposition 2 only bounds, rather than solves, the attacker's optimization; a full Stackelberg game between platform and attacker is a natural extension. Costs are per window and ignore the multi-window dynamics created by the cool-down. Capacity is proxied by traffic share rather than measured GPU time, and attack traffic is not added to the load. Proposition 1 is stated for a Poisson baseline; the negative-binomial case has the same structure when the likelihood ratio is monotone but we have not proved it in general. Finally, the lexical tier is assumed to produce a count that is informative about attacks; for domains in which attacks are not lexically distinctive, other Tier 1 features (rates of rejected requests, per-source request entropy, embedding-based distances) would be needed. We regard validation on real platform logs as the most important next step.</w:t>
      </w:r>
    </w:p>
    <w:p>
      <w:pPr>
        <w:pStyle w:val="Heading1"/>
      </w:pPr>
      <w:r>
        <w:t>7. Conclusion</w:t>
      </w:r>
    </w:p>
    <w:p>
      <w:pPr>
        <w:jc w:val="both"/>
      </w:pPr>
      <w:r>
        <w:rPr>
          <w:b w:val="0"/>
          <w:i w:val="0"/>
        </w:rPr>
        <w:t>We framed guardrail activation on LLM platforms as a sequential detection problem with a Cox-process baseline, characterized the cost-minimizing threshold, bounded the throughput an adaptive attacker can sustain undetected, and evaluated the design against four benchmarks. In simulation the design cuts guardrail capacity by about 95% against intense, lexically visible campaigns while covering 98% of malicious prompts, but it concedes low-rate and heavily paraphrased campaigns. The contribution is therefore a quantified design rule and a clear boundary on where the approach works.</w:t>
      </w:r>
    </w:p>
    <w:p>
      <w:pPr>
        <w:pStyle w:val="Heading1"/>
      </w:pPr>
      <w:r>
        <w:t>Appendix A. Proof of Proposition 1</w:t>
      </w:r>
    </w:p>
    <w:p>
      <w:pPr>
        <w:jc w:val="both"/>
      </w:pPr>
      <w:r>
        <w:rPr>
          <w:b w:val="0"/>
          <w:i w:val="0"/>
        </w:rPr>
        <w:t>For integers K ≥ −1 define J(K) = π₀C·P₀(x&gt;K) + π₁ρM·P₁(x≤K) (K = −1 means that Tier 2 is always on). Then J(K+1) − J(K) = −π₀C f₀(K+1) + π₁ρM f₁(K+1) = π₁ρM f₀(K+1) [ L(K+1) − c ], where L(k) = f₁(k)/f₀(k) and c = π₀C/(π₁ρM). Since L is strictly increasing, L(K+1) − c changes sign at most once, from negative to non-negative; so the increments of J are negative and then non-negative, and J is quasi-convex (decreasing, then non-decreasing). The minimizer is the smallest K such that L(K+1) ≥ c, which is the stated K*. Under the Poisson baseline with an independent Poisson(b) increment, L(k) = ((μ₀+b)/μ₀)^k e^{−b}, which is strictly increasing in k for b &gt; 0. K* is non-decreasing in c (hence in C/(ρM)) because the set {K: L(K+1) ≥ c} shrinks as c grows. (The dependence on b is not monotone in general, because ∂ ln L/∂b = k/(μ₀+b) − 1 changes sign at k = μ₀+b; in Table 1 K* rises with b because stronger attacks remain detectable at a higher cutoff, which lowers false triggers.) □</w:t>
      </w:r>
    </w:p>
    <w:p>
      <w:pPr>
        <w:jc w:val="both"/>
      </w:pPr>
      <w:r>
        <w:rPr>
          <w:b w:val="0"/>
          <w:i w:val="0"/>
        </w:rPr>
        <w:t>Proof of Proposition 2. P(Poisson(λ) &gt; K) is strictly increasing in λ, since Poisson distributions are stochastically ordered in the mean; the trigger probability p(b) is a continuous, strictly increasing function of b with p(0) &lt; δ for the false-alarm budget, so p(b) = δ has a unique solution b̄(δ). Windows are conditionally independent given the intensities, so an n-window campaign goes untriggered with probability (1 − p(b))ⁿ. □</w:t>
      </w:r>
    </w:p>
    <w:p>
      <w:pPr>
        <w:pStyle w:val="Heading1"/>
      </w:pPr>
      <w:r>
        <w:t>Appendix B. Simulation details</w:t>
      </w:r>
    </w:p>
    <w:p>
      <w:pPr>
        <w:jc w:val="both"/>
      </w:pPr>
      <w:r>
        <w:rPr>
          <w:b w:val="0"/>
          <w:i w:val="0"/>
        </w:rPr>
        <w:t>Python/NumPy, seed 20261008. Benign counts: Poisson(λ₀(t)Z_t) with Z_t ~ Gamma(25, 1/25). λ₀(t) = 0.5[1 + 0.6 sin(2π(m − 540)/1440)] where m is the minute of day. Rule C limits: negative-binomial quantile with shape 25 and mean λ₀(t) at 1 − α. Rule B limit: Poisson quantile at mean 0.5 (K = 4). CUSUM: z_t = (x_t − λ₀(t))/√(λ₀(t) + λ₀(t)²/25), k = 0.5, h = 8.8 (bisection so that benign false triggers match rule C), reset to zero after a trigger. Cool-down: Tier 2 is active in windows t+1…t+5 after a trigger at t. Tier 2 share: Σ v_t·1(on_t) / Σ v_t. Coverage: Σ attack_t·1(on_t) / Σ attack_t. Random sampling: coverage equals the Tier 2 share of rule C in the same scenario.</w:t>
      </w:r>
    </w:p>
    <w:p>
      <w:pPr>
        <w:pStyle w:val="Heading1"/>
      </w:pPr>
      <w:r>
        <w:t>References</w:t>
      </w:r>
    </w:p>
    <w:p>
      <w:pPr>
        <w:ind w:left="454" w:hanging="454"/>
      </w:pPr>
      <w:r>
        <w:rPr>
          <w:b w:val="0"/>
          <w:i w:val="0"/>
          <w:sz w:val="20"/>
        </w:rPr>
        <w:t>Armbrust, M., et al. 2010. "A View of Cloud Computing," Communications of the ACM (53:4), pp. 50–58.</w:t>
      </w:r>
    </w:p>
    <w:p>
      <w:pPr>
        <w:ind w:left="454" w:hanging="454"/>
      </w:pPr>
      <w:r>
        <w:rPr>
          <w:b w:val="0"/>
          <w:i w:val="0"/>
          <w:sz w:val="20"/>
        </w:rPr>
        <w:t>Cavusoglu, H., Mishra, B., and Raghunathan, S. 2004. "A Model for Evaluating IT Security Investments," Communications of the ACM (47:7), pp. 87–92.</w:t>
      </w:r>
    </w:p>
    <w:p>
      <w:pPr>
        <w:ind w:left="454" w:hanging="454"/>
      </w:pPr>
      <w:r>
        <w:rPr>
          <w:b w:val="0"/>
          <w:i w:val="0"/>
          <w:sz w:val="20"/>
        </w:rPr>
        <w:t>Cavusoglu, H., Mishra, B., and Raghunathan, S. 2005. "The Value of Intrusion Detection Systems in Information Technology Security Architecture," Information Systems Research (16:1), pp. 28–46.</w:t>
      </w:r>
    </w:p>
    <w:p>
      <w:pPr>
        <w:ind w:left="454" w:hanging="454"/>
      </w:pPr>
      <w:r>
        <w:rPr>
          <w:b w:val="0"/>
          <w:i w:val="0"/>
          <w:sz w:val="20"/>
        </w:rPr>
        <w:t>Chao, P., et al. 2023. "Jailbreaking Black Box Large Language Models in Twenty Queries," arXiv:2310.08419.</w:t>
      </w:r>
    </w:p>
    <w:p>
      <w:pPr>
        <w:ind w:left="454" w:hanging="454"/>
      </w:pPr>
      <w:r>
        <w:rPr>
          <w:b w:val="0"/>
          <w:i w:val="0"/>
          <w:sz w:val="20"/>
        </w:rPr>
        <w:t>Chao, P., et al. 2024. "JailbreakBench: An Open Robustness Benchmark for Jailbreaking Large Language Models," NeurIPS Datasets and Benchmarks Track.</w:t>
      </w:r>
    </w:p>
    <w:p>
      <w:pPr>
        <w:ind w:left="454" w:hanging="454"/>
      </w:pPr>
      <w:r>
        <w:rPr>
          <w:b w:val="0"/>
          <w:i w:val="0"/>
          <w:sz w:val="20"/>
        </w:rPr>
        <w:t>Gordon, L. A., and Loeb, M. P. 2002. "The Economics of Information Security Investment," ACM Transactions on Information and System Security (5:4), pp. 438–457.</w:t>
      </w:r>
    </w:p>
    <w:p>
      <w:pPr>
        <w:ind w:left="454" w:hanging="454"/>
      </w:pPr>
      <w:r>
        <w:rPr>
          <w:b w:val="0"/>
          <w:i w:val="0"/>
          <w:sz w:val="20"/>
        </w:rPr>
        <w:t>Grandell, J. 1976. Doubly Stochastic Poisson Processes, Lecture Notes in Mathematics 529, Springer.</w:t>
      </w:r>
    </w:p>
    <w:p>
      <w:pPr>
        <w:ind w:left="454" w:hanging="454"/>
      </w:pPr>
      <w:r>
        <w:rPr>
          <w:b w:val="0"/>
          <w:i w:val="0"/>
          <w:sz w:val="20"/>
        </w:rPr>
        <w:t>Greshake, K., et al. 2023. "Not What You've Signed Up For: Compromising Real-World LLM-Integrated Applications with Indirect Prompt Injection," Proceedings of the 16th ACM Workshop on Artificial Intelligence and Security.</w:t>
      </w:r>
    </w:p>
    <w:p>
      <w:pPr>
        <w:ind w:left="454" w:hanging="454"/>
      </w:pPr>
      <w:r>
        <w:rPr>
          <w:b w:val="0"/>
          <w:i w:val="0"/>
          <w:sz w:val="20"/>
        </w:rPr>
        <w:t>Hevner, A. R., March, S. T., Park, J., and Ram, S. 2004. "Design Science in Information Systems Research," MIS Quarterly (28:1), pp. 75–105.</w:t>
      </w:r>
    </w:p>
    <w:p>
      <w:pPr>
        <w:ind w:left="454" w:hanging="454"/>
      </w:pPr>
      <w:r>
        <w:rPr>
          <w:b w:val="0"/>
          <w:i w:val="0"/>
          <w:sz w:val="20"/>
        </w:rPr>
        <w:t>Inan, H., et al. 2023. "Llama Guard: LLM-based Input-Output Safeguard for Human-AI Conversations," arXiv:2312.06674.</w:t>
      </w:r>
    </w:p>
    <w:p>
      <w:pPr>
        <w:ind w:left="454" w:hanging="454"/>
      </w:pPr>
      <w:r>
        <w:rPr>
          <w:b w:val="0"/>
          <w:i w:val="0"/>
          <w:sz w:val="20"/>
        </w:rPr>
        <w:t>Lorden, G. 1971. "Procedures for Reacting to a Change in Distribution," Annals of Mathematical Statistics (42:6), pp. 1897–1908.</w:t>
      </w:r>
    </w:p>
    <w:p>
      <w:pPr>
        <w:ind w:left="454" w:hanging="454"/>
      </w:pPr>
      <w:r>
        <w:rPr>
          <w:b w:val="0"/>
          <w:i w:val="0"/>
          <w:sz w:val="20"/>
        </w:rPr>
        <w:t>Mazeika, M., et al. 2024. "HarmBench: A Standardized Evaluation Framework for Automated Red Teaming and Robust Refusal," Proceedings of ICML.</w:t>
      </w:r>
    </w:p>
    <w:p>
      <w:pPr>
        <w:ind w:left="454" w:hanging="454"/>
      </w:pPr>
      <w:r>
        <w:rPr>
          <w:b w:val="0"/>
          <w:i w:val="0"/>
          <w:sz w:val="20"/>
        </w:rPr>
        <w:t>Montgomery, D. C. 2019. Introduction to Statistical Quality Control, 8th ed., Wiley.</w:t>
      </w:r>
    </w:p>
    <w:p>
      <w:pPr>
        <w:ind w:left="454" w:hanging="454"/>
      </w:pPr>
      <w:r>
        <w:rPr>
          <w:b w:val="0"/>
          <w:i w:val="0"/>
          <w:sz w:val="20"/>
        </w:rPr>
        <w:t>Moustakides, G. V. 1986. "Optimal Stopping Times for Detecting Changes in Distributions," Annals of Statistics (14:4), pp. 1379–1387.</w:t>
      </w:r>
    </w:p>
    <w:p>
      <w:pPr>
        <w:ind w:left="454" w:hanging="454"/>
      </w:pPr>
      <w:r>
        <w:rPr>
          <w:b w:val="0"/>
          <w:i w:val="0"/>
          <w:sz w:val="20"/>
        </w:rPr>
        <w:t>Page, E. S. 1954. "Continuous Inspection Schemes," Biometrika (41:1/2), pp. 100–115.</w:t>
      </w:r>
    </w:p>
    <w:p>
      <w:pPr>
        <w:ind w:left="454" w:hanging="454"/>
      </w:pPr>
      <w:r>
        <w:rPr>
          <w:b w:val="0"/>
          <w:i w:val="0"/>
          <w:sz w:val="20"/>
        </w:rPr>
        <w:t>Perez, F., and Ribeiro, I. 2022. "Ignore Previous Prompt: Attack Techniques for Language Models," arXiv:2211.09527.</w:t>
      </w:r>
    </w:p>
    <w:p>
      <w:pPr>
        <w:ind w:left="454" w:hanging="454"/>
      </w:pPr>
      <w:r>
        <w:rPr>
          <w:b w:val="0"/>
          <w:i w:val="0"/>
          <w:sz w:val="20"/>
        </w:rPr>
        <w:t>Wei, A., Haghtalab, N., and Steinhardt, J. 2023. "Jailbroken: How Does LLM Safety Training Fail?" Advances in Neural Information Processing Systems 36.</w:t>
      </w:r>
    </w:p>
    <w:p>
      <w:pPr>
        <w:ind w:left="454" w:hanging="454"/>
      </w:pPr>
      <w:r>
        <w:rPr>
          <w:b w:val="0"/>
          <w:i w:val="0"/>
          <w:sz w:val="20"/>
        </w:rPr>
        <w:t>Whitt, W. 1999. "Dynamic Staffing in a Telephone Call Center Aiming for Immediate Service," Operations Research (47:6), pp. 905–922.</w:t>
      </w:r>
    </w:p>
    <w:p>
      <w:pPr>
        <w:ind w:left="454" w:hanging="454"/>
      </w:pPr>
      <w:r>
        <w:rPr>
          <w:b w:val="0"/>
          <w:i w:val="0"/>
          <w:sz w:val="20"/>
        </w:rPr>
        <w:t>Zou, A., et al. 2023. "Universal and Transferable Adversarial Attacks on Aligned Language Models," arXiv:2307.15043.</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