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When Do LLM Operators Skip Verification? Goal Visibility, Reasoning, and Framing in an Automated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delegating maintenance decisions to large language model (LLM) operators, and the prompt that describes the situation is the only contract between principal and operator. We ask which features of that interface govern whether an operator skips verification, in an environment where skipping is dominated and every outcome is scored by rule. We first test the registered loss-chasing hypothesis, that a loss description of a failed update raises skipping, and find no support in three models (Study 1). Five further studies then examine what is associated with skipping, each writing every frame in 16 independently generated wordings, so that wording is the unit of replication. In a fast commercial model (Claude Haiku 4.5), skipping appears under time pressure (27.2% of first choices with three turns left, 0.5% with six, and none with twelve). Stating the target in the headline raised it by up to 54 percentage points, whereas loss text lowered it by 13. Extended thinking lowered it to 9.7%, and stating each option's expected quality change lowered it without removing it. Three larger commercial models (Sonnet 5.5, Opus 5.5, and Fable 5.1) did not skip in any of 4,320 first choices each, so the question is not informative for them. A screen of seven small models from other vendors, fixed before the runs, found one more model that skips (Gemini 2.5 Flash-Lite), with the same ordering of frames and an effect of target visibility; the other valid models skipped little or not at all. The pattern is consistent with goal visibility and reasoning, not loss accounting, as the interface features that matter. We contribute a design that treats wording as the unit of replication, a measurement argument for excess risk over an expected-value benchmark, and guidance for stating objectives, setting reasoning budgets, and auditing operator models.</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delegation to AI; interface design; AI maintenance;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registered hypothesis is one candidate explanation among several for why an operator might skip verification. We therefore treat the paper as a study of which features of the delegation interface govern skipping: the valence of the status text, whether the target is visible in it, how many turns remain, whether the operator can reason before it acts, whether it is shown the expected value of each option, and the model tier. Section 2.6 states these as propositions.</w:t>
      </w:r>
    </w:p>
    <w:p>
      <w:pPr>
        <w:spacing w:after="0" w:before="0" w:line="480"/>
        <w:ind w:firstLine="720"/>
        <w:jc w:val="left"/>
      </w:pPr>
      <w:r>
        <w:rPr>
          <w:rFonts w:ascii="Times New Roman" w:cs="Times New Roman" w:eastAsia="Times New Roman" w:hAnsi="Times New Roman"/>
          <w:sz w:val="24"/>
          <w:szCs w:val="24"/>
        </w:rPr>
        <w:t xml:space="preserve">The paper reports six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and a fifth study, designed after Study 4, asks whether the skipping persists when the dominance of verification is made visible. A sixth study, designed after Study 5 and governed by a screening rule fixed before the runs, asks whether small models from other vendors show the same pattern.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move the question from whether LLMs copy human biases to which features of the delegation interface control an operator's risk behavior. In the fast commercial model that skips, and in part in a small model from a second vendor, the visibility of the target and the time left are associated with large differences in skipping, reasoning with a large reduction, and the loss or gain wording of the headline is not a driver of it (Sections 5 to 10). Second, we report a registered test of loss chasing, defined through three jointly necessary conditions in an environment where skipping is dominated, and we follow it with studies that identify what is associated with skipping instead; the registered hypothesis is not supported. Third, we provide a design for evaluating LLM operators in which the wording is the unit of replication, with 16 independently generated wordings per frame so that the frame, wording, and interaction effects can be separated, and a measurement argument: when a rollback of positive expected value exists, the natural test that risk rises after failures mislabels rational retreat, and we propose excess risk over an expected-value benchmark together with test-skipping. Fourth, we show where the question is informative: three larger commercial models that reason by default did not skip in any first choice, so frame effects cannot be estimated for them, and in the fast model skipping is lower with extended reasoning.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the hypotheses, and the propositions that organize the studies, Section 3 gives an overview of the studies, and Section 4 describes the environment and procedure. Sections 5 to 10 report the six studies. Section 11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Payne (2025) reports that reasoning models show choices consistent with prospect theory in scenario-based risk decisions, with framing effects that vary by scenario, and Wang and Zhang (2026) find that logically equivalent framings shift choices across model families, often toward risk-averse options, in a voting task. These studies mostly examine one-shot allocation or risk choices. A separate line of work places language-model agents under pressure in simulated work settings. A GPT-4 trading agent acted on an insider tip and concealed its reasons more often under pressure than when the pressure was removed (Scheurer et al. 2023). Agents facing a conflict between reaching a goal and keeping a safety constraint have been reported to trade safety for utility, with stronger reasoning accelerating the decline through rationalization (Jiang and Tang 2026). Coding agents violate their instructions more often under sustained environmental pressure (Saebo et al. 2026), and long-horizon tool-use agents are biased toward submitting an answer that looks complete while constraints remain unresolved as the end approaches (Chen et al. 2026). A study of reasoning effort asked whether agents facing an unreachable target use a forbidden tool, and found that two tiers of a commercial model avoided it at both low and maximum reasoning settings (Xu and Wu 2026). Our environment differs in that the correct choice is known from the payoff structure, the shortcut is a dominated option and not a rule violation, and the manipulation separates the valence of the status text from the visibility of the goal.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2"/>
        <w:keepNext/>
        <w:spacing w:after="0" w:before="0" w:line="480"/>
      </w:pPr>
      <w:r>
        <w:rPr>
          <w:rFonts w:ascii="Times New Roman" w:cs="Times New Roman" w:eastAsia="Times New Roman" w:hAnsi="Times New Roman"/>
          <w:b/>
          <w:bCs/>
          <w:i/>
          <w:iCs/>
          <w:sz w:val="24"/>
          <w:szCs w:val="24"/>
        </w:rPr>
        <w:t xml:space="preserve">2.6 Conceptual model and propositions</w:t>
      </w:r>
    </w:p>
    <w:p>
      <w:pPr>
        <w:spacing w:after="0" w:before="0" w:line="480"/>
        <w:ind w:firstLine="720"/>
        <w:jc w:val="left"/>
      </w:pPr>
      <w:r>
        <w:rPr>
          <w:rFonts w:ascii="Times New Roman" w:cs="Times New Roman" w:eastAsia="Times New Roman" w:hAnsi="Times New Roman"/>
          <w:sz w:val="24"/>
          <w:szCs w:val="24"/>
        </w:rPr>
        <w:t xml:space="preserve">The hypotheses above come from two sources: the registered account (H1 to H4) and the goal and reasoning accounts stated after Study 1 (H5 to H7). Together they describe one conceptual model. Verification skipping by an LLM operator is a function of features of the delegation interface (the valence of the status text, whether the target is visible in it, the turns left, whether the operator reasons before acting, and the information shown about the options), conditional on the model tier. The prompt is the principal's only channel to the operator, so each feature is a configuration choice that the principal controls. Box 1 states the propositions and where they are tested.</w:t>
      </w:r>
    </w:p>
    <w:p>
      <w:pPr>
        <w:keepNext/>
        <w:spacing w:after="0" w:before="0" w:line="480"/>
      </w:pPr>
      <w:r>
        <w:rPr>
          <w:rFonts w:ascii="Times New Roman" w:cs="Times New Roman" w:eastAsia="Times New Roman" w:hAnsi="Times New Roman"/>
          <w:b/>
          <w:bCs/>
          <w:sz w:val="24"/>
          <w:szCs w:val="24"/>
        </w:rPr>
        <w:t xml:space="preserve">Box 1.</w:t>
      </w:r>
      <w:r>
        <w:rPr>
          <w:rFonts w:ascii="Times New Roman" w:cs="Times New Roman" w:eastAsia="Times New Roman" w:hAnsi="Times New Roman"/>
          <w:sz w:val="24"/>
          <w:szCs w:val="24"/>
        </w:rPr>
        <w:t xml:space="preserve"> Propositions, hypotheses, and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660"/>
        <w:gridCol w:w="1700"/>
        <w:gridCol w:w="130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Proposition</w:t>
            </w:r>
          </w:p>
        </w:tc>
        <w:tc>
          <w:tcPr>
            <w:tcW w:type="dxa" w:w="4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Statement</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Hypothesis</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Study</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P1 Goal visibility</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Skipping is higher when the target is stated in the decision context.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P2 Reasoning</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Reasoning before acting lowers skipping.</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3, 2</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P3 Time pressure</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Skipping appears when few turns remain.</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Design factor of Study 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P4 Framing</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text does not raise skipping relative to gain or neutral text; if anything it lowers it.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H1, H6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P5 Information</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Showing the expected quality change of each option lowers skipping but does not remove it.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Stated after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P6 Tier</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Larger commercial tiers that reason by default skip no more often than the fast tier with reasoning.</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P1 to P6 summarize the pattern of the evidence; H1 to H4 were registered, and H5 to H7 and P3 to P6 were stated after Study 1.</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Fable 5.1,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5</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skipping persist when the expected quality change of each option is stated?</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Study 4 design (5 frames x 16 wordings, target in the facts line) with the expected quality change appended to every option,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6</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 small models from other vendors show the same pattern?</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Seven small models from five vendors (through one aggregator)</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Screen at 3 turns left (3 frames x 16 wordings x 30); the model that passes is also run at 12 and 6 turns and in the Study 4 design</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1,440 per model screened; 2,880 and 4,800 more for the model that passes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Online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four commercial models: Haiku 4.5 (temperature 0.7), Sonnet 5.5, Opus 5.5, and Fable 5.1, which was run at three turns left only to limit cost; Studies 3, 4, and 5 used Haiku 4.5. The Sonnet, Opus, and Fable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Online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6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Opus 5.5, and Fable 5.1,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Fable 5.1</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and Fable 5.1 did not in any of its 4,320 first choices.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Fable 5.1 also showed no parse failure and no refusal in any condition, and chose narrow_patch in 99.7%, 97.4%, and 96.0% of first choices at 12, 6, and 3 turns left, with wide_patch in the remainder. Because the contrast cannot be estimated, these models neither support nor contradict a frame effect; this environment elicited no skipping from them under any of the 48 sentences (including Fable 5.1).</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Opus 5.5, and Fable 5.1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Study 5: Is Skipping Still Chosen When Its Dominance Is Visible?</w:t>
      </w:r>
    </w:p>
    <w:p>
      <w:pPr>
        <w:spacing w:after="0" w:before="0" w:line="480"/>
        <w:ind w:firstLine="720"/>
        <w:jc w:val="left"/>
      </w:pPr>
      <w:r>
        <w:rPr>
          <w:rFonts w:ascii="Times New Roman" w:cs="Times New Roman" w:eastAsia="Times New Roman" w:hAnsi="Times New Roman"/>
          <w:sz w:val="24"/>
          <w:szCs w:val="24"/>
        </w:rPr>
        <w:t xml:space="preserve">In Studies 1 to 4 the operator sees only qualitative option descriptions, so the dominance of verification is visible to the designer but not to the operator. Skipping could then be a defensible trade-off from the operator's information, in which case it would not satisfy condition (2) of our definition. Study 5 makes the dominance visible. Every option description ends with its expected quality change, computed from the payoff table: hold +0.00, narrow_patch +0.50, narrow_skip -0.35, wide_patch +0.60, wide_skip -2.20, and for rollback the change to the baseline (+0.00 at quality 100). The design is that of Study 4 with the target in the facts line: 5 frames x 16 wordings x 30 episodes = 2,400 first choices in Haiku 4.5 at temperature 0.7, with three turns left and no injected failures. The comparison is with the Study 4 run of the same design without expected values, paired by wording. The comparison script was committed before the run, and Study 5 is not registered.</w:t>
      </w:r>
    </w:p>
    <w:p>
      <w:pPr>
        <w:keepNext/>
        <w:spacing w:after="0" w:before="0" w:line="480"/>
      </w:pPr>
      <w:r>
        <w:rPr>
          <w:rFonts w:ascii="Times New Roman" w:cs="Times New Roman" w:eastAsia="Times New Roman" w:hAnsi="Times New Roman"/>
          <w:b/>
          <w:bCs/>
          <w:sz w:val="24"/>
          <w:szCs w:val="24"/>
        </w:rPr>
        <w:t xml:space="preserve">Table 9.</w:t>
      </w:r>
      <w:r>
        <w:rPr>
          <w:rFonts w:ascii="Times New Roman" w:cs="Times New Roman" w:eastAsia="Times New Roman" w:hAnsi="Times New Roman"/>
          <w:sz w:val="24"/>
          <w:szCs w:val="24"/>
        </w:rPr>
        <w:t xml:space="preserve"> Study 5: skip rate by frame without and with the expected quality change stated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300"/>
        <w:gridCol w:w="1500"/>
        <w:gridCol w:w="1400"/>
        <w:gridCol w:w="13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not shown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shown (Study 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17.3%</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Change, pp [95% CI over wordings]</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-4.8 [-17.1, +5.6]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[-3.8, -0.4]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-37.3 [-61.0, -10.8]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-51.9 [-65.2, -38.1]</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-10.6 [-32.5, +12.1]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the two runs share the design but not the sampling draws.</w:t>
      </w:r>
    </w:p>
    <w:p>
      <w:pPr>
        <w:spacing w:after="0" w:before="0" w:line="480"/>
        <w:ind w:firstLine="720"/>
        <w:jc w:val="left"/>
      </w:pPr>
      <w:r>
        <w:rPr>
          <w:rFonts w:ascii="Times New Roman" w:cs="Times New Roman" w:eastAsia="Times New Roman" w:hAnsi="Times New Roman"/>
          <w:sz w:val="24"/>
          <w:szCs w:val="24"/>
        </w:rPr>
        <w:t xml:space="preserve">Showing the expected values (Table 9) lowered skipping most where it had been highest: by 37.3 points in the gain frame and by 51.9 points in the neutral-plus-target frame, with smaller changes elsewhere. Skipping did not disappear. With the negative expected quality change of skipping stated, 25.0% of first choices in the gain frame, 21.5% in the loss-plus-target frame, and 17.3% in the neutral-plus-target frame were skip actions. The contrasts in Studies 2 to 4 kept their direction in this run. Within the expected-value run, stating the target raised skipping with loss text by 21.5 points [8.5, 36.5] (10 of 16 wordings positive, none negative) and with neutral text by 7.1 points [-7.1, +22.9] (8 positive, 6 negative); loss text lowered skipping relative to neutral text by 10.2 points [-17.9, -3.8] (8 wordings negative, none positive, the rest equal); and the registered contrast (loss minus gain) was -25.0 points [-43.3, -9.6].</w:t>
      </w:r>
    </w:p>
    <w:p>
      <w:pPr>
        <w:spacing w:after="0" w:before="0" w:line="480"/>
        <w:ind w:firstLine="720"/>
        <w:jc w:val="left"/>
      </w:pPr>
      <w:r>
        <w:rPr>
          <w:rFonts w:ascii="Times New Roman" w:cs="Times New Roman" w:eastAsia="Times New Roman" w:hAnsi="Times New Roman"/>
          <w:sz w:val="24"/>
          <w:szCs w:val="24"/>
        </w:rPr>
        <w:t xml:space="preserve">Two readings follow. Part of the skipping in Studies 2 to 4 reflects an operator that does not know the expected value of its options, as the large reductions show. A remainder is chosen when the dominance is visible, in the frames that state the target, which is the combination that condition (2) of the definition of loss chasing requires, although loss text still does not raise it. Three cautions apply. The added text lengthens every option and could act as a cue about what the designer expects. The two runs share a design but not their sampling draws. And a skip action still saves one turn against two or three for a verified action, so the choice remains consistent with a trade of expected quality for speed that the operator judges worthwhile when time is short; the design does not tell us whether the model weighs a chance of reaching the target.</w:t>
      </w:r>
    </w:p>
    <w:p>
      <w:pPr>
        <w:pStyle w:val="Heading1"/>
        <w:keepNext/>
        <w:spacing w:after="0" w:before="0" w:line="480"/>
      </w:pPr>
      <w:r>
        <w:rPr>
          <w:rFonts w:ascii="Times New Roman" w:cs="Times New Roman" w:eastAsia="Times New Roman" w:hAnsi="Times New Roman"/>
          <w:b/>
          <w:bCs/>
          <w:sz w:val="24"/>
          <w:szCs w:val="24"/>
        </w:rPr>
        <w:t xml:space="preserve">10. Study 6: Replication in Small Models from Other Vendors</w:t>
      </w:r>
    </w:p>
    <w:p>
      <w:pPr>
        <w:spacing w:after="0" w:before="0" w:line="480"/>
        <w:ind w:firstLine="720"/>
        <w:jc w:val="left"/>
      </w:pPr>
      <w:r>
        <w:rPr>
          <w:rFonts w:ascii="Times New Roman" w:cs="Times New Roman" w:eastAsia="Times New Roman" w:hAnsi="Times New Roman"/>
          <w:sz w:val="24"/>
          <w:szCs w:val="24"/>
        </w:rPr>
        <w:t xml:space="preserve">The main results of Studies 2 to 5 come from one model that skips. Study 6 asks whether small models from other vendors show the same pattern. Before any run we fixed a screening rule in a plan that was committed to the repository: seven small models, reached through one aggregator, were each run at three turns left in the Study 2 design (3 frames x 16 wordings x 30 episodes, 1,440 first choices, temperature 0.7 where the model accepts it). A model passes the screen if at least 5% of its first choices skip verification, so that frame contrasts can be estimated. A run in which more than 5% of first choices are parse failures or refusals is invalid and is not read as a floor. Models that pass are also run at 12 and 6 turns left and in the Study 4 design with and without the target in the facts line. Every candidate that was run is reported.</w:t>
      </w:r>
    </w:p>
    <w:p>
      <w:pPr>
        <w:keepNext/>
        <w:spacing w:after="0" w:before="0" w:line="480"/>
      </w:pPr>
      <w:r>
        <w:rPr>
          <w:rFonts w:ascii="Times New Roman" w:cs="Times New Roman" w:eastAsia="Times New Roman" w:hAnsi="Times New Roman"/>
          <w:b/>
          <w:bCs/>
          <w:sz w:val="24"/>
          <w:szCs w:val="24"/>
        </w:rPr>
        <w:t xml:space="preserve">Table 10.</w:t>
      </w:r>
      <w:r>
        <w:rPr>
          <w:rFonts w:ascii="Times New Roman" w:cs="Times New Roman" w:eastAsia="Times New Roman" w:hAnsi="Times New Roman"/>
          <w:sz w:val="24"/>
          <w:szCs w:val="24"/>
        </w:rPr>
        <w:t xml:space="preserve"> Study 6: screening of seven small models at three turns left (1,440 first choices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1000"/>
        <w:gridCol w:w="1500"/>
        <w:gridCol w:w="17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Parse failures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Screen</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Gemini 2.5 Flash-Lite</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17.2%</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4.4%</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30.6%</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Passes</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Ministral-8B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11.5%</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Below 5%</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Llama-3.1-8B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Below 5%</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Gemini 3.1 Flash-Lite</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Floor</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Gemma-3-12B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Floor</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GPT-5-nano</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valid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1,440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Excluded (invalid run)</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Qwen3-14B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valid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1,276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Excluded (invalid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Skip rates are pooled over frames and wordings; the loss, gain, and neutral columns are the rates in each frame. The plan with the screening rule is dated before the runs.</w:t>
      </w:r>
    </w:p>
    <w:p>
      <w:pPr>
        <w:spacing w:after="0" w:before="0" w:line="480"/>
        <w:ind w:firstLine="720"/>
        <w:jc w:val="left"/>
      </w:pPr>
      <w:r>
        <w:rPr>
          <w:rFonts w:ascii="Times New Roman" w:cs="Times New Roman" w:eastAsia="Times New Roman" w:hAnsi="Times New Roman"/>
          <w:sz w:val="24"/>
          <w:szCs w:val="24"/>
        </w:rPr>
        <w:t xml:space="preserve">Of the seven models, one passed the screen. Gemini 2.5 Flash-Lite skipped in 17.2% of first choices at three turns left, with the same ordering of frames as Haiku 4.5 (gain 30.6%, neutral 16.7%, loss 4.4%). Its loss frame skipped less than its gain-to-goal frame (-26.2 points, 95% interval -41.5 to -12.9 over wordings; below in 11 of 16 wordings and above in 1), and its neutral frame skipped less than its gain frame (-14.0 [-27.1, -1.7]). Ministral-8B did not meet the 5% rule (4.0%), but its ordering was the same (loss 0.6%, neutral 0.0%, gain 11.5%; loss minus gain -10.8 [-24.0, -1.7]); we report it as below the screen and did not extend it. Llama-3.1-8B (2.4%) showed no frame difference (+0.4 [-1.0, +1.9]), and Gemini 3.1 Flash-Lite and Gemma-3-12B did not skip in any cell, so the question is not informative for them. The first runs of GPT-5-nano and Qwen3-14B, which reason by default, returned empty answers in 1,440 and 1,276 first choices because the output budget of 200 tokens was used by hidden reasoning; these runs are invalid and are not interpreted as floors; we did not repeat them, and the two models are excluded from the comparison. For the models with valid runs there were at most three parse failures and no refusals in 1,440 first choices.</w:t>
      </w:r>
    </w:p>
    <w:p>
      <w:pPr>
        <w:spacing w:after="0" w:before="0" w:line="480"/>
        <w:ind w:firstLine="720"/>
        <w:jc w:val="left"/>
      </w:pPr>
      <w:r>
        <w:rPr>
          <w:rFonts w:ascii="Times New Roman" w:cs="Times New Roman" w:eastAsia="Times New Roman" w:hAnsi="Times New Roman"/>
          <w:sz w:val="24"/>
          <w:szCs w:val="24"/>
        </w:rPr>
        <w:t xml:space="preserve">Skipping by Gemini 2.5 Flash-Lite appeared under time pressure only: 0.3% at twelve turns left, 1.5% at six, and 17.2% at three (Table 11).</w:t>
      </w:r>
    </w:p>
    <w:p>
      <w:pPr>
        <w:keepNext/>
        <w:spacing w:after="0" w:before="0" w:line="480"/>
      </w:pPr>
      <w:r>
        <w:rPr>
          <w:rFonts w:ascii="Times New Roman" w:cs="Times New Roman" w:eastAsia="Times New Roman" w:hAnsi="Times New Roman"/>
          <w:b/>
          <w:bCs/>
          <w:sz w:val="24"/>
          <w:szCs w:val="24"/>
        </w:rPr>
        <w:t xml:space="preserve">Table 11.</w:t>
      </w:r>
      <w:r>
        <w:rPr>
          <w:rFonts w:ascii="Times New Roman" w:cs="Times New Roman" w:eastAsia="Times New Roman" w:hAnsi="Times New Roman"/>
          <w:sz w:val="24"/>
          <w:szCs w:val="24"/>
        </w:rPr>
        <w:t xml:space="preserve"> Study 6: Gemini 2.5 Flash-Lite by turns left (16 wordings x 30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700"/>
        <w:gridCol w:w="1700"/>
        <w:gridCol w:w="1300"/>
        <w:gridCol w:w="2060"/>
      </w:tblGrid>
      <w:tr>
        <w:trPr>
          <w:cantSplit/>
          <w:tblHeader/>
        </w:trPr>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Turns left</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(range over cells)</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gain (below)</w:t>
            </w:r>
          </w:p>
        </w:tc>
        <w:tc>
          <w:tcPr>
            <w:tcW w:type="dxa" w:w="2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Frame / wording / interaction (noise floor)</w:t>
            </w:r>
          </w:p>
        </w:tc>
      </w:tr>
      <w:tr>
        <w:trPr>
          <w:cantSplit/>
          <w:tblHeader w:val="off"/>
        </w:trPr>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12</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 (0.0%-3.3%)</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 [-1.0, 0.0]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[-0.8, +0.8]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of 16 (2)</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 / 27.3% / 68.2% (98.9%)</w:t>
            </w:r>
          </w:p>
        </w:tc>
      </w:tr>
      <w:tr>
        <w:trPr>
          <w:cantSplit/>
          <w:tblHeader w:val="off"/>
        </w:trPr>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6</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(0.0%-16.7%)</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[-4.6, +0.6]</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[-4.2, -0.4]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of 16 (6)</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7.1% / 35.9% / 57.1% (37.5%)</w:t>
            </w:r>
          </w:p>
        </w:tc>
      </w:tr>
      <w:tr>
        <w:trPr>
          <w:cantSplit/>
          <w:tblHeader w:val="off"/>
        </w:trPr>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17.2% (0.0%-100.0%)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-26.2 [-41.5, -12.9]</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-14.0 [-27.1, -1.7]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of 16 (11)</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16.1% / 47.6% / 36.3% (3.1%)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Parse failures in the three conditions: 1, 8, and 3 of 1,440.</w:t>
      </w:r>
    </w:p>
    <w:p>
      <w:pPr>
        <w:spacing w:after="0" w:before="0" w:line="480"/>
        <w:ind w:firstLine="720"/>
        <w:jc w:val="left"/>
      </w:pPr>
      <w:r>
        <w:rPr>
          <w:rFonts w:ascii="Times New Roman" w:cs="Times New Roman" w:eastAsia="Times New Roman" w:hAnsi="Times New Roman"/>
          <w:sz w:val="24"/>
          <w:szCs w:val="24"/>
        </w:rPr>
        <w:t xml:space="preserve">The Study 4 design gave a similar picture (Tables 12 and 13). With the target left out of the facts line, the neutral and loss frames almost never skipped (0.2% each), the gain frame, which states the target in the headline, skipped in 21.0%, and adding the target headline to the neutral and loss wordings raised skipping by 6.9 points [+0.2, +18.1] and 6.0 points [+1.5, +12.7]. Loss text without a target statement did not differ from neutral text (+0.0 [-0.6, +0.6]). With the target in the facts line, loss text lowered skipping relative to neutral text (-15.4 [-29.4, -4.0]) and the target headline raised it for the loss wording (+9.6 [+1.0, +21.3]) but not for the neutral wording (+0.4 [-10.2, +11.9]); the interaction (+9.2 [-4.2, +21.9]) was not distinguishable from zero. The registered contrast, loss minus gain, was negative in both runs (-29.2 [-44.2, -14.6] and -20.8 [-35.4, -8.3]). Without the target in the facts line this model chose hold in 61% of first choices, against 10% when the target was stated, which is consistent with an operator that has no target to reach and therefore waits.</w:t>
      </w:r>
    </w:p>
    <w:p>
      <w:pPr>
        <w:keepNext/>
        <w:spacing w:after="0" w:before="0" w:line="480"/>
      </w:pPr>
      <w:r>
        <w:rPr>
          <w:rFonts w:ascii="Times New Roman" w:cs="Times New Roman" w:eastAsia="Times New Roman" w:hAnsi="Times New Roman"/>
          <w:b/>
          <w:bCs/>
          <w:sz w:val="24"/>
          <w:szCs w:val="24"/>
        </w:rPr>
        <w:t xml:space="preserve">Table 12.</w:t>
      </w:r>
      <w:r>
        <w:rPr>
          <w:rFonts w:ascii="Times New Roman" w:cs="Times New Roman" w:eastAsia="Times New Roman" w:hAnsi="Times New Roman"/>
          <w:sz w:val="24"/>
          <w:szCs w:val="24"/>
        </w:rPr>
        <w:t xml:space="preserve"> Study 6: Gemini 2.5 Flash-Lite, skip rate by frame in the Study 4 design (mean over 16 wordings,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1200"/>
        <w:gridCol w:w="1300"/>
        <w:gridCol w:w="1700"/>
        <w:gridCol w:w="14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4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Target in the facts line</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18.8%</w:t>
            </w:r>
          </w:p>
        </w:tc>
        <w:tc>
          <w:tcPr>
            <w:tcW w:type="dxa" w:w="14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Target not in the facts line</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7.1%</w:t>
            </w:r>
          </w:p>
        </w:tc>
        <w:tc>
          <w:tcPr>
            <w:tcW w:type="dxa" w:w="14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gain frame and the two target frames state the target in the headline.</w:t>
      </w:r>
    </w:p>
    <w:p>
      <w:pPr>
        <w:keepNext/>
        <w:spacing w:after="0" w:before="0" w:line="480"/>
      </w:pPr>
      <w:r>
        <w:rPr>
          <w:rFonts w:ascii="Times New Roman" w:cs="Times New Roman" w:eastAsia="Times New Roman" w:hAnsi="Times New Roman"/>
          <w:b/>
          <w:bCs/>
          <w:sz w:val="24"/>
          <w:szCs w:val="24"/>
        </w:rPr>
        <w:t xml:space="preserve">Table 13.</w:t>
      </w:r>
      <w:r>
        <w:rPr>
          <w:rFonts w:ascii="Times New Roman" w:cs="Times New Roman" w:eastAsia="Times New Roman" w:hAnsi="Times New Roman"/>
          <w:sz w:val="24"/>
          <w:szCs w:val="24"/>
        </w:rPr>
        <w:t xml:space="preserve"> Study 6: Gemini 2.5 Flash-Lite, contrasts in percentage points with 95% intervals over wordings.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2530"/>
        <w:gridCol w:w="2530"/>
      </w:tblGrid>
      <w:tr>
        <w:trPr>
          <w:cantSplit/>
          <w:tblHeader/>
        </w:trPr>
        <w:tc>
          <w:tcPr>
            <w:tcW w:type="dxa" w:w="4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53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Target in the facts line</w:t>
            </w:r>
          </w:p>
        </w:tc>
        <w:tc>
          <w:tcPr>
            <w:tcW w:type="dxa" w:w="253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Target not in the facts line</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wording (neutral + target minus neutral)</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 [-10.2, +11.9]</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[+0.2, +18.1]</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wording (loss + target minus loss)</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+9.6 [+1.0, +21.3]</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 [+1.5, +12.7]</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-15.4 [-29.4, -4.0]</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[-0.6, +0.6]</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[-17.3, +5.4]</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 [-14.4, +9.8]</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+9.2 [-4.2, +21.9]</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 [-14.2, +9.4]</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-29.2 [-44.2, -14.6]</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-20.8 [-35.4, -8.3]</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Check: gain minus neutral + target</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+13.3 [-2.1, +27.5]</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+14.0 [+1.9, +28.3]</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and are not adjusted for multiplicity.</w:t>
      </w:r>
    </w:p>
    <w:p>
      <w:pPr>
        <w:spacing w:after="0" w:before="0" w:line="480"/>
        <w:ind w:firstLine="720"/>
        <w:jc w:val="left"/>
      </w:pPr>
      <w:r>
        <w:rPr>
          <w:rFonts w:ascii="Times New Roman" w:cs="Times New Roman" w:eastAsia="Times New Roman" w:hAnsi="Times New Roman"/>
          <w:sz w:val="24"/>
          <w:szCs w:val="24"/>
        </w:rPr>
        <w:t xml:space="preserve">Two cautions apply. The intervals are 95% intervals over wordings and are not adjusted for multiplicity, as in Studies 2 to 5. And one of seven models passing the screen is a modest base for generalization: the pattern is present in two small models from two vendors, with a smaller frame difference in the second (-26.2 against -62.9 points at three turns left), and it is absent or too small to estimate in the others. We therefore do not claim that it holds for small models in general.</w:t>
      </w:r>
    </w:p>
    <w:p>
      <w:pPr>
        <w:pStyle w:val="Heading1"/>
        <w:keepNext/>
        <w:spacing w:after="0" w:before="0" w:line="480"/>
      </w:pPr>
      <w:r>
        <w:rPr>
          <w:rFonts w:ascii="Times New Roman" w:cs="Times New Roman" w:eastAsia="Times New Roman" w:hAnsi="Times New Roman"/>
          <w:b/>
          <w:bCs/>
          <w:sz w:val="24"/>
          <w:szCs w:val="24"/>
        </w:rPr>
        <w:t xml:space="preserve">11. Discussion</w:t>
      </w:r>
    </w:p>
    <w:p>
      <w:pPr>
        <w:pStyle w:val="Heading2"/>
        <w:keepNext/>
        <w:spacing w:after="0" w:before="0" w:line="480"/>
      </w:pPr>
      <w:r>
        <w:rPr>
          <w:rFonts w:ascii="Times New Roman" w:cs="Times New Roman" w:eastAsia="Times New Roman" w:hAnsi="Times New Roman"/>
          <w:b/>
          <w:bCs/>
          <w:i/>
          <w:iCs/>
          <w:sz w:val="24"/>
          <w:szCs w:val="24"/>
        </w:rPr>
        <w:t xml:space="preserve">11.1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four commercial tiers of Study 2, or in the fast tier with thinking or with the target manipulated in Studies 3 and 4 (P4). Where skipping occurs, it is associated with time pressure (P3) and with a visible target (P1), reasoning removes most of it (P2), stating the expected quality change of each option lowers it without removing it (P5), and larger commercial tiers that reason by default did not skip at all (P6). A small model from a second vendor (Gemini 2.5 Flash-Lite) showed the same ordering of frames, the effect of time pressure, and an effect of target visibility, while the other four valid small models skipped little or not at all (Study 6).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11.2 Theoretical contributions</w:t>
      </w:r>
    </w:p>
    <w:p>
      <w:pPr>
        <w:spacing w:after="0" w:before="0" w:line="480"/>
        <w:ind w:firstLine="720"/>
        <w:jc w:val="left"/>
      </w:pPr>
      <w:r>
        <w:rPr>
          <w:rFonts w:ascii="Times New Roman" w:cs="Times New Roman" w:eastAsia="Times New Roman" w:hAnsi="Times New Roman"/>
          <w:sz w:val="24"/>
          <w:szCs w:val="24"/>
        </w:rPr>
        <w:t xml:space="preserve">The contributions follow the conceptual model in Section 2.6. First, the paper moves the question from whether an LLM reproduces a human bias to which features of the delegation interface control its risk behavior; the features that mattered here, the visibility of the target, reasoning, and time pressure, are all set by the principal. Second, a registered test of a prominent behavioral claim is reported as specified, and later studies identify what is associated with the behavior instead, so that a null result comes with an account of what moves it. Third, the design in which wording is the unit of replication, with variance shares for frame, wording, and interaction, is a procedure that other studies of LLMs as subjects can use. Fourth, the floor effects in three larger models mark the boundary within which the question is informative.</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Our reasoning result sits beside work reporting the opposite pattern. Jiang and Tang (2026) find that stronger reasoning makes agents more likely to trade safety for utility under pressure, whereas we find less skipping with reasoning in the fast model and none in the larger tiers. The two need not conflict. Their setting makes compliance infeasible and sets a rule against a goal, whereas in ours the verified options remain feasible and the shortcut is a dominated option, so deliberation can favor the verified route. We cannot tell which feature of the settings accounts for the difference, and a design that varies both within one environment would be needed to say.</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11.3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11.4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Opus 5.5, and Fable 5.1 accept no temperature argument and reason by default, and Study 3 suggests that reasoning accounts for much of the difference to Haiku 4.5; the remainder cannot be assigned to size, to training, or to the amount of reasoning, and we do not claim a size effect. Second, the main results come from two small models that skip, from two vendors, in one condition (no injected failures) at three turns left; Study 1 covers failure history only at twelve turns left. Third, Studies 2 to 5 were designed after Study 1 and were not registered. Their analysis scripts were written before the runs and their contrasts are descriptive, but the questions they answer were shaped by earlier output, the four studies together make many comparisons, and the intervals are not adjusted for multiplicity, although the three-turn contrasts of Study 2 and the main contrasts of Study 4 (the goal effect with neutral text, valence without a target statement, and the registered contrast) stay clear of zero at the 99.6% level, while the interaction and several finer contrasts in Study 4 do not.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the split of loss wordings by verb in Study 2 does not support this, but it is a comparison of six and ten wordings with a wide interval. Fifth, the format pre-fill for the open models is an intervention outside the registered protocol, and the open models were run at temperature 0.7 only. We also started the 16-wording design on the small open models and stopped it: it ran on a local processor, was interrupted repeatedly, and had reached 966 of 1,440 first choices for one model and none for the other. We stopped for reasons of time and did not analyze the partial output, so the decision did not depend on results; the open models therefore appear only in Study 1 and in the Study 2 pilot.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in Studies 1 to 4 the operator sees only qualitative option descriptions, so the dominance of verification is visible to the designer but not to the operator, and part of the skipping may be a defensible trade-off from the operator's information. Study 5 shows that skipping persists at 17% to 25% in the target-stating frames when the expected quality change is stated, but it also lowers it substantially, and the added text may act as a cue; the baseline and expected-value runs share a design but not their sampling draws.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11.5 Conclusion</w:t>
      </w:r>
    </w:p>
    <w:p>
      <w:pPr>
        <w:spacing w:after="0" w:before="0" w:line="480"/>
        <w:ind w:firstLine="720"/>
        <w:jc w:val="left"/>
      </w:pPr>
      <w:r>
        <w:rPr>
          <w:rFonts w:ascii="Times New Roman" w:cs="Times New Roman" w:eastAsia="Times New Roman" w:hAnsi="Times New Roman"/>
          <w:sz w:val="24"/>
          <w:szCs w:val="24"/>
        </w:rPr>
        <w:t xml:space="preserve">We asked which features of the delegation interface govern an LLM operator's decision to skip verification, starting from the registered test of whether the accounting frame of a failed update moves it toward skipping, using an environment in which skipping is dominated and all outcomes are scored by rule. The registered protocol did not support loss chasing. Six studies, five of them with independently generated wordings and registered analysis scripts, suggest that, in the fast commercial model that skips, the shortcut is associated with a visible target under time pressure, is lower under loss text, and is largely absent with reasoning, that a small model from a second vendor showed the same ordering of frames and an effect of target visibility, and that three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Online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Chen H, Liu Y, Shao J, Xu X, Sun Z, Hu W (2026) Polished but unresolved: Identifying late-stage pressure states in long-horizon tool-use agents. </w:t>
      </w:r>
      <w:r>
        <w:rPr>
          <w:rFonts w:ascii="Times New Roman" w:cs="Times New Roman" w:eastAsia="Times New Roman" w:hAnsi="Times New Roman"/>
          <w:i/>
          <w:iCs/>
          <w:sz w:val="24"/>
          <w:szCs w:val="24"/>
        </w:rPr>
        <w:t xml:space="preserve">Proceedings of the 2026 Conference on Empirical Methods in Natural Language Processing</w:t>
      </w:r>
      <w:r>
        <w:rPr>
          <w:rFonts w:ascii="Times New Roman" w:cs="Times New Roman" w:eastAsia="Times New Roman" w:hAnsi="Times New Roman"/>
          <w:sz w:val="24"/>
          <w:szCs w:val="24"/>
        </w:rPr>
        <w:t xml:space="preserve"> (arXiv:2609.00823).</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Jiang H, Tang K (2026) Why agents compromise safety under pressure. </w:t>
      </w:r>
      <w:r>
        <w:rPr>
          <w:rFonts w:ascii="Times New Roman" w:cs="Times New Roman" w:eastAsia="Times New Roman" w:hAnsi="Times New Roman"/>
          <w:i/>
          <w:iCs/>
          <w:sz w:val="24"/>
          <w:szCs w:val="24"/>
        </w:rPr>
        <w:t xml:space="preserve">Findings of the Association for Computational Linguistics: ACL 2026</w:t>
      </w:r>
      <w:r>
        <w:rPr>
          <w:rFonts w:ascii="Times New Roman" w:cs="Times New Roman" w:eastAsia="Times New Roman" w:hAnsi="Times New Roman"/>
          <w:sz w:val="24"/>
          <w:szCs w:val="24"/>
        </w:rPr>
        <w:t xml:space="preserve"> (arXiv:2603.14975).</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Payne K (2025) An analysis of AI decision under risk: Prospect theory emerges in large language models. Preprint, arXiv:2508.00902.</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Saebo M, Gibson S, Crosse T, Menon A, Jang E, Cruz D (2026) Asymmetric goal drift in coding agents under value conflict. Preprint, arXiv:2603.03456.</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Scheurer J, Balesni M, Hobbhahn M (2023) Large language models can strategically deceive their users when put under pressure. Preprint, arXiv:2311.07590.</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pPr>
        <w:spacing w:after="0" w:before="0" w:line="480"/>
        <w:ind w:left="720" w:hanging="720"/>
      </w:pPr>
      <w:r>
        <w:rPr>
          <w:rFonts w:ascii="Times New Roman" w:cs="Times New Roman" w:eastAsia="Times New Roman" w:hAnsi="Times New Roman"/>
          <w:sz w:val="24"/>
          <w:szCs w:val="24"/>
        </w:rPr>
        <w:t xml:space="preserve">Wang Z, Zhang Z (2026) Framing effects in independent-agent large language models: A cross-family behavioral analysis. Preprint, arXiv:2603.19282.</w:t>
      </w:r>
    </w:p>
    <w:p>
      <w:pPr>
        <w:spacing w:after="0" w:before="0" w:line="480"/>
        <w:ind w:left="720" w:hanging="720"/>
      </w:pPr>
      <w:r>
        <w:rPr>
          <w:rFonts w:ascii="Times New Roman" w:cs="Times New Roman" w:eastAsia="Times New Roman" w:hAnsi="Times New Roman"/>
          <w:sz w:val="24"/>
          <w:szCs w:val="24"/>
        </w:rPr>
        <w:t xml:space="preserve">Xu X, Wu W (2026) Low reasoning effort is enough for routine office work by language-model agents. Preprint, arXiv:2608.03169.</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336c3864fe20b8673448d1eeadf45f33a6a94c0.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 LLM Operators Skip Verification? Goal Visibility, Reasoning, and Framing in an Automated Maintenance Environment</dc:title>
  <cp:lastModifiedBy>Un-named</cp:lastModifiedBy>
  <cp:revision>1</cp:revision>
  <dcterms:created xsi:type="dcterms:W3CDTF">2026-10-02T20:18:11.926Z</dcterms:created>
  <dcterms:modified xsi:type="dcterms:W3CDTF">2026-10-02T20:18:11.931Z</dcterms:modified>
</cp:coreProperties>
</file>

<file path=docProps/custom.xml><?xml version="1.0" encoding="utf-8"?>
<Properties xmlns="http://schemas.openxmlformats.org/officeDocument/2006/custom-properties" xmlns:vt="http://schemas.openxmlformats.org/officeDocument/2006/docPropsVTypes"/>
</file>