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rPr>
        <w:t>Contribution Statement</w:t>
      </w:r>
    </w:p>
    <w:p>
      <w:pPr>
        <w:spacing w:after="240"/>
        <w:jc w:val="center"/>
      </w:pPr>
      <w:r>
        <w:rPr>
          <w:b w:val="0"/>
          <w:i/>
        </w:rPr>
        <w:t>Synthetic Customers as Decision-Support Artifacts: Design Constraints, Calibration, and Accountability in Generative-AI Marketing Analytics</w:t>
      </w:r>
    </w:p>
    <w:p>
      <w:pPr>
        <w:spacing w:after="160"/>
      </w:pPr>
      <w:r>
        <w:rPr>
          <w:b w:val="0"/>
          <w:i w:val="0"/>
        </w:rPr>
        <w:t>Organizations are placing generative-AI "digital twins" of customers inside their marketing analytics systems, yet the information systems literature offers no design knowledge for such artifacts and no account of how organizations should validate and govern them. Existing work on LLM-based synthetic respondents evaluates the model's answers, mostly ratings, choices, and stated willingness to pay, and finds that the answers are plausible but too uniform. It does not treat the simulator as an IT artifact that an organization designs, deploys, and holds accountable for a decision.</w:t>
      </w:r>
    </w:p>
    <w:p>
      <w:pPr>
        <w:spacing w:after="160"/>
      </w:pPr>
      <w:r>
        <w:rPr>
          <w:b w:val="0"/>
          <w:i w:val="0"/>
        </w:rPr>
        <w:t>Our paper contributes to the information systems literature in four ways. First, it develops design knowledge for synthetic-customer systems. Two propositions state a design constraint and a calibration mechanism: a persona-conditioned component that returns deterministic answers can carry only the customer heterogeneity that its persona describes, and heterogeneity supplied from outside the model must be calibrated against the model's own variation to avoid double counting. A third proposition links the constraint to the concentration of purchases among heavy buyers. Although the algebra is elementary, the propositions are impossibility and calibration results for the levers an organization controls (prompt, persona, model choice, decoding settings), they hold regardless of the model used, and they yield testable predictions.</w:t>
      </w:r>
    </w:p>
    <w:p>
      <w:pPr>
        <w:spacing w:after="160"/>
      </w:pPr>
      <w:r>
        <w:rPr>
          <w:b w:val="0"/>
          <w:i w:val="0"/>
        </w:rPr>
        <w:t>Second, the paper explains why a familiar statistical result becomes a managerial problem. In classical customer-base models, heterogeneity is estimated from the firm's data. In a generative system it is produced by a pretrained model, so the quality of the artifact is bounded by the firm's data assets, cannot be observed from inside the system, and depends on components the firm does not control. We call the resulting difficulty a validation paradox: the evidence needed to detect the error is the evidence the system was meant to economize.</w:t>
      </w:r>
    </w:p>
    <w:p>
      <w:pPr>
        <w:spacing w:after="160"/>
      </w:pPr>
      <w:r>
        <w:rPr>
          <w:b w:val="0"/>
          <w:i w:val="0"/>
        </w:rPr>
        <w:t>Third, the paper provides evidence across eight language models, four elicitation designs, three transaction settings, and a randomized email experiment, each on three random seeds. Direct and day-by-day designs collapse and lose the concentration of purchases among heavy buyers; a design that takes only the level from the model and calibrates the spread externally restores concentration; calibrating the level repairs the mean, but a baseline with no model information fits as well, so the model supplies little that the firm's data do not. Promotion lifts have the right sign but purchase lifts are overstated in 15 of 16 configurations, enough to reverse a go/no-go decision in a stylized example. Marketing metrics serve as supporting evidence, not as the subject.</w:t>
      </w:r>
    </w:p>
    <w:p>
      <w:pPr>
        <w:spacing w:after="160"/>
      </w:pPr>
      <w:r>
        <w:rPr>
          <w:b w:val="0"/>
          <w:i w:val="0"/>
        </w:rPr>
        <w:t>Fourth, the paper derives five design principles, an acceptance-test protocol, and organizational arrangements: named ownership of reference data and pipeline, revalidation when a model, provider, or prompt changes, separation of synthetic from real data, continued randomized testing, and accountability assigned before use. These speak directly to research on IT artifacts, design science, task-technology fit, and the governance of AI-enabled decision support, and to the interface between information systems and marketing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