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 Appendix to</w:t>
      </w:r>
      <w:r>
        <w:t xml:space="preserve"> </w:t>
      </w:r>
      <w:r>
        <w:t xml:space="preserve">“</w:t>
      </w:r>
      <w:r>
        <w:t xml:space="preserve">Synthetic Customers as Decision-Support Artifacts: Design Constraints, Calibration, and Accountability in Generative-AI Marketing Analytics</w:t>
      </w:r>
      <w:r>
        <w:t xml:space="preserve">”</w:t>
      </w:r>
    </w:p>
    <w:bookmarkStart w:id="20" w:name="appendix-a.-prompt-templates"/>
    <w:p>
      <w:pPr>
        <w:pStyle w:val="Heading1"/>
      </w:pPr>
      <w:r>
        <w:t xml:space="preserve">Appendix A. Prompt Templates</w:t>
      </w:r>
    </w:p>
    <w:p>
      <w:pPr>
        <w:pStyle w:val="FirstParagraph"/>
      </w:pPr>
      <w:r>
        <w:t xml:space="preserve">Persona text, low-mean setting:</w:t>
      </w:r>
      <w:r>
        <w:t xml:space="preserve"> </w:t>
      </w:r>
      <w:r>
        <w:t xml:space="preserve">“</w:t>
      </w:r>
      <w:r>
        <w:t xml:space="preserve">You are a customer of an online giftware retailer. Profile: {segment}, age {age}, based in {country}. You made your first purchase 4 weeks ago.</w:t>
      </w:r>
      <w:r>
        <w:t xml:space="preserve">”</w:t>
      </w:r>
      <w:r>
        <w:t xml:space="preserve"> </w:t>
      </w:r>
      <w:r>
        <w:t xml:space="preserve">Anchored variant adds:</w:t>
      </w:r>
      <w:r>
        <w:t xml:space="preserve"> </w:t>
      </w:r>
      <w:r>
        <w:t xml:space="preserve">“</w:t>
      </w:r>
      <w:r>
        <w:t xml:space="preserve">Context: customers of this retailer make on average about 0.5 purchases per 4 weeks, and most make none.</w:t>
      </w:r>
      <w:r>
        <w:t xml:space="preserve">”</w:t>
      </w:r>
    </w:p>
    <w:p>
      <w:pPr>
        <w:pStyle w:val="BodyText"/>
      </w:pPr>
      <w:r>
        <w:t xml:space="preserve">Persona text, high-mean setting:</w:t>
      </w:r>
      <w:r>
        <w:t xml:space="preserve"> </w:t>
      </w:r>
      <w:r>
        <w:t xml:space="preserve">“</w:t>
      </w:r>
      <w:r>
        <w:t xml:space="preserve">You are a household with a loyalty card at a supermarket chain and you do part of your grocery shopping there. Profile: {segment}, head of household aged {age}, {household size} person(s).</w:t>
      </w:r>
      <w:r>
        <w:t xml:space="preserve">”</w:t>
      </w:r>
      <w:r>
        <w:t xml:space="preserve"> </w:t>
      </w:r>
      <w:r>
        <w:t xml:space="preserve">Anchored variant adds:</w:t>
      </w:r>
      <w:r>
        <w:t xml:space="preserve"> </w:t>
      </w:r>
      <w:r>
        <w:t xml:space="preserve">“</w:t>
      </w:r>
      <w:r>
        <w:t xml:space="preserve">Context: households in this loyalty program make on average about 5 shopping trips to the chain per 4 weeks, and some make none.</w:t>
      </w:r>
      <w:r>
        <w:t xml:space="preserve">”</w:t>
      </w:r>
    </w:p>
    <w:p>
      <w:pPr>
        <w:pStyle w:val="BodyText"/>
      </w:pPr>
      <w:r>
        <w:t xml:space="preserve">Questions. Design A:</w:t>
      </w:r>
      <w:r>
        <w:t xml:space="preserve"> </w:t>
      </w:r>
      <w:r>
        <w:t xml:space="preserve">“</w:t>
      </w:r>
      <w:r>
        <w:t xml:space="preserve">How many separate purchases will you make in the next 4 weeks? Answer with ONLY an integer.</w:t>
      </w:r>
      <w:r>
        <w:t xml:space="preserve">”</w:t>
      </w:r>
      <w:r>
        <w:t xml:space="preserve"> </w:t>
      </w:r>
      <w:r>
        <w:t xml:space="preserve">Design B:</w:t>
      </w:r>
      <w:r>
        <w:t xml:space="preserve"> </w:t>
      </w:r>
      <w:r>
        <w:t xml:space="preserve">“</w:t>
      </w:r>
      <w:r>
        <w:t xml:space="preserve">Week {w} of the next 4 weeks: for each of its 7 days decide whether you make a purchase that day. Reply with ONLY 7 comma-separated 0/1 values.</w:t>
      </w:r>
      <w:r>
        <w:t xml:space="preserve">”</w:t>
      </w:r>
      <w:r>
        <w:t xml:space="preserve"> </w:t>
      </w:r>
      <w:r>
        <w:t xml:space="preserve">Design C:</w:t>
      </w:r>
      <w:r>
        <w:t xml:space="preserve"> </w:t>
      </w:r>
      <w:r>
        <w:t xml:space="preserve">“</w:t>
      </w:r>
      <w:r>
        <w:t xml:space="preserve">Give the probabilities of making {bins} purchases in the next 4 weeks. Reply with ONLY JSON like {…} summing to 1.</w:t>
      </w:r>
      <w:r>
        <w:t xml:space="preserve">”</w:t>
      </w:r>
      <w:r>
        <w:t xml:space="preserve"> </w:t>
      </w:r>
      <w:r>
        <w:t xml:space="preserve">Design D:</w:t>
      </w:r>
      <w:r>
        <w:t xml:space="preserve"> </w:t>
      </w:r>
      <w:r>
        <w:t xml:space="preserve">“</w:t>
      </w:r>
      <w:r>
        <w:t xml:space="preserve">What is your expected average number of purchases per 4 weeks (can be fractional, e.g. 0.4)? Reply with ONLY a number.</w:t>
      </w:r>
      <w:r>
        <w:t xml:space="preserve">”</w:t>
      </w:r>
      <w:r>
        <w:t xml:space="preserve"> </w:t>
      </w:r>
      <w:r>
        <w:t xml:space="preserve">Email experiment: persona from the customer’s recency, 12-month spend, merchandise bought, area, new or existing status, and channel, followed by one of three sentences describing the email received, and</w:t>
      </w:r>
      <w:r>
        <w:t xml:space="preserve"> </w:t>
      </w:r>
      <w:r>
        <w:t xml:space="preserve">“</w:t>
      </w:r>
      <w:r>
        <w:t xml:space="preserve">What is the probability, from 0 to 100 percent, that you will {visit the retailer’s website / make a purchase from the retailer} during the next two weeks? Reply with ONLY a number.</w:t>
      </w:r>
      <w:r>
        <w:t xml:space="preserve">”</w:t>
      </w:r>
    </w:p>
    <w:bookmarkEnd w:id="20"/>
    <w:bookmarkStart w:id="21" w:name="appendix-b.-full-results"/>
    <w:p>
      <w:pPr>
        <w:pStyle w:val="Heading1"/>
      </w:pPr>
      <w:r>
        <w:t xml:space="preserve">Appendix B. Full Results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bottom w:val="single" w:sz="4" w:color="808080"/>
          <w:insideH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Prompt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Design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Var/mean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Zero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Alpha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Reference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3.05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1.92*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-0.39*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13.56*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2.19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2.79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-1.00*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2.19*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2.01*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-0.46*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3.38*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-0.49*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5.90*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2.90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2.95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-1.00*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2.09*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2.95*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2.37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2.93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-0.88*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n/a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n/a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3.74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-0.71*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3.09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3.77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-1.00*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-0.86*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2.37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14.72*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4.73*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3.22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-0.37*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2.52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-0.39*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3.51*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2.27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-1.00*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2.61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2.74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-0.35*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1.81*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-0.89*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2.05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2.25</w:t>
            </w:r>
          </w:p>
        </w:tc>
      </w:tr>
    </w:tbl>
    <w:p>
      <w:pPr>
        <w:pStyle w:val="BodyText"/>
        <w:spacing w:line="240" w:lineRule="auto"/>
        <w:ind w:firstLine="0"/>
      </w:pPr>
      <w:r>
        <w:rPr>
          <w:iCs/>
          <w:i/>
        </w:rPr>
        <w:t xml:space="preserve">Table B1. Low-mean setting, per cell. Reference row: negative binomial with mean 0.49 and alpha 3.05. * the 95% bootstrap interval excludes the reference value. Temperatures are pooled for GPT-4o-mini and Llama.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bottom w:val="single" w:sz="4" w:color="808080"/>
          <w:insideH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Prompt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Design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Var/mean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Zero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Alpha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Reference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7.85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16.45*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5.68*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9.02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16.65*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5.46*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6.44*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5.33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8.73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9.86*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7.32*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9.06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3.73*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6.49*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5.90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7.71*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9.93*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7.48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4.48*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9.47*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5.66*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5.82*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3.66*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5.84*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10.30*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5.58*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8.99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4.99*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8.21*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4.42*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5.47*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8.99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1.46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7.68*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6.76*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5.51*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1.40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4.35*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0.54*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8.62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7.77*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8.94*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5.81*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4.28*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7.65*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9.43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5.22*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6.83*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5.33*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4.77*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6.42*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7.61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11.74*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8.21*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3.65*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12.15*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7.48*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4.23*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3.75*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6.95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8.28*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7.95*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4.75*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4.36*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6.42*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4.90*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4.98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3.63*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1.40</w:t>
            </w:r>
          </w:p>
        </w:tc>
      </w:tr>
    </w:tbl>
    <w:p>
      <w:pPr>
        <w:pStyle w:val="BodyText"/>
        <w:spacing w:line="240" w:lineRule="auto"/>
        <w:ind w:firstLine="0"/>
      </w:pPr>
      <w:r>
        <w:rPr>
          <w:iCs/>
          <w:i/>
        </w:rPr>
        <w:t xml:space="preserve">Table B2. High-mean setting, 600 customers per cell. Reference row: empirical Complete Journey distribution. * the 95% bootstrap interval excludes the reference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bottom w:val="single" w:sz="4" w:color="808080"/>
          <w:insideH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Prompt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Design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Var/mean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Zero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Alpha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Reference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7.83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7.96*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16.58*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6.46*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5.68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17.21*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5.22*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7.53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6.35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7.98*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6.80*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4.91*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4.60*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7.54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6.04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5.55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8.02*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11.72*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6.42*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11.06*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6.11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0.68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5.60*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10.40*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6.64*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4.66*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4.53*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6.70*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10.16*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7.31*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6.87*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6.65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7.89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8.37*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4.79*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0.54*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4.69*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7.60*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5.92*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9.46*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7.17*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6.70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6.98*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3.53*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0.44*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5.83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4.77*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7.50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6.31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10.25*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7.96*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6.62*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3.44*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7.41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6.88*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7.18*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5.56*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6.67*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5.80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9.24*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1.73*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8.39*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7.04*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4.93*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0.56*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4.28*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4.48*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0.81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7.30*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8.74*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6.18*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5.43*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5.41*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0.76</w:t>
            </w:r>
          </w:p>
        </w:tc>
      </w:tr>
    </w:tbl>
    <w:p>
      <w:pPr>
        <w:pStyle w:val="BodyText"/>
        <w:spacing w:line="240" w:lineRule="auto"/>
        <w:ind w:firstLine="0"/>
      </w:pPr>
      <w:r>
        <w:rPr>
          <w:iCs/>
          <w:i/>
        </w:rPr>
        <w:t xml:space="preserve">Table B3. Persona experiment with real household demographics, 600 household-windows per cell. Reference row: real distribution of the 801 households (10,413 household-windows). * the 95% bootstrap interval excludes the reference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bottom w:val="single" w:sz="4" w:color="808080"/>
          <w:insideH w:val="single" w:sz="4" w:color="80808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Model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Prompt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Outcome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No email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Lift, men’s email [95% CI]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Lift, women’s email [95% CI]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Gap men minus women [95% CI]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RR men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RR women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Real (randomized)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+0.077 [+0.070, +0.083]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+0.045 [+0.039, +0.052]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+0.031 [+0.024, +0.038]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Real (randomized)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0.0057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+0.0068 [+0.0050, +0.0086]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+0.0031 [+0.0015, +0.0047]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+0.0037 [+0.0017, +0.0056]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2.19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+0.190 [+0.175, +0.206]*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+0.215 [+0.199, +0.229]*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-0.025 [-0.051, +0.003]*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1.73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1.83*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+0.003 [+0.002, +0.004]*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+0.004 [+0.002, +0.006]*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-0.001 [-0.003, +0.001]*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1.04*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0.296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+0.071 [+0.057, +0.084]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+0.064 [+0.050, +0.079]*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+0.007 [-0.018, +0.030]*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+0.035 [+0.032, +0.039]*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+0.036 [+0.033, +0.039]*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-0.000 [-0.006, +0.005]*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+0.073 [+0.065, +0.081]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+0.091 [+0.082, +0.099]*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-0.018 [-0.032, -0.004]*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+0.159 [+0.154, +0.164]*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+0.163 [+0.158, +0.167]*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-0.004 [-0.011, +0.003]*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2.71*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2.75*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0.212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+0.139 [+0.129, +0.150]*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+0.152 [+0.143, +0.162]*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-0.013 [-0.028, +0.003]*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1.72*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+0.027 [+0.019, +0.036]*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+0.036 [+0.027, +0.045]*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-0.009 [-0.022, +0.004]*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0.277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+0.049 [+0.038, +0.060]*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+0.055 [+0.044, +0.066]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-0.006 [-0.021, +0.010]*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1.18*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+0.075 [+0.068, +0.083]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+0.088 [+0.080, +0.096]*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-0.013 [-0.025, -0.001]*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1.73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1.86*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+0.051 [+0.037, +0.065]*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+0.044 [+0.030, +0.057]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+0.007 [-0.008, +0.021]*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1.27*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+0.198 [+0.187, +0.208]*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+0.183 [+0.173, +0.192]*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+0.015 [+0.002, +0.029]*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3.90*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3.68*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0.123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+0.045 [+0.037, +0.052]*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+0.049 [+0.041, +0.057]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-0.005 [-0.019, +0.008]*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1.36*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1.40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+0.059 [+0.055, +0.064]*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+0.058 [+0.053, +0.063]*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+0.001 [-0.007, +0.009]*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1.58*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0.230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+0.078 [+0.066, +0.089]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+0.089 [+0.078, +0.101]*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-0.012 [-0.033, +0.008]*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1.34*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1.39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visit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+0.041 [+0.035, +0.047]*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+0.037 [+0.032, +0.043]*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+0.004 [-0.007, +0.014]*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1.37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0.155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+0.169 [+0.155, +0.184]*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+0.201 [+0.187, +0.214]*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-0.032 [-0.056, -0.005]*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2.09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2.30*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GPT-4o-mini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+0.026 [+0.021, +0.030]*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+0.048 [+0.044, +0.053]*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-0.023 [-0.029, -0.018]*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1.75*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0.087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+0.154 [+0.141, +0.168]*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+0.167 [+0.153, +0.182]*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-0.013 [-0.039, +0.011]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2.78*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2.93*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Llama-3.3-70B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+0.149 [+0.137, +0.162]*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+0.161 [+0.148, +0.175]*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-0.012 [-0.034, +0.011]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43.83*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47.87*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+0.047 [+0.041, +0.053]*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+0.054 [+0.049, +0.060]*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-0.008 [-0.017, +0.002]*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1.49*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1.57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Haiku 5.5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+0.110 [+0.104, +0.116]*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+0.120 [+0.113, +0.126]*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-0.010 [-0.019, -0.000]*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15.80*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17.02*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0.093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+0.044 [+0.039, +0.050]*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+0.058 [+0.053, +0.063]*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-0.013 [-0.022, -0.004]*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1.48*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1.62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Sonnet 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+0.002 [-0.001, +0.006]*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+0.009 [+0.006, +0.012]*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-0.007 [-0.012, -0.002]*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+0.111 [+0.104, +0.118]*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+0.110 [+0.103, +0.117]*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+0.001 [-0.010, +0.011]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2.61*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2.60*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GPT-5.6-terra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+0.016 [+0.014, +0.018]*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+0.018 [+0.016, +0.020]*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-0.002 [-0.005, +0.001]*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3.00*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3.26*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+0.025 [+0.016, +0.035]*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+0.025 [+0.016, +0.035]*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-0.000 [-0.010, +0.010]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1.25*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1.26*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DeepSeek-V4-Pro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+0.110 [+0.099, +0.121]*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+0.107 [+0.096, +0.118]*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+0.003 [-0.010, +0.015]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2.52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2.47*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+0.029 [+0.025, +0.033]*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+0.031 [+0.027, +0.035]*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-0.002 [-0.009, +0.005]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1.40*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1.43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Gemini 3.1 Flash-Lite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+0.014 [+0.012, +0.015]*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+0.014 [+0.012, +0.015]*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+0.000 [-0.002, +0.003]*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2.39*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plain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0.119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+0.098 [+0.091, +0.105]*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+0.097 [+0.088, +0.106]*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+0.001 [-0.012, +0.015]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1.82*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1.81*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Mistral Large 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anchored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purchase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+0.078 [+0.074, +0.082]*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+0.077 [+0.072, +0.081]*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+0.001 [-0.007, +0.009]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10.12*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10.01*</w:t>
            </w:r>
          </w:p>
        </w:tc>
      </w:tr>
    </w:tbl>
    <w:p>
      <w:pPr>
        <w:pStyle w:val="BodyText"/>
        <w:spacing w:line="240" w:lineRule="auto"/>
        <w:ind w:firstLine="0"/>
      </w:pPr>
      <w:r>
        <w:rPr>
          <w:iCs/>
          <w:i/>
        </w:rPr>
        <w:t xml:space="preserve">Table B4. Email experiment, probability-elicitation design (mean elicited probability over 300 simulated customers per seed, three independent calls per customer, pooled over three seeds, 900 customers per model). Lift = probability with the email minus probability without it; gap = lift of the men’s email minus lift of the women’s email; intervals are 95% paired bootstrap intervals over customers (real values: normal approximation). RR = risk ratio, the mean of the three per-seed ratios; its asterisk is set only if the interval excludes the real ratio in all three seeds. * the simulated and the real intervals do not overlap.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bottom w:val="single" w:sz="4" w:color="808080"/>
          <w:insideH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Setting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Design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Var/mean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Zero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Alpha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Low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Reference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2.49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3.05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Low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2.10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14.72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1.00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-1.00 to 6.54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Low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13.56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0.24 to 2.95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1.00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-0.86 to 0.62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Low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0.37 to 1.30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0.97 to 1.61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0.32 to 0.71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 to 0.80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Low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0.26 to 0.93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1.47 to 3.38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0.63 to 0.81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1.81 to 3.77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High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Reference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4.84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7.85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1.42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High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3.73 to 11.74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2.45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0.02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 to 0.17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High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4.35 to 16.65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0.04 to 0.38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0.00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-0.20 to -0.06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High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4.23 to 7.95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3.65 to 6.44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0.01 to 0.15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0.41 to 1.00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High 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3.63 to 8.69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5.84 to 12.15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0.13 to 0.27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1.03 to 1.52</w:t>
            </w:r>
          </w:p>
        </w:tc>
      </w:tr>
    </w:tbl>
    <w:p>
      <w:pPr>
        <w:pStyle w:val="BodyText"/>
        <w:spacing w:line="240" w:lineRule="auto"/>
        <w:ind w:firstLine="0"/>
      </w:pPr>
      <w:r>
        <w:rPr>
          <w:iCs/>
          <w:i/>
        </w:rPr>
        <w:t xml:space="preserve">Table B5. Low-mean and high-mean settings: range of results across the model-and-prompt cells of each design (sixteen cells in each setting). Reference rows are the real values. For design A in the low-mean setting the variance-to-mean ratio of 1.00 comes from a cell in which practically every simulated customer answered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0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is uninformative.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bottom w:val="single" w:sz="4" w:color="808080"/>
          <w:insideH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Design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Var/mean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Zero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Alpha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 xml:space="preserve">Rank correlation with real count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Reference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7.83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6.52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</w:pP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A Direct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5.60 to 10.25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1.73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0.00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-0.16 to 0.08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-0.11 to +0.04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B Daily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5.92 to 17.21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0.06 to 0.30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0.00 to 0.00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-0.12 to -0.05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-0.08 to +0.04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C Describe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5.78 to 9.46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3.44 to 6.11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0.03 to 0.15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0.37 to 0.79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-0.01 to +0.08</w:t>
            </w:r>
          </w:p>
        </w:tc>
      </w:tr>
      <w:tr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D Hybrid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4.28 to 7.53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4.48 to 6.70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0.07 to 0.15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0.71 to 0.84</w:t>
            </w:r>
          </w:p>
        </w:tc>
        <w:tc>
          <w:tcPr/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 xml:space="preserve">-0.06 to +0.05</w:t>
            </w:r>
          </w:p>
        </w:tc>
      </w:tr>
    </w:tbl>
    <w:p>
      <w:pPr>
        <w:pStyle w:val="BodyText"/>
        <w:spacing w:line="240" w:lineRule="auto"/>
        <w:ind w:firstLine="0"/>
      </w:pPr>
      <w:r>
        <w:rPr>
          <w:iCs/>
          <w:i/>
        </w:rPr>
        <w:t xml:space="preserve">Table B6. Persona experiment with real household demographics: range of results across the 16 model-and-prompt cells of each design (600 household-windows per cell). The last column is the range of the Spearman correlation between the simulated count and the household’s real count in the same window.</w:t>
      </w:r>
    </w:p>
    <w:bookmarkEnd w:id="21"/>
    <w:bookmarkStart w:id="22" w:name="appendix-c.-reproducibility"/>
    <w:p>
      <w:pPr>
        <w:pStyle w:val="Heading1"/>
      </w:pPr>
      <w:r>
        <w:t xml:space="preserve">Appendix C. Reproducibility</w:t>
      </w:r>
    </w:p>
    <w:p>
      <w:pPr>
        <w:pStyle w:val="FirstParagraph"/>
      </w:pPr>
      <w:r>
        <w:t xml:space="preserve">All code, the pilot grid runner, the demographic-ceiling script, the analysis scripts, and the tables and figures used here are in an anonymized project repository (the link will be provided after the review process to preserve double-blind review). Raw model responses are saved with each run. Household-level Complete Journey data are not redistributed; the code reads them from the public package files.</w:t>
      </w:r>
    </w:p>
    <w:bookmarkEnd w:id="22"/>
    <w:bookmarkStart w:id="23" w:name="Xfa6ed117d2613d7c69e3452731e6a2d286c73c1"/>
    <w:p>
      <w:pPr>
        <w:pStyle w:val="Heading1"/>
      </w:pPr>
      <w:r>
        <w:t xml:space="preserve">Appendix D. Proofs of Propositions 1 to 3</w:t>
      </w:r>
    </w:p>
    <w:p>
      <w:pPr>
        <w:pStyle w:val="FirstParagraph"/>
      </w:pPr>
      <w:r>
        <w:rPr>
          <w:bCs/>
          <w:b/>
        </w:rPr>
        <w:t xml:space="preserve">Proposition 1.</w:t>
      </w:r>
      <w:r>
        <w:t xml:space="preserve"> </w:t>
      </w:r>
      <w:r>
        <w:t xml:space="preserve">The first statement is the law of total variance. With</w:t>
      </w:r>
      <w:r>
        <w:t xml:space="preserve"> </w:t>
      </w:r>
      <m:oMath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and substituting into the definition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If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Λ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, then</w:t>
      </w:r>
      <w:r>
        <w:t xml:space="preserve"> </w:t>
      </w:r>
      <m:oMath>
        <m:sSup>
          <m:e>
            <m:r>
              <m:t>μ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rPr>
                <m:nor/>
                <m:sty m:val="p"/>
              </m:rPr>
              <m:t>Var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Λ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</m:d>
      </m:oMath>
      <w:r>
        <w:t xml:space="preserve">, which yields the last expression.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Proposition 2.</w:t>
      </w:r>
      <w:r>
        <w:t xml:space="preserve"> </w:t>
      </w:r>
      <w:r>
        <w:t xml:space="preserve">By independence,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λ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t> </m:t>
        </m:r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e>
        </m:d>
      </m:oMath>
      <w:r>
        <w:t xml:space="preserve">, and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/</m:t>
        </m:r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Proposition 3.</w:t>
      </w:r>
      <w:r>
        <w:rPr>
          <w:iCs/>
          <w:i/>
        </w:rPr>
        <w:t xml:space="preserve">Proof.</w:t>
      </w:r>
      <w:r>
        <w:t xml:space="preserve"> </w:t>
      </w:r>
      <w:r>
        <w:t xml:space="preserve">(a) 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any event with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q</m:t>
        </m:r>
      </m:oMath>
      <w:r>
        <w:t xml:space="preserve">. Then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Λ</m:t>
            </m:r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  <m:r>
          <m:t>q</m:t>
        </m:r>
        <m:r>
          <m:rPr>
            <m:sty m:val="p"/>
          </m:rPr>
          <m:t>+</m:t>
        </m:r>
        <m:r>
          <m:rPr>
            <m:nor/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, and the Cauchy–Schwarz inequality gives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nor/>
                <m:sty m:val="p"/>
              </m:rPr>
              <m:t>Var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Λ</m:t>
                </m:r>
              </m:e>
            </m:d>
          </m:e>
        </m:rad>
        <m:rad>
          <m:radPr>
            <m:degHide m:val="on"/>
          </m:radPr>
          <m:deg/>
          <m:e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</m:e>
        </m:rad>
        <m:r>
          <m:rPr>
            <m:sty m:val="p"/>
          </m:rPr>
          <m:t>=</m:t>
        </m:r>
        <m:r>
          <m:t>μ</m:t>
        </m:r>
        <m:rad>
          <m:radPr>
            <m:degHide m:val="on"/>
          </m:radPr>
          <m:deg/>
          <m:e>
            <m:r>
              <m:t>α</m:t>
            </m:r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</m:e>
        </m:rad>
      </m:oMath>
      <w:r>
        <w:t xml:space="preserve">. This bounds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from above. For the lower bound take an event that is independent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has probability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(on a sufficiently rich probability space, or by assigning ties fractionally); it yields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Λ</m:t>
            </m:r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  <m:r>
          <m:t>q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θ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k</m:t>
        </m:r>
        <m:r>
          <m:t>θ</m:t>
        </m:r>
      </m:oMath>
      <w:r>
        <w:t xml:space="preserve">. Since</w:t>
      </w:r>
      <w:r>
        <w:t xml:space="preserve"> </w:t>
      </w:r>
      <m:oMath>
        <m:r>
          <m:t>λ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r>
          <m:t>k</m:t>
        </m:r>
        <m:r>
          <m:t>θ</m:t>
        </m:r>
        <m:r>
          <m:t> 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t xml:space="preserve">, we have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Λ</m:t>
            </m:r>
            <m:r>
              <m:rPr>
                <m:sty m:val="b"/>
              </m:rPr>
              <m:t>1</m:t>
            </m:r>
            <m:r>
              <m:rPr>
                <m:sty m:val="p"/>
              </m:rPr>
              <m:t>{</m:t>
            </m:r>
            <m:r>
              <m:t>Λ</m:t>
            </m:r>
            <m:r>
              <m:rPr>
                <m:sty m:val="p"/>
              </m:rPr>
              <m:t>&gt;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μ</m:t>
        </m:r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sub>
            </m:sSub>
            <m:r>
              <m:rPr>
                <m:sty m:val="p"/>
              </m:rPr>
              <m:t>&gt;</m:t>
            </m:r>
            <m:r>
              <m:t>x</m:t>
            </m:r>
          </m:e>
        </m:d>
      </m:oMath>
      <w:r>
        <w:t xml:space="preserve"> </w:t>
      </w:r>
      <w:r>
        <w:t xml:space="preserve">for a gamma variable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θ</m:t>
            </m:r>
          </m:sub>
        </m:sSub>
      </m:oMath>
      <w:r>
        <w:t xml:space="preserve"> </w:t>
      </w:r>
      <w:r>
        <w:t xml:space="preserve">with shape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scale</w:t>
      </w:r>
      <w:r>
        <w:t xml:space="preserve"> </w:t>
      </w:r>
      <m:oMath>
        <m:r>
          <m:t>θ</m:t>
        </m:r>
      </m:oMath>
      <w:r>
        <w:t xml:space="preserve">. The maximum in the definition of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attained by the event</w:t>
      </w:r>
      <w:r>
        <w:t xml:space="preserve"> </w:t>
      </w:r>
      <m:oMath>
        <m:r>
          <m:rPr>
            <m:sty m:val="p"/>
          </m:rPr>
          <m:t>{</m:t>
        </m:r>
        <m:r>
          <m:t>Λ</m:t>
        </m:r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q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&gt;</m:t>
            </m:r>
            <m:sSub>
              <m:e>
                <m:r>
                  <m:t>x</m:t>
                </m:r>
              </m:e>
              <m:sub>
                <m:r>
                  <m:t>q</m:t>
                </m:r>
              </m:sub>
            </m:sSub>
          </m:e>
        </m:d>
        <m:r>
          <m:rPr>
            <m:sty m:val="p"/>
          </m:rPr>
          <m:t>=</m:t>
        </m:r>
        <m:r>
          <m:t>q</m:t>
        </m:r>
      </m:oMath>
      <w:r>
        <w:t xml:space="preserve">, because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Λ</m:t>
            </m:r>
            <m:sSub>
              <m:e>
                <m:r>
                  <m:rPr>
                    <m:sty m:val="b"/>
                  </m:rPr>
                  <m:t>1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is largest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collects the largest values of</w:t>
      </w:r>
      <w:r>
        <w:t xml:space="preserve"> </w:t>
      </w:r>
      <m:oMath>
        <m:r>
          <m:t>Λ</m:t>
        </m:r>
      </m:oMath>
      <w:r>
        <w:t xml:space="preserve">. Hence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sub>
            </m:sSub>
            <m:r>
              <m:rPr>
                <m:sty m:val="p"/>
              </m:rPr>
              <m:t>&gt;</m:t>
            </m:r>
            <m:sSub>
              <m:e>
                <m:r>
                  <m:t>x</m:t>
                </m:r>
              </m:e>
              <m:sub>
                <m:r>
                  <m:t>q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θ</m:t>
        </m:r>
        <m:sSubSup>
          <m:e>
            <m:r>
              <m:t>F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e>
        </m:d>
      </m:oMath>
      <w:r>
        <w:t xml:space="preserve">, which is the stated expression.</w:t>
      </w:r>
    </w:p>
    <w:p>
      <w:pPr>
        <w:numPr>
          <w:ilvl w:val="0"/>
          <w:numId w:val="1001"/>
        </w:numPr>
      </w:pPr>
      <w:r>
        <w:t xml:space="preserve">The limit follows from (a), because the upper bound tends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</m:oMath>
      <w:r>
        <w:t xml:space="preserve">. For monotonicity let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, so that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gamma variables with shape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mean one. By the beta–gamma algebra, if</w:t>
      </w:r>
      <w:r>
        <w:t xml:space="preserve"> </w:t>
      </w:r>
      <m:oMath>
        <m:r>
          <m:t>G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rPr>
            <m:nor/>
            <m:sty m:val="p"/>
          </m:rPr>
          <m:t>Beta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are independent, then</w:t>
      </w:r>
      <w:r>
        <w:t xml:space="preserve"> </w:t>
      </w:r>
      <m:oMath>
        <m:r>
          <m:t>B</m:t>
        </m:r>
        <m:r>
          <m:t>G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Hence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distribution of</w:t>
      </w:r>
      <w:r>
        <w:t xml:space="preserve"> </w:t>
      </w:r>
      <m:oMath>
        <m:r>
          <m:t>M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B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non-degenerate, and has</w:t>
      </w:r>
      <w: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be the event with probability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that attains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 Then</w:t>
      </w:r>
      <w:r>
        <w:t xml:space="preserve"> </w:t>
      </w:r>
      <m:oMath>
        <m:sSub>
          <m:e>
            <m:r>
              <m:t>S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b"/>
                  </m:rPr>
                  <m:t>1</m:t>
                </m:r>
              </m:e>
              <m:sub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sub>
            </m:sSub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M</m:t>
            </m:r>
          </m:e>
        </m:d>
        <m:r>
          <m:t> </m:t>
        </m:r>
        <m: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b"/>
                  </m:rPr>
                  <m:t>1</m:t>
                </m:r>
              </m:e>
              <m:sub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</m:sub>
            </m:sSub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. The inequality is strict, because the maximizing event for</w:t>
      </w:r>
      <w:r>
        <w:t xml:space="preserve"> </w:t>
      </w:r>
      <m:oMath>
        <m:r>
          <m:t>M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{</m:t>
        </m:r>
        <m:r>
          <m:t>M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}</m:t>
        </m:r>
      </m:oMath>
      <w:r>
        <w:t xml:space="preserve">, which differs from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positive probability 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non-degenerate, and the maximizing event is unique up to null sets.</w:t>
      </w:r>
    </w:p>
    <w:p>
      <w:pPr>
        <w:numPr>
          <w:ilvl w:val="0"/>
          <w:numId w:val="1001"/>
        </w:numPr>
      </w:pPr>
      <w:r>
        <w:t xml:space="preserve">The argument of (a) uses only the mean and the variance of the nonnegative variable and holds for any event of probability</w:t>
      </w:r>
      <w:r>
        <w:t xml:space="preserve"> </w:t>
      </w:r>
      <m:oMath>
        <m:r>
          <m:t>q</m:t>
        </m:r>
      </m:oMath>
      <w:r>
        <w:t xml:space="preserve">, including events defined by ranking customers on their counts (ties are broken arbitrarily). For a deterministic simulator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so the squared coefficient of variation of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m:oMath>
        <m:r>
          <m:rPr>
            <m:sty m:val="p"/>
          </m:rPr>
          <m:t>▫</m:t>
        </m:r>
      </m:oMath>
    </w:p>
    <w:bookmarkEnd w:id="23"/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2">
    <w:nsid w:val="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  <w:ind w:firstLine="480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0"/>
      <w:ind w:firstLine="48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240" w:after="120"/>
      <w:jc w:val="center"/>
    </w:pPr>
    <w:rPr>
      <w:rFonts w:ascii="Times New Roman" w:hAnsi="Times New Roman"/>
      <w:b w:val="0"/>
      <w:color w:val="000000"/>
      <w:sz w:val="28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Times New Roman" w:hAnsi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Theme="majorHAnsi" w:cstheme="majorBidi" w:eastAsiaTheme="majorEastAsia" w:hAnsiTheme="majorHAnsi" w:ascii="Times New Roman" w:hAnsi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120" w:before="240"/>
      <w:outlineLvl w:val="4"/>
    </w:pPr>
    <w:rPr>
      <w:rFonts w:asciiTheme="majorHAnsi" w:cstheme="majorBidi" w:eastAsiaTheme="majorEastAsia" w:hAnsiTheme="majorHAnsi" w:ascii="Times New Roman" w:hAnsi="Times New Roman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120" w:before="240"/>
      <w:outlineLvl w:val="5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120" w:before="240"/>
      <w:outlineLvl w:val="6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120" w:before="240"/>
      <w:outlineLvl w:val="7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120" w:before="240"/>
      <w:outlineLvl w:val="8"/>
    </w:pPr>
    <w:rPr>
      <w:rFonts w:asciiTheme="majorHAnsi" w:cstheme="majorBidi" w:eastAsiaTheme="majorEastAsia" w:hAnsiTheme="majorHAnsi" w:ascii="Times New Roman" w:hAnsi="Times New Roman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2026-10-17T12:27:56Z</dcterms:created>
  <dcterms:modified xsi:type="dcterms:W3CDTF">2026-10-17T12:27:56Z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