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Loss Chasing in Large Language Model Maintenance Decisions: A Human-Subject-Free Behavioral Evaluation</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act as on-call operators for other AI systems, choosing among patching, redeploying, rolling back, and skipping regression tests. Behavioral economics predicts that decision makers who code an outcome as a loss take more risk to recover it. We ask whether an LLM placed in a maintenance role does the same: after a failed update, does it choose larger changes and skip verification more often, and does the accounting sentence alone move that choice? We develop a human-subject-free evaluation in which quality, remaining budget, and failure history are held fixed while only the headline frame (loss, gain-to-goal, neutral) and the number of injected consecutive failures vary. The environment is built so that verified patches strictly dominate test-skipping in expected value, so skipping signals loss chasing rather than rational search. A design contribution: because rollback has positive expected value after a failure, an expected-value-maximizing operator lowers its risk after failures, so the natural risk index is an invalid test of escalation; we measure excess risk over that benchmark together with test-skipping. In a preliminary, partial execution of the registered protocol (three models, 100 seeded episodes per cell), we find no support for the framing hypothesis: the loss frame raised test-skipping by 7.7 percentage points in one open model (below the registered 10-point threshold), lowered it by 5.0 points in another, and a commercial model never skipped tests. In an exploratory time-pressure pilot that model skipped in 80% of neutral-frame choices but rarely in the loss and gain frames, a wording effect that is not loss chasing. Responses to failure history differed in sign across models. Framing sensitivity of LLM operators therefore appears to be model-specific rather than general, which argues for auditing a given model before delegating maintenance decisions to it.</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loss chasing; AI governance; behavioral evaluation; registered report</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then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two things: the headline sentence that describes the situation (loss, gain-to-goal, or neutral, all carrying identical facts) and the number of consecutive failures injected into the history (zero, one, or three). Quality, the remaining turn budget, and the options are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We report the registered protocol together with a preliminary, partial execution of it on three models. The empirical answer is mostly negative and heterogeneous: we find no model for which the loss frame raises test-skipping by the registered threshold, and the effect of failure history differs in sign across models. We make three contributions. First, we formalize LLM maintenance as a repeated prospect-theoretic choice and define loss chasing operationally through three jointly necessary conditions. Second, we identify a measurement problem that applies to any such environment: when a rollback option recovers a realized loss at positive expected value, a rational operator reduces its risk after failures, so the natural "risk index rises after failures" test mislabels rational retreat as a failure to chase, and non-retreat as chasing. We propose measuring excess risk over an expected-value-maximizing benchmark together with test-skipping, and we document a floor effect that makes a framing test uninformative for a model that never skips. Third, we provide an open, human-subject-free audit that an organization can run on a candidate operator model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The remainder of the paper proceeds as follows. Section 2 develops the theory and hypotheses. Section 3 describes the environment and procedure. Section 4 reports results. Section 5 discusses contributions and implications, Section 6 states limitations, and Section 7 concludes.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These studies mostly examine one-shot allocation or risk choices.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We pre-specified four hypotheses.</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is recorded in advance: if status quo bias dominates, holding and rollback increase under the loss frame, in which case the design yields a negative result, namely that gambling-like patterns observed in generation do not reproduce in an operational role.</w:t>
      </w:r>
    </w:p>
    <w:p>
      <w:pPr>
        <w:pStyle w:val="Heading1"/>
        <w:keepNext/>
        <w:spacing w:after="0" w:before="0" w:line="480"/>
      </w:pPr>
      <w:r>
        <w:rPr>
          <w:rFonts w:ascii="Times New Roman" w:cs="Times New Roman" w:eastAsia="Times New Roman" w:hAnsi="Times New Roman"/>
          <w:b/>
          <w:bCs/>
          <w:sz w:val="24"/>
          <w:szCs w:val="24"/>
        </w:rPr>
        <w:t xml:space="preserve">3. Method</w:t>
      </w:r>
    </w:p>
    <w:p>
      <w:pPr>
        <w:pStyle w:val="Heading2"/>
        <w:keepNext/>
        <w:spacing w:after="0" w:before="0" w:line="480"/>
      </w:pPr>
      <w:r>
        <w:rPr>
          <w:rFonts w:ascii="Times New Roman" w:cs="Times New Roman" w:eastAsia="Times New Roman" w:hAnsi="Times New Roman"/>
          <w:b/>
          <w:bCs/>
          <w:i/>
          <w:iCs/>
          <w:sz w:val="24"/>
          <w:szCs w:val="24"/>
        </w:rPr>
        <w:t xml:space="preserve">3.1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1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3.2 History injection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the last outcome to fail, and the clock to zero, so the treatment is independent of remaining budget. All three frames present the same fact vector (quality, target, remaining turns, last action and outcome, failure streak, deviation from baseline, and gap to target). Only one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The exact prompts are in Appendix B.</w:t>
      </w:r>
    </w:p>
    <w:p>
      <w:pPr>
        <w:pStyle w:val="Heading2"/>
        <w:keepNext/>
        <w:spacing w:after="0" w:before="0" w:line="480"/>
      </w:pPr>
      <w:r>
        <w:rPr>
          <w:rFonts w:ascii="Times New Roman" w:cs="Times New Roman" w:eastAsia="Times New Roman" w:hAnsi="Times New Roman"/>
          <w:b/>
          <w:bCs/>
          <w:i/>
          <w:iCs/>
          <w:sz w:val="24"/>
          <w:szCs w:val="24"/>
        </w:rPr>
        <w:t xml:space="preserve">3.3 Procedure and models</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We ran three models: two small open models executed locally on CPU (Qwen2.5-1.5B-Instruct and SmolLM2-1.7B-Instruct) and one commercial model through its application programming interface (Claude Haiku 4.5). The open models were run at temperature 0.7 and the commercial model at temperatures 0.0 and 0.7. The grid is three frames by injected failures {0, 1, 3}, with 100 seeded episodes per cell. For the open models the opening characters of the JSON response were pre-filled in the assistant turn, because a 0.5-billion-parameter pilot replied with a bare action name and every response failed to parse. This forces the output format and could itself influence the choice; it is a departure from the registered protocol.</w:t>
      </w:r>
    </w:p>
    <w:p>
      <w:pPr>
        <w:spacing w:after="0" w:before="0" w:line="480"/>
        <w:ind w:firstLine="720"/>
        <w:jc w:val="left"/>
      </w:pPr>
      <w:r>
        <w:rPr>
          <w:rFonts w:ascii="Times New Roman" w:cs="Times New Roman" w:eastAsia="Times New Roman" w:hAnsi="Times New Roman"/>
          <w:i/>
          <w:iCs/>
          <w:sz w:val="24"/>
          <w:szCs w:val="24"/>
        </w:rPr>
        <w:t xml:space="preserve">Time-pressure control.</w:t>
      </w:r>
      <w:r>
        <w:rPr>
          <w:rFonts w:ascii="Times New Roman" w:cs="Times New Roman" w:eastAsia="Times New Roman" w:hAnsi="Times New Roman"/>
          <w:sz w:val="24"/>
          <w:szCs w:val="24"/>
        </w:rPr>
        <w:t xml:space="preserve"> The protocol names time pressure as an alternative explanation: if skipping merely saves turns, it should rise when turns are scarce. To address this we added a small pilot, outside the registered grid, in which nine of the twelve turns were already spent at the first free choice, so that three remained. It used the two open models and the commercial model at temperature 0.7, injected failures of zero and three, three frames, and 50 episodes per cell. The comparison cells are the main-grid cells with zero and three failures and twelve turns remaining. The registered check is the interaction between frame and turn scarcity, which we test with a likelihood-ratio test (two degrees of freedom) in a logistic model that controls for the failure level. This pilot is exploratory.</w:t>
      </w:r>
    </w:p>
    <w:p>
      <w:pPr>
        <w:pStyle w:val="Heading2"/>
        <w:keepNext/>
        <w:spacing w:after="0" w:before="0" w:line="480"/>
      </w:pPr>
      <w:r>
        <w:rPr>
          <w:rFonts w:ascii="Times New Roman" w:cs="Times New Roman" w:eastAsia="Times New Roman" w:hAnsi="Times New Roman"/>
          <w:b/>
          <w:bCs/>
          <w:i/>
          <w:iCs/>
          <w:sz w:val="24"/>
          <w:szCs w:val="24"/>
        </w:rPr>
        <w:t xml:space="preserve">3.4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that is, the turn immediately after injection, because later turns are path dependent. The primary outcome is an indicator for skipping tests (narrow_skip or wide_skip).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w:t>
      </w:r>
    </w:p>
    <w:p>
      <w:pPr>
        <w:spacing w:after="0" w:before="0" w:line="480"/>
        <w:ind w:firstLine="720"/>
        <w:jc w:val="left"/>
      </w:pPr>
      <w:r>
        <w:rPr>
          <w:rFonts w:ascii="Times New Roman" w:cs="Times New Roman" w:eastAsia="Times New Roman" w:hAnsi="Times New Roman"/>
          <w:sz w:val="24"/>
          <w:szCs w:val="24"/>
        </w:rPr>
        <w:t xml:space="preserve">We also compute a risk index (Table 1) and an excess risk, defined as the risk index of the chosen action minus the risk index of the expected-value-maximizing action in the same state. The registered H2 test is that the mean risk index is higher after three injected failures than after none. As Section 4.3 explains, this test cannot separate chasing from rational retreat in this environment, so we also report an exploratory, post hoc criterion: excess risk rises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the skip rate rises. Deviations from the registered analysis made after execution are labeled exploratory.</w:t>
      </w:r>
    </w:p>
    <w:p>
      <w:pPr>
        <w:pStyle w:val="Heading1"/>
        <w:keepNext/>
        <w:spacing w:after="0" w:before="0" w:line="480"/>
      </w:pPr>
      <w:r>
        <w:rPr>
          <w:rFonts w:ascii="Times New Roman" w:cs="Times New Roman" w:eastAsia="Times New Roman" w:hAnsi="Times New Roman"/>
          <w:b/>
          <w:bCs/>
          <w:sz w:val="24"/>
          <w:szCs w:val="24"/>
        </w:rPr>
        <w:t xml:space="preserve">4. Results</w:t>
      </w:r>
    </w:p>
    <w:p>
      <w:pPr>
        <w:pStyle w:val="Heading2"/>
        <w:keepNext/>
        <w:spacing w:after="0" w:before="0" w:line="480"/>
      </w:pPr>
      <w:r>
        <w:rPr>
          <w:rFonts w:ascii="Times New Roman" w:cs="Times New Roman" w:eastAsia="Times New Roman" w:hAnsi="Times New Roman"/>
          <w:b/>
          <w:bCs/>
          <w:i/>
          <w:iCs/>
          <w:sz w:val="24"/>
          <w:szCs w:val="24"/>
        </w:rPr>
        <w:t xml:space="preserve">4.1 Scope of the execution</w:t>
      </w:r>
    </w:p>
    <w:p>
      <w:pPr>
        <w:spacing w:after="0" w:before="0" w:line="480"/>
        <w:ind w:firstLine="720"/>
        <w:jc w:val="left"/>
      </w:pPr>
      <w:r>
        <w:rPr>
          <w:rFonts w:ascii="Times New Roman" w:cs="Times New Roman" w:eastAsia="Times New Roman" w:hAnsi="Times New Roman"/>
          <w:sz w:val="24"/>
          <w:szCs w:val="24"/>
        </w:rPr>
        <w:t xml:space="preserve">The results are a preliminary and partial execution of the registered grid. Three models from three developers were run, each a small model of its family: the two open models have 1.5 and 1.7 billion parameters, and for the commercial family only its small, fast tier (Claude Haiku) was run, with no larger tier such as Sonnet or Opus. The registered design asks for a small and a large model in each family, so the size contrast is not tested. Temperature 0.7 only was used for the open models. Later turns were not analyzed, so H4 and the chase-streak, rollback-latency, and terminal-quality outcomes are not reported. H3 is addressed by the design: the fact vector is identical across frames, so any difference in the first choice is attributable to the headline.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 A small time-pressure control on all three models (Section 4.4) was added outside the registered grid.</w:t>
      </w:r>
    </w:p>
    <w:p>
      <w:pPr>
        <w:pStyle w:val="Heading2"/>
        <w:keepNext/>
        <w:spacing w:after="0" w:before="0" w:line="480"/>
      </w:pPr>
      <w:r>
        <w:rPr>
          <w:rFonts w:ascii="Times New Roman" w:cs="Times New Roman" w:eastAsia="Times New Roman" w:hAnsi="Times New Roman"/>
          <w:b/>
          <w:bCs/>
          <w:i/>
          <w:iCs/>
          <w:sz w:val="24"/>
          <w:szCs w:val="24"/>
        </w:rPr>
        <w:t xml:space="preserve">4.2 H1: loss frame versus gain-to-goal frame</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and is therefore reported as a small effect in the operational role. SmolLM2's difference has the opposite sign. For Claude the test is uninformative: nobody skips in any condition, so there is no variation to compare. Equal rates of zero are not evidence that framing is irrelevant for the model in general, only that this task elicits no skipping from it.</w:t>
      </w:r>
    </w:p>
    <w:p>
      <w:pPr>
        <w:spacing w:after="0" w:before="0" w:line="480"/>
        <w:ind w:firstLine="720"/>
        <w:jc w:val="left"/>
      </w:pPr>
      <w:r>
        <w:rPr>
          <w:rFonts w:ascii="Times New Roman" w:cs="Times New Roman" w:eastAsia="Times New Roman" w:hAnsi="Times New Roman"/>
          <w:sz w:val="24"/>
          <w:szCs w:val="24"/>
        </w:rPr>
        <w:t xml:space="preserve">Qwen's loss-frame excess is concentrated where there is no failure history (31% with zero injected failures, where the headline reads "unrealized cumulative loss is 0"). With failures present the gap is one to eight points. The zero-failure cell may therefore reflect the wording of the prompt rather than loss accounting.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4.3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3 reports the registered rule and the exploratory criterion side by side.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Exploratory H2</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supported</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supported</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Exploratory criterion: excess risk rises by at least 0.10 (Welch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.05) and the skip rate rises (post hoc).</w:t>
      </w:r>
    </w:p>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(gain 5% to 14%, loss 0% to 8%, neutral 3% to 13%). This is a failure-history effect independent of framing. After three failures its excess risk is about zero (-0.016), so it is not riskier than a rational agent at that point; the rise starts from a very conservative baseline, and 11.7% is a modest level of skipping. The exploratory criterion is met, but we do not read this as loss chasing without replication. Claude behaves like the benchmark: its expected-value gap is 0.000 in the loss frame and -0.003 in the neutral frame (-0.527 in the gain-to-goal frame, where it chooses some lower-value action that is not riskier; excess risk +0.006), and after failures it retreats as the benchmark does. An early version of the automatic analysis flagged Claude's H2 as supported solely because all three-failure values were identical, so that their variance was zero; this is an artifact, not an effect.</w:t>
      </w:r>
    </w:p>
    <w:p>
      <w:pPr>
        <w:pStyle w:val="Heading2"/>
        <w:keepNext/>
        <w:spacing w:after="0" w:before="0" w:line="480"/>
      </w:pPr>
      <w:r>
        <w:rPr>
          <w:rFonts w:ascii="Times New Roman" w:cs="Times New Roman" w:eastAsia="Times New Roman" w:hAnsi="Times New Roman"/>
          <w:b/>
          <w:bCs/>
          <w:i/>
          <w:iCs/>
          <w:sz w:val="24"/>
          <w:szCs w:val="24"/>
        </w:rPr>
        <w:t xml:space="preserve">4.4 Time-pressure control (exploratory pilot)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First-choice test-skip rate with twelve versus three turns remaining (temperature 0.7 for the three-turn cells; zero and three injected failures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1200"/>
        <w:gridCol w:w="1300"/>
        <w:gridCol w:w="900"/>
        <w:gridCol w:w="1000"/>
        <w:gridCol w:w="2160"/>
      </w:tblGrid>
      <w:tr>
        <w:trPr>
          <w:cantSplit/>
          <w:tblHeader/>
        </w:trPr>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overall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21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(95% CI)</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23.5%</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+11.0 pp (+3.5, +18.5)</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+8.0 pp (-2.6, +18.6)</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-5.5 pp (-10.4, -0.6)</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-8.0 pp (-15.9, -0.1)</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pp</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40.0%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pp (interval not defined)</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Restricted to zero and three injected failures so that the twelve-turn and three-turn cells are comparable; N = 200 per frame with twelve turns left and 100 per frame with three. Intervals are normal approximations and are not adjusted for multiplicity; for Claude the gain-to-goal rate has no variance, so no interval is given. The twelve-turn Claude row is the main grid (both temperatures, 400 first choices per frame); the three-turn row is 100 per frame at temperature 0.7. The registered analysis pools zero, one, and three failures and gives +7.7 pp (Qwen) and -5.0 pp (SmolLM2) with twelve turns left.</w:t>
      </w:r>
    </w:p>
    <w:p>
      <w:pPr>
        <w:spacing w:after="0" w:before="0" w:line="480"/>
        <w:ind w:firstLine="720"/>
        <w:jc w:val="left"/>
      </w:pPr>
      <w:r>
        <w:rPr>
          <w:rFonts w:ascii="Times New Roman" w:cs="Times New Roman" w:eastAsia="Times New Roman" w:hAnsi="Times New Roman"/>
          <w:sz w:val="24"/>
          <w:szCs w:val="24"/>
        </w:rPr>
        <w:t xml:space="preserve">Turn scarcity did not change test-skipping in either model. The overall skip rate was 18.0% with twelve turns left and 18.3% with three for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.90), and 7.2% versus 7.7% for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.79); the expected-value gap was also nearly unchanged (-3.24 versus -3.25, and -2.20 versus -2.31). The frame difference kept its sign in both models, and the interaction between frame and turn scarcity was not significant (Qwen: likelihood ratio 0.25,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SmolLM2: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.38). With three turns left, SmolLM2 almost never chose the three-turn wide patch (1 of 300 first choices) and held or rolled back in 272 of 300, which suggests that it uses the turn count, but in a direction that lowers rather than raises skipping. The intervals are wide: Qwen's loss-minus-gain difference under scarcity includes zero. For the open models we therefore read the pilot as giving no support to the turn-saving account of the frame differences reported above, not as establishing that turn scarcity is irrelevant; for the commercial model the stated reasons do invoke turn allocation. The commercial model behaved differently (Table 4 and the next paragraph).</w:t>
      </w:r>
    </w:p>
    <w:p>
      <w:pPr>
        <w:spacing w:after="0" w:before="0" w:line="480"/>
        <w:ind w:firstLine="720"/>
        <w:jc w:val="left"/>
      </w:pPr>
      <w:r>
        <w:rPr>
          <w:rFonts w:ascii="Times New Roman" w:cs="Times New Roman" w:eastAsia="Times New Roman" w:hAnsi="Times New Roman"/>
          <w:sz w:val="24"/>
          <w:szCs w:val="24"/>
        </w:rPr>
        <w:t xml:space="preserve">With three turns left, the commercial model skipped tests, which it never did with twelve. All of the skipping came from one frame at zero failures: 40 of 50 neutral-frame first choices were narrow_skip, against 0 of 50 in the gain-to-goal frame and 3 of 50 in the loss frame. After three injected failures all 150 first choices were rollback, as for the expected-value-maximizing policy. The loss-minus-gain difference is therefore only +3 points, and H1 remains unsupported: the large contrast is between the neutral frame and the other two. We inspected nine of the one-line reasons the model gave (six neutral, three gain-to-goal). They reason about allocating the three remaining turns (for example, taking one turn for a small gain and leaving two for adjustments) and about the eight-point gap to the target; none of the nine refers to a loss or to recovering one. They also overstate the gain of a narrow patch (about four points against one point on success). These are post hoc statements and do not establish the cause of the difference between frames. Two cautions follow. First, a first choice depends only on the prompt and on sampling, so the 50 episodes in a cell are repeated draws on one wording; each frame here is a single headline, and what we observe is the effect of those three sentences. Second, the operator sees only qualitative option descriptions, and the expected-value dominance of verification is visible to the designer but not to the operator. With few turns left, one turn at medium-high risk versus two turns at low risk is a defensible trade-off from the operator's information, so this skipping is not clearly the expected-value-inferior choice that condition (2) of the definition of loss chasing requires.</w:t>
      </w:r>
    </w:p>
    <w:p>
      <w:pPr>
        <w:pStyle w:val="Heading1"/>
        <w:keepNext/>
        <w:spacing w:after="0" w:before="0" w:line="480"/>
      </w:pPr>
      <w:r>
        <w:rPr>
          <w:rFonts w:ascii="Times New Roman" w:cs="Times New Roman" w:eastAsia="Times New Roman" w:hAnsi="Times New Roman"/>
          <w:b/>
          <w:bCs/>
          <w:sz w:val="24"/>
          <w:szCs w:val="24"/>
        </w:rPr>
        <w:t xml:space="preserve">5. Discussion</w:t>
      </w:r>
    </w:p>
    <w:p>
      <w:pPr>
        <w:pStyle w:val="Heading2"/>
        <w:keepNext/>
        <w:spacing w:after="0" w:before="0" w:line="480"/>
      </w:pPr>
      <w:r>
        <w:rPr>
          <w:rFonts w:ascii="Times New Roman" w:cs="Times New Roman" w:eastAsia="Times New Roman" w:hAnsi="Times New Roman"/>
          <w:b/>
          <w:bCs/>
          <w:i/>
          <w:iCs/>
          <w:sz w:val="24"/>
          <w:szCs w:val="24"/>
        </w:rPr>
        <w:t xml:space="preserve">5.1 What the results say and do not say</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In this preliminary execution, the answer is that we cannot confirm it for any of three models, and that the pattern is heterogeneous: a small, sub-threshold effect in the predicted direction in one open model, a reversed effect in another, and no skipping at all in a commercial model. A small exploratory control that removed most of the remaining turns did not change skipping or the direction of the frame differences in either open model (Section 4.4), which argues against a pure turn-saving account for them, though the sample is small. For the commercial model the same control lifted the floor in one frame only, and that frame was the neutral one, so the difference is one of wording rather than of loss versus gain. The heterogeneity is itself informative. It cautions against reading a frame effect found in one model as a property of LLMs, and equally against reading its absence in one model as robustness.</w:t>
      </w:r>
    </w:p>
    <w:p>
      <w:pPr>
        <w:spacing w:after="0" w:before="0" w:line="480"/>
        <w:ind w:firstLine="720"/>
        <w:jc w:val="left"/>
      </w:pPr>
      <w:r>
        <w:rPr>
          <w:rFonts w:ascii="Times New Roman" w:cs="Times New Roman" w:eastAsia="Times New Roman" w:hAnsi="Times New Roman"/>
          <w:sz w:val="24"/>
          <w:szCs w:val="24"/>
        </w:rPr>
        <w:t xml:space="preserve">Mapped to the interpretive patterns in the registered protocol, no model shows Pattern A (both hypotheses supported). The commercial model behaves as in Pattern D, where the effect vanishes, but the three models differ in developer, size, and training, so the absence cannot be attributed to scale. Qwen shows a frame effect with a failure-count effect in the opposite direction, which fits none of the patterns cleanly. SmolLM2 shows a failure-history effect that does not depend on the frame.</w:t>
      </w:r>
    </w:p>
    <w:p>
      <w:pPr>
        <w:pStyle w:val="Heading2"/>
        <w:keepNext/>
        <w:spacing w:after="0" w:before="0" w:line="480"/>
      </w:pPr>
      <w:r>
        <w:rPr>
          <w:rFonts w:ascii="Times New Roman" w:cs="Times New Roman" w:eastAsia="Times New Roman" w:hAnsi="Times New Roman"/>
          <w:b/>
          <w:bCs/>
          <w:i/>
          <w:iCs/>
          <w:sz w:val="24"/>
          <w:szCs w:val="24"/>
        </w:rPr>
        <w:t xml:space="preserve">5.2 A measurement contribution</w:t>
      </w:r>
    </w:p>
    <w:p>
      <w:pPr>
        <w:spacing w:after="0" w:before="0" w:line="480"/>
        <w:ind w:firstLine="720"/>
        <w:jc w:val="left"/>
      </w:pPr>
      <w:r>
        <w:rPr>
          <w:rFonts w:ascii="Times New Roman" w:cs="Times New Roman" w:eastAsia="Times New Roman" w:hAnsi="Times New Roman"/>
          <w:sz w:val="24"/>
          <w:szCs w:val="24"/>
        </w:rPr>
        <w:t xml:space="preserve">The second finding is methodological and does not depend on any particular model. In environments where a recovery option has positive expected value after a loss, the intuitive escalation test, "does the risk index rise after failures?", is confounded by the normative benchmark: the rational operator lowers it. The test then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in keeping with the definition in Section 2.4, (iii) check that the dominance of the inferior action is visible to the operator or learnable by it, since a verbal description of the options can turn a dominated action into a defensible time-risk trade-off when turns are scarce, and (iv) report a floor effect explicitly as a non-test rather than a null, because a model that never takes the inferior action cannot be distinguished across frames.</w:t>
      </w:r>
    </w:p>
    <w:p>
      <w:pPr>
        <w:pStyle w:val="Heading2"/>
        <w:keepNext/>
        <w:spacing w:after="0" w:before="0" w:line="480"/>
      </w:pPr>
      <w:r>
        <w:rPr>
          <w:rFonts w:ascii="Times New Roman" w:cs="Times New Roman" w:eastAsia="Times New Roman" w:hAnsi="Times New Roman"/>
          <w:b/>
          <w:bCs/>
          <w:i/>
          <w:iCs/>
          <w:sz w:val="24"/>
          <w:szCs w:val="24"/>
        </w:rPr>
        <w:t xml:space="preserve">5.3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practical implication is an audit, not a rule about wording. Whether dashboard language moves an operator depends on the operator model, so the framing sensitivity of a candidate model should be measured on the organization's own payoff structure before delegation, using a harness of the kind described here. The results do not show that loss-worded dashboards are harmful in general, and they do not show that gain-worded or neutral wording is a safe default. Separately, making verification the default in a deployment gate is a reversible design choice that does not depend on the present findings: the operational cost is low and it removes the option that the environment defines as dominated.</w:t>
      </w:r>
    </w:p>
    <w:p>
      <w:pPr>
        <w:pStyle w:val="Heading1"/>
        <w:keepNext/>
        <w:spacing w:after="0" w:before="0" w:line="480"/>
      </w:pPr>
      <w:r>
        <w:rPr>
          <w:rFonts w:ascii="Times New Roman" w:cs="Times New Roman" w:eastAsia="Times New Roman" w:hAnsi="Times New Roman"/>
          <w:b/>
          <w:bCs/>
          <w:sz w:val="24"/>
          <w:szCs w:val="24"/>
        </w:rPr>
        <w:t xml:space="preserve">6. Limitations</w:t>
      </w:r>
    </w:p>
    <w:p>
      <w:pPr>
        <w:spacing w:after="0" w:before="0" w:line="480"/>
        <w:ind w:firstLine="720"/>
        <w:jc w:val="left"/>
      </w:pPr>
      <w:r>
        <w:rPr>
          <w:rFonts w:ascii="Times New Roman" w:cs="Times New Roman" w:eastAsia="Times New Roman" w:hAnsi="Times New Roman"/>
          <w:sz w:val="24"/>
          <w:szCs w:val="24"/>
        </w:rPr>
        <w:t xml:space="preserve">First, the evidence is a partial execution: three models of different families, each of them a small model of its family, so there is no within-family size contrast and no large model in any family, temperature 0.7 only for the open models (at temperature 0 the 100 episodes per cell collapse to one effective sample because the prompt is identical), and only first free choices. The time-pressure control is a 50-episode pilot; the commercial-model log for it is not in the repository. Each frame is a single headline wording, so the frame effects reported are effects of those sentences, and a wording-robustness check with several paraphrases per frame has not been run. Path-dependent outcomes and the sensitivity grid that perturbs the probabilities and payoffs by 20 percent have not been run. Second, the format pre-fill for the open models is an intervention outside the registered protocol. Third, the exploratory H2 criterion, its 0.10 threshold, and the requirement that skipping rise were specified after seeing pilot output and should not be treated as confirmatory. Fourth, a scalar quality score compresses multidimensional incidents (safety, latency, cost, reputation) into one line, and the six closed actions simplify the continuous space of field work. Fifth, a model does not feel loss; it reacts to text statistics. Because operational prompts are text, that reaction is itself an intervention point, but the present design does not identify its mechanism. Sixth, the closed-model results depend on the model version at the time of the run, and the execution cannot be reproduced exactly if that version is withdrawn. External validity is left to follow-up work applying the same coding scheme to live tickets.</w:t>
      </w:r>
    </w:p>
    <w:p>
      <w:pPr>
        <w:pStyle w:val="Heading1"/>
        <w:keepNext/>
        <w:spacing w:after="0" w:before="0" w:line="480"/>
      </w:pPr>
      <w:r>
        <w:rPr>
          <w:rFonts w:ascii="Times New Roman" w:cs="Times New Roman" w:eastAsia="Times New Roman" w:hAnsi="Times New Roman"/>
          <w:b/>
          <w:bCs/>
          <w:sz w:val="24"/>
          <w:szCs w:val="24"/>
        </w:rPr>
        <w:t xml:space="preserve">7.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In a preliminary execution on three models, we found no support for the registered framing hypothesis and a heterogeneous response to failure history. We also showed that the natural risk-index test of escalation is invalid when a positive-value recovery option exists, and we proposed excess risk together with test-skipping as a replacement. Whatever the outcome of the full registered grid, a deployed operator model should be treated as a decision maker whose sensitivity to framing is an empirical property of that model, to be measured before delegation.</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and analysis scripts, together with the raw logs for the open models, are available for review in an anonymized repository [link withheld for double-anonymous review]. Deviations from the registered protocol are listed in Sections 3.3, 3.4, and 4.1 and in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1.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The headline (first line) is the only part that differs across frames, and the order of the action list is rotated by turn index.</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1300"/>
        <w:gridCol w:w="1400"/>
        <w:gridCol w:w="2160"/>
      </w:tblGrid>
      <w:tr>
        <w:trPr>
          <w:cantSplit/>
          <w:tblHeader/>
        </w:trPr>
        <w:tc>
          <w:tcPr>
            <w:tcW w:type="dxa" w:w="2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Temperatures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Episodes per cell</w:t>
            </w:r>
          </w:p>
        </w:tc>
        <w:tc>
          <w:tcPr>
            <w:tcW w:type="dxa" w:w="21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and 0.7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temperature</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 turn, quality_before, fail_streak_before, cum_loss_before, action, parse_fail, risk, ev_gap, reason, headline_id, action_order, outcome, quality_after, and terminal_quality. The runner supports resuming an interrupted run without duplicating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and deviations</w:t>
      </w:r>
    </w:p>
    <w:p>
      <w:pPr>
        <w:spacing w:after="0" w:before="0" w:line="480"/>
        <w:jc w:val="left"/>
      </w:pPr>
      <w:r>
        <w:rPr>
          <w:rFonts w:ascii="Times New Roman" w:cs="Times New Roman" w:eastAsia="Times New Roman" w:hAnsi="Times New Roman"/>
          <w:b/>
          <w:bCs/>
          <w:sz w:val="24"/>
          <w:szCs w:val="24"/>
        </w:rPr>
        <w:t xml:space="preserve">As registered.</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 (all labeled in the text).</w:t>
      </w:r>
      <w:r>
        <w:rPr>
          <w:rFonts w:ascii="Times New Roman" w:cs="Times New Roman" w:eastAsia="Times New Roman" w:hAnsi="Times New Roman"/>
          <w:sz w:val="24"/>
          <w:szCs w:val="24"/>
        </w:rPr>
        <w:t xml:space="preserve"> (1) Response pre-fill for the two open models. (2) Open models at temperature 0.7 only, all three models small within their families, and no larger model in any family. (3) Only first free choices analyzed, so H4, chase streak, rollback latency, and terminal quality are not reported. (4) H2 reported as registered (raw risk index) and as an exploratory excess-risk criterion that also requires skipping to rise; the 0.10 effect-size threshold was set after pilot output. (5) The sensitivity grid (probabilities and payoffs +-20%, early stop on or off, hold imputation versus episode drop) was not run, although the code supports it. (6) A time-pressure pilot (three turns remaining, zero and three failures, 50 episodes per cell, the two open models and the commercial model) was added; it is exploratory and outside the registered grid.</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Loss Chasing in Large Language Model Maintenance Decisions: A Human-Subject-Free Behavioral Evaluation</dc:title>
  <cp:lastModifiedBy>Un-named</cp:lastModifiedBy>
  <cp:revision>1</cp:revision>
  <dcterms:created xsi:type="dcterms:W3CDTF">2026-09-30T23:22:02.165Z</dcterms:created>
  <dcterms:modified xsi:type="dcterms:W3CDTF">2026-09-30T23:22:02.171Z</dcterms:modified>
</cp:coreProperties>
</file>

<file path=docProps/custom.xml><?xml version="1.0" encoding="utf-8"?>
<Properties xmlns="http://schemas.openxmlformats.org/officeDocument/2006/custom-properties" xmlns:vt="http://schemas.openxmlformats.org/officeDocument/2006/docPropsVTypes"/>
</file>