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0"/>
          <w:szCs w:val="30"/>
        </w:rPr>
        <w:t xml:space="preserve">Administered Ethics: How Data-Protection Enforcement and AI Legislation Select Procedural Harm in a Developmental State</w:t>
      </w:r>
    </w:p>
    <w:p>
      <w:pPr>
        <w:spacing w:after="200"/>
        <w:jc w:val="center"/>
      </w:pPr>
      <w:r>
        <w:rPr>
          <w:i/>
          <w:iCs/>
          <w:sz w:val="26"/>
          <w:szCs w:val="26"/>
        </w:rPr>
        <w:t xml:space="preserve">Evidence from South Korea, 2021–2026</w:t>
      </w:r>
    </w:p>
    <w:p>
      <w:pPr>
        <w:spacing w:after="400"/>
        <w:jc w:val="center"/>
      </w:pPr>
      <w:r>
        <w:rPr>
          <w:highlight w:val="yellow"/>
          <w:highlightCs w:val="yellow"/>
        </w:rPr>
        <w:t xml:space="preserve">[Anonymized for review. Remove author-identifying information from file properties before submission.]</w:t>
      </w:r>
    </w:p>
    <w:p>
      <w:pPr>
        <w:pStyle w:val="Heading1"/>
      </w:pPr>
      <w:r>
        <w:t xml:space="preserve">Abstract</w:t>
      </w:r>
    </w:p>
    <w:p>
      <w:pPr>
        <w:spacing w:after="0" w:line="480"/>
        <w:ind w:firstLine="720"/>
      </w:pPr>
      <w:r>
        <w:t xml:space="preserve">Information systems research increasingly treats regulation as the means of reconciling the ethical risks of AI and data-intensive systems with their promise of innovation, but rarely asks how regulatory instruments decide what counts as an ethical harm. Drawing on critical social theory, we develop the concept of administered ethics: an ensemble of statutes, sanctions, corrective orders, and technical duties that converts the conflicts of datafication into defects of notice, consent, transfer, and documentation, and certifies continued operation once those defects are repaired. We examine the formation through a critical documentary study of South Korea, a setting with an independent privacy regulator, early AI-specific enforcement, and a comprehensive AI statute. Three core records (the Lee Luda chatbot sanction and judgment, the Worldcoin iris sanction, and the AI Framework Act) are analyzed in depth, and an extended corpus of fourteen regulator decisions and eight authorization or guidance instruments from 2021 to 2026, assembled with a documented search-and-screening protocol, is used to test recurrence and to search for disconfirming instances. We identify three mechanisms (moralization of extraction, infrastructural closure, and displacement of accountability onto individual and artifact-level remedy) and a developmental moderator through which the regulator increasingly certifies uses in advance. Orders to destroy data and a trained model, and the regulator's challenge to a ministry's biometric mandate, mark the limits of the account. The study shows that the coupling of rules and artifacts can succeed on its own terms while narrowing which relations of data appropriation remain contestable.</w:t>
      </w:r>
    </w:p>
    <w:p>
      <w:pPr>
        <w:spacing w:before="120" w:line="480"/>
      </w:pPr>
      <w:r>
        <w:rPr>
          <w:b/>
          <w:bCs/>
        </w:rPr>
        <w:t xml:space="preserve">Keywords: </w:t>
      </w:r>
      <w:r>
        <w:t xml:space="preserve">critical social theory; administered ethics; AI regulation; data protection; biometric data; algorithmic hiring; developmental state; South Korea</w:t>
      </w:r>
    </w:p>
    <w:p>
      <w:pPr>
        <w:pStyle w:val="Heading1"/>
      </w:pPr>
      <w:r>
        <w:t xml:space="preserve">Introduction</w:t>
      </w:r>
    </w:p>
    <w:p>
      <w:pPr>
        <w:spacing w:after="0" w:line="480"/>
        <w:ind w:firstLine="720"/>
      </w:pPr>
      <w:r>
        <w:t xml:space="preserve">The policy problem that digital technologies pose to information systems (IS) is usually framed as a balance. AI and data-intensive systems disrupt institutionalized practice and generate ethical, social, and ecological risks, while states and firms treat the same technologies as sources of competitiveness and of value extracted from ubiquitous data (Alaimo and Kallinikos 2024; Bailey et al. 2022; Yoo et al. 2010). Regulation of technology, through statutes, sanctions, and supervisory guidance, and regulation through technology, through architectures that make some actions possible and others impossible, are offered as the means of holding protection and innovation together (Brownsword et al. 2017; Butler et al. 2023; Lessig 1999; Yeung 2018). IS research has accordingly asked how managers can govern AI responsibly (Berente et al. 2021), how ethical principles can be embedded in systems (Mingers and Walsham 2010), and how dignity can be protected amid personal-data digitalization (Leidner and Tona 2021).</w:t>
      </w:r>
    </w:p>
    <w:p>
      <w:pPr>
        <w:spacing w:after="0" w:line="480"/>
        <w:ind w:firstLine="720"/>
      </w:pPr>
      <w:r>
        <w:t xml:space="preserve">These literatures share an implicit premise: that once the right rules are in place and are coupled to the right artifacts, the ethical problem has been addressed. A growing body of work outside IS questions this premise. Critics of "ethics washing" argue that voluntary principles can substitute for binding regulation (Bietti 2020; Wagner 2018); critics of AI principles argue that high-level norms rarely constrain practice (Mittelstadt 2019); and sociolegal scholars show that organizations can absorb legal mandates into symbolic structures that satisfy courts while leaving underlying practices intact (Edelman 1992, 2016; Waldman 2020). What these critiques have not yet explained is a situation in which regulation is neither voluntary nor weak: a capable regulator enforces binding law, sanctions are imposed and upheld in court, damages are awarded, and a new statute imposes duties on high-impact AI, yet the relation through which intimate speech, bodily identifiers, and labor-market signals are appropriated remains in place and is, if anything, certified as legitimate.</w:t>
      </w:r>
    </w:p>
    <w:p>
      <w:pPr>
        <w:spacing w:after="0" w:line="480"/>
        <w:ind w:firstLine="720"/>
      </w:pPr>
      <w:r>
        <w:t xml:space="preserve">This paper addresses that situation. We ask: </w:t>
      </w:r>
      <w:r>
        <w:rPr>
          <w:i/>
          <w:iCs/>
        </w:rPr>
        <w:t xml:space="preserve">How do regulatory instruments governing AI and biometric data systems define what counts as an ethical harm, how is that definition inscribed in information systems, and with what consequences for which relations of data appropriation remain contestable?</w:t>
      </w:r>
    </w:p>
    <w:p>
      <w:pPr>
        <w:spacing w:after="0" w:line="480"/>
        <w:ind w:firstLine="720"/>
      </w:pPr>
      <w:r>
        <w:t xml:space="preserve">We answer the question through a critical documentary study of South Korean records. South Korea is a theoretically useful setting. It has an independent personal-information regulator, the Personal Information Protection Commission (PIPC); it produced what the PIPC described as the first sanction of an AI developer for indiscriminate personal-data processing; it has sanctioned global platforms for biometric and inferential processing and defended those sanctions in court; and it enacted one of Asia's first comprehensive AI statutes. Korea is also a paradigmatic developmental state, one in which the state has historically combined industrial promotion with regulatory authority (Amsden 1989; Evans 1995; Johnson 1982). If ethical failure in AI governance were simply a matter of weak enforcement or voluntary self-regulation, Korea is where it should be least visible. Treating Korea as a critical case in this sense (Flyvbjerg 2006) lets us ask what persists when capacity is present.</w:t>
      </w:r>
    </w:p>
    <w:p>
      <w:pPr>
        <w:spacing w:after="0" w:line="480"/>
        <w:ind w:firstLine="720"/>
      </w:pPr>
      <w:r>
        <w:t xml:space="preserve">The design has two tiers. Three core records are analyzed in depth: the PIPC's sanction of, and the subsequent civil judgment against, the developer of the Lee Luda chatbot; the PIPC's sanction of the Worldcoin iris-for-token program; and the Framework Act on Artificial Intelligence together with its enforcement decree. An extended corpus of fourteen further PIPC decisions and eight authorization or guidance instruments, spanning 2021 to 2026 and assembled with a documented protocol, is used to test whether the mechanisms identified in the core recur across actors, data relations, and instrument types, and to search for instances that disconfirm them.</w:t>
      </w:r>
    </w:p>
    <w:p>
      <w:pPr>
        <w:spacing w:after="0" w:line="480"/>
        <w:ind w:firstLine="720"/>
      </w:pPr>
      <w:r>
        <w:t xml:space="preserve">We develop the concept of </w:t>
      </w:r>
      <w:r>
        <w:rPr>
          <w:i/>
          <w:iCs/>
        </w:rPr>
        <w:t xml:space="preserve">administered ethics</w:t>
      </w:r>
      <w:r>
        <w:t xml:space="preserve"> to name the formation we observe: the ensemble of statutes, sanctions, corrective orders, and technical duties through which the conflicts of datafication are converted into manageable risks, auditable duties, and design constraints that secure the continued operation of the data relation. The term deliberately echoes the critical-theory diagnosis of an administered society in which rationalized procedure absorbs opposition (Horkheimer and Adorno 2002; Marcuse 1964), but we give it a specific, empirically traceable content. We identify three mechanisms: the </w:t>
      </w:r>
      <w:r>
        <w:rPr>
          <w:i/>
          <w:iCs/>
        </w:rPr>
        <w:t xml:space="preserve">moralization of extraction</w:t>
      </w:r>
      <w:r>
        <w:t xml:space="preserve">, through which appropriation is recast as innovation entitled to proceed once procedure is repaired; </w:t>
      </w:r>
      <w:r>
        <w:rPr>
          <w:i/>
          <w:iCs/>
        </w:rPr>
        <w:t xml:space="preserve">infrastructural closure</w:t>
      </w:r>
      <w:r>
        <w:t xml:space="preserve">, through which the repaired procedure is inscribed in consent flows, deletion functions, corpus filters, and stored risk files; and the </w:t>
      </w:r>
      <w:r>
        <w:rPr>
          <w:i/>
          <w:iCs/>
        </w:rPr>
        <w:t xml:space="preserve">displacement of accountability onto individual and artifact-level remedy</w:t>
      </w:r>
      <w:r>
        <w:t xml:space="preserve">, through which solatium, deletion, notice, and the destruction of particular data sets or models stand in for collective decisions about whether a use should exist. A developmental moderator, the co-location of promotion and protection in the same state apparatus, intensifies these mechanisms and increasingly takes the form of authorization in advance.</w:t>
      </w:r>
    </w:p>
    <w:p>
      <w:pPr>
        <w:spacing w:after="0" w:line="480"/>
        <w:ind w:firstLine="720"/>
      </w:pPr>
      <w:r>
        <w:t xml:space="preserve">The paper makes three contributions. First, it extends IS research on regulation of and through technology (Butler et al. 2023; Yeung 2018) by showing that the coupling of rules to artifacts can succeed on its own terms while narrowing the set of harms that can be voiced. The relevant IS question is therefore not only whether rules are effectively inscribed but whose conflicts the inscription can express. Second, it distinguishes administered ethics from ethics washing and symbolic compliance by locating the selection of harm in binding state enforcement, in prior authorization, and in the technical artifacts that carry remedies, rather than in firm-side voluntarism. Third, it contributes to critical IS research (Cecez-Kecmanovic 2011; Myers and Klein 2011) a set of mechanisms and falsifiable propositions, assessed against rival explanations and against disconfirming instances in the extended corpus, including regulatory orders to destroy data and a trained model.</w:t>
      </w:r>
    </w:p>
    <w:p>
      <w:pPr>
        <w:pStyle w:val="Heading1"/>
      </w:pPr>
      <w:r>
        <w:t xml:space="preserve">Theoretical Background</w:t>
      </w:r>
    </w:p>
    <w:p>
      <w:pPr>
        <w:pStyle w:val="Heading2"/>
      </w:pPr>
      <w:r>
        <w:t xml:space="preserve">Regulation of and through Information Technology</w:t>
      </w:r>
    </w:p>
    <w:p>
      <w:pPr>
        <w:spacing w:after="0" w:line="480"/>
        <w:ind w:firstLine="720"/>
      </w:pPr>
      <w:r>
        <w:t xml:space="preserve">IS scholarship has long recognized that information systems are simultaneously objects and instruments of regulation. Regulation of technology refers to legal and administrative rules that govern the design, deployment, and use of systems; regulation through technology refers to the use of technical architectures to shape conduct directly (Brownsword et al. 2017; Butler et al. 2023). Lessig's (1999) observation that code functions as law, and Yeung's (2018) analysis of algorithmic regulation, establish that architectures do not merely enforce prior norms but determine what can appear as compliant or deviant conduct. Within IS, research on the duality of technology (Orlikowski 1992) and on the imbrication of human and material agency (Leonardi 2011) explains how rules become routines and routines become artifacts.</w:t>
      </w:r>
    </w:p>
    <w:p>
      <w:pPr>
        <w:spacing w:after="0" w:line="480"/>
        <w:ind w:firstLine="720"/>
      </w:pPr>
      <w:r>
        <w:t xml:space="preserve">Work on AI governance in IS has extended these insights to systems whose behavior is partially autonomous, adaptive, and opaque (Berente et al. 2021; Burrell 2016; Faraj et al. 2018). Research on algorithmic management shows how such systems reconfigure control over work (Kellogg et al. 2020), and research on personal-data digitalization shows how they threaten dignity (Leidner and Tona 2021). This literature has been productive in specifying how to govern AI. It has been less concerned with how governance instruments themselves constitute the field of harms that governance can address.</w:t>
      </w:r>
    </w:p>
    <w:p>
      <w:pPr>
        <w:pStyle w:val="Heading2"/>
      </w:pPr>
      <w:r>
        <w:t xml:space="preserve">Adjacent Accounts: Ethics Washing, Principles, and Symbolic Compliance</w:t>
      </w:r>
    </w:p>
    <w:p>
      <w:pPr>
        <w:spacing w:after="0" w:line="480"/>
        <w:ind w:firstLine="720"/>
      </w:pPr>
      <w:r>
        <w:t xml:space="preserve">Three adjacent literatures come closer to that concern, and administered ethics must be distinguished from each.</w:t>
      </w:r>
    </w:p>
    <w:p>
      <w:pPr>
        <w:spacing w:after="0" w:line="480"/>
        <w:ind w:firstLine="720"/>
      </w:pPr>
      <w:r>
        <w:t xml:space="preserve">The first is the critique of ethics washing. Wagner (2018) argued that firms invoke ethics to escape regulation, and Bietti (2020) showed how ethics discourse can be instrumentalized by industry. These accounts locate the problem in the substitution of voluntary ethics for binding law. Administered ethics, by contrast, concerns cases in which binding law is enforced. Its claim is not that ethics replaces regulation but that regulation, when it arrives, can carry forward the same selection of harms.</w:t>
      </w:r>
    </w:p>
    <w:p>
      <w:pPr>
        <w:spacing w:after="0" w:line="480"/>
        <w:ind w:firstLine="720"/>
      </w:pPr>
      <w:r>
        <w:t xml:space="preserve">The second is the critique of AI principles. Mittelstadt (2019) argued that principles lack the professional infrastructure, fiduciary duties, and enforcement mechanisms that give medical ethics force, and Metcalf et al. (2019) documented how ethics work inside technology firms is organized around the logics of the firm. These accounts explain why principles fail to constrain. Administered ethics explains how constraint, when it succeeds, is channeled into particular forms.</w:t>
      </w:r>
    </w:p>
    <w:p>
      <w:pPr>
        <w:spacing w:after="0" w:line="480"/>
        <w:ind w:firstLine="720"/>
      </w:pPr>
      <w:r>
        <w:t xml:space="preserve">The third, and closest, is the sociolegal account of symbolic compliance and legal endogeneity. Edelman (1992, 2016) showed that organizations respond to ambiguous law by building compliance structures that courts then treat as evidence of compliance, so that managerial meanings of law become legal meanings. Waldman (2020) extended this account to privacy law, arguing that compliance professionals and technology vendors have recast privacy rights as procedural checklists. Cohen (2019) analyzed how informational capitalism reshapes legal institutions to suit its production processes.</w:t>
      </w:r>
    </w:p>
    <w:p>
      <w:pPr>
        <w:spacing w:after="0" w:line="480"/>
        <w:ind w:firstLine="720"/>
      </w:pPr>
      <w:r>
        <w:t xml:space="preserve">Administered ethics builds on, but differs from, the symbolic-compliance account in three respects. First, its locus is the regulator and the court rather than the regulated organization: we examine how enforcement categories select harms, not only how firms perform compliance. Second, it attends to the technical artifact as the carrier of the remedy. A consent flow, a deletion function, or a stored risk file is not only a symbol of compliance but a piece of infrastructure that fixes what the remedy can be. This is where an IS contribution lies. Third, it asks what the selection excludes, namely collective refusal of a use-class, collective claims on corpora and identifiers, and authority to halt a system, rather than only whether compliance is substantive or symbolic.</w:t>
      </w:r>
    </w:p>
    <w:p>
      <w:pPr>
        <w:pStyle w:val="Heading2"/>
      </w:pPr>
      <w:r>
        <w:t xml:space="preserve">Critical Social Theory as Lens</w:t>
      </w:r>
    </w:p>
    <w:p>
      <w:pPr>
        <w:spacing w:after="0" w:line="480"/>
        <w:ind w:firstLine="720"/>
      </w:pPr>
      <w:r>
        <w:t xml:space="preserve">We draw on critical social theory, which in IS research has been oriented toward insight into taken-for-granted arrangements, critique of the interests they serve, and the identification of transformative possibilities (Cecez-Kecmanovic 2011; Howcroft and Trauth 2005; Myers and Klein 2011; Stahl 2008). Four strands inform the analysis.</w:t>
      </w:r>
    </w:p>
    <w:p>
      <w:pPr>
        <w:spacing w:after="0" w:line="480"/>
        <w:ind w:firstLine="720"/>
      </w:pPr>
      <w:r>
        <w:rPr>
          <w:i/>
          <w:iCs/>
        </w:rPr>
        <w:t xml:space="preserve">Ideology and the colonization of the lifeworld.</w:t>
      </w:r>
      <w:r>
        <w:t xml:space="preserve"> Ideology, in this tradition, is a socially necessary appearance. The extraction of intimate speech or biometric identifiers appears as innovation entitled to proceed once notice is repaired, and the appearance is necessary both for firms that need the data and for agencies charged with both protection and industrial trust. Habermas's (1987) colonization thesis supplies a mechanism: the systemic media of money and administrative power enter domains that depend on communicative agreement. Discourse ethics asks what justification would survive uncoerced dialogue among those affected (Mingers and Walsham 2010). A consent toggle offered under conditions of structural dependence records a yes where the relevant disagreement cannot be voiced.</w:t>
      </w:r>
    </w:p>
    <w:p>
      <w:pPr>
        <w:spacing w:after="0" w:line="480"/>
        <w:ind w:firstLine="720"/>
      </w:pPr>
      <w:r>
        <w:rPr>
          <w:i/>
          <w:iCs/>
        </w:rPr>
        <w:t xml:space="preserve">Governmentality.</w:t>
      </w:r>
      <w:r>
        <w:t xml:space="preserve"> Governmentality names the conduct of conduct through regimes of truth (Foucault 2007). Responsible-AI regimes produce responsible deployers, auditable models, and designated oversight personnel. Regulation through technology materializes the regime, because architectures establish what can appear as a deviation (Lessig 1999; Yeung 2018). Closure is ideological when the artifact is experienced as a neutral constraint.</w:t>
      </w:r>
    </w:p>
    <w:p>
      <w:pPr>
        <w:spacing w:after="0" w:line="480"/>
        <w:ind w:firstLine="720"/>
      </w:pPr>
      <w:r>
        <w:rPr>
          <w:i/>
          <w:iCs/>
        </w:rPr>
        <w:t xml:space="preserve">Reification.</w:t>
      </w:r>
      <w:r>
        <w:t xml:space="preserve"> Reification hardens a social relation into a thing that appears self-moving (Lukács 1971). A hiring score presents itself as an attribute of the candidate, concealing annotation labor, historical inequality in training data, and the managerial choice of objective (Burrell 2016; Kellogg et al. 2020). Labor-process theory expects such systems to separate the conception of criteria from the people subject to them (Braverman 1974).</w:t>
      </w:r>
    </w:p>
    <w:p>
      <w:pPr>
        <w:spacing w:after="0" w:line="480"/>
        <w:ind w:firstLine="720"/>
      </w:pPr>
      <w:r>
        <w:rPr>
          <w:i/>
          <w:iCs/>
        </w:rPr>
        <w:t xml:space="preserve">Data colonialism.</w:t>
      </w:r>
      <w:r>
        <w:t xml:space="preserve"> Couldry and Mejias (2019) argue that aspects of human life and the body are appropriated as raw material under arrangements that individualize payment and collectivize loss, a dynamic related to, but broader than, the extraction of behavioral surplus described by Zuboff (2019). The concept does not require a North-South geography: the relation is extractive whenever life or body becomes the input to an infrastructure whose owners are elsewhere and whose subjects meet the system as donors.</w:t>
      </w:r>
    </w:p>
    <w:p>
      <w:pPr>
        <w:pStyle w:val="Heading2"/>
      </w:pPr>
      <w:r>
        <w:t xml:space="preserve">The Developmental State and the Regulation of Data</w:t>
      </w:r>
    </w:p>
    <w:p>
      <w:pPr>
        <w:spacing w:after="0" w:line="480"/>
        <w:ind w:firstLine="720"/>
      </w:pPr>
      <w:r>
        <w:t xml:space="preserve">The developmental-state literature describes states that pursue industrial transformation through close but autonomous relationships with firms (Amsden 1989; Evans 1995; Johnson 1982). In such states, the same apparatus that disciplines firms also seeks to keep sectors investable. Discipline is exercised to correct firm behavior in ways compatible with growth rather than to foreclose lines of business. We use this literature not to claim that contemporary Korean data governance replicates the industrial policy of earlier decades, but to sensitize the analysis to a specific regulatory style: sanction, correct, and preserve the sector. The Korean AI statute's own statement of purpose, which joins the protection of rights and dignity with national competitiveness, makes this co-location explicit. The theoretical question is how such a style shapes which harms become chargeable.</w:t>
      </w:r>
    </w:p>
    <w:p>
      <w:pPr>
        <w:pStyle w:val="Heading1"/>
      </w:pPr>
      <w:r>
        <w:t xml:space="preserve">Research Design</w:t>
      </w:r>
    </w:p>
    <w:p>
      <w:pPr>
        <w:pStyle w:val="Heading2"/>
      </w:pPr>
      <w:r>
        <w:t xml:space="preserve">Critical Documentary Approach</w:t>
      </w:r>
    </w:p>
    <w:p>
      <w:pPr>
        <w:spacing w:after="0" w:line="480"/>
        <w:ind w:firstLine="720"/>
      </w:pPr>
      <w:r>
        <w:t xml:space="preserve">The study follows the principles for critical IS research articulated by Myers and Klein (2011), which call for insight into taken-for-granted arrangements, critique of the interests served, and attention to transformative possibilities, while retaining the interpretive commitments to contextualization, abstraction, and the consideration of multiple interpretations (Klein and Myers 1999). Our empirical material consists of public documents. Document analysis is appropriate where the phenomenon of interest is itself constituted in documents (Bowen 2009). The selection of chargeable harms is enacted in sanction decisions, judgments, statutes, decrees, and authorizations, which are the public face on which the legitimacy of administered ethics depends. The design does not permit claims about the intentions of regulators, judges, or firms, or about the lived experience of data subjects; we return to these limits below.</w:t>
      </w:r>
    </w:p>
    <w:p>
      <w:pPr>
        <w:pStyle w:val="Heading2"/>
      </w:pPr>
      <w:r>
        <w:t xml:space="preserve">Case Selection and Two-Tier Design</w:t>
      </w:r>
    </w:p>
    <w:p>
      <w:pPr>
        <w:spacing w:after="0" w:line="480"/>
        <w:ind w:firstLine="720"/>
      </w:pPr>
      <w:r>
        <w:t xml:space="preserve">We selected Korea as a critical case (Flyvbjerg 2006). The administered-ethics thesis would be trivially supported in a jurisdiction with no independent regulator or no binding AI law. Korea's combination of an independent regulator, early AI-specific enforcement, and a comprehensive statute makes it a setting in which the thesis is less likely to hold, and in which weak-capacity explanations are less available.</w:t>
      </w:r>
    </w:p>
    <w:p>
      <w:pPr>
        <w:spacing w:after="0" w:line="480"/>
        <w:ind w:firstLine="720"/>
      </w:pPr>
      <w:r>
        <w:t xml:space="preserve">The first tier consists of three core records selected through theoretical sampling to maximize variation along dimensions that the theory suggests should matter (Table 1). The records differ in the </w:t>
      </w:r>
      <w:r>
        <w:rPr>
          <w:i/>
          <w:iCs/>
        </w:rPr>
        <w:t xml:space="preserve">data relation</w:t>
      </w:r>
      <w:r>
        <w:t xml:space="preserve"> at stake (intimate speech, the body, and labor-market evaluation), the </w:t>
      </w:r>
      <w:r>
        <w:rPr>
          <w:i/>
          <w:iCs/>
        </w:rPr>
        <w:t xml:space="preserve">regulatory modality</w:t>
      </w:r>
      <w:r>
        <w:t xml:space="preserve"> (ex post administrative sanction followed by civil adjudication; ex post administrative sanction with corrective orders; ex ante statutory duty), and the </w:t>
      </w:r>
      <w:r>
        <w:rPr>
          <w:i/>
          <w:iCs/>
        </w:rPr>
        <w:t xml:space="preserve">regulated actor</w:t>
      </w:r>
      <w:r>
        <w:t xml:space="preserve"> (a domestic startup; a foreign foundation and its operating company; future operators of high-impact AI). If the same mechanisms appear across this variation, the inference that they reflect the form of administration rather than a feature of a single case is strengthened.</w:t>
      </w:r>
    </w:p>
    <w:p>
      <w:pPr>
        <w:keepNext/>
        <w:spacing w:after="120" w:before="240"/>
      </w:pPr>
      <w:r>
        <w:rPr>
          <w:b/>
          <w:bCs/>
        </w:rPr>
        <w:t xml:space="preserve">Table 1. Theoretical Sampling of the Three Core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60"/>
        <w:gridCol w:w="2550"/>
        <w:gridCol w:w="2550"/>
      </w:tblGrid>
      <w:tr>
        <w:trPr>
          <w:cantSplit/>
          <w:tblHeader/>
        </w:trPr>
        <w:tc>
          <w:tcPr>
            <w:tcW w:type="dxa" w:w="17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Dimension</w:t>
            </w:r>
          </w:p>
        </w:tc>
        <w:tc>
          <w:tcPr>
            <w:tcW w:type="dxa" w:w="25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Lee Luda</w:t>
            </w:r>
          </w:p>
        </w:tc>
        <w:tc>
          <w:tcPr>
            <w:tcW w:type="dxa" w:w="255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Worldcoin</w:t>
            </w:r>
          </w:p>
        </w:tc>
        <w:tc>
          <w:tcPr>
            <w:tcW w:type="dxa" w:w="255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AI Framework Act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Data relation</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Intimate messenger speech</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Bodily identifier (iris)</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Labor-market evaluation (recruitment)</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Regulatory modality</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post administrative sanction (2021); civil adjudication (2025)</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post administrative sanction with corrective orders (2024)</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ante statutory duty (in force 2026)</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Regulated actor</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Domestic startup</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Foreign foundation and operating company</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Future operators of high-impact AI</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Harm status</w:t>
            </w:r>
          </w:p>
        </w:tc>
        <w:tc>
          <w:tcPr>
            <w:tcW w:type="dxa" w:w="2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Completed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Completed</w:t>
            </w:r>
          </w:p>
        </w:tc>
        <w:tc>
          <w:tcPr>
            <w:tcW w:type="dxa" w:w="255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Prospective</w:t>
            </w:r>
          </w:p>
        </w:tc>
      </w:tr>
    </w:tbl>
    <w:p>
      <w:pPr>
        <w:spacing w:after="240"/>
      </w:pPr>
    </w:p>
    <w:p>
      <w:pPr>
        <w:spacing w:after="0" w:line="480"/>
        <w:ind w:firstLine="720"/>
      </w:pPr>
      <w:r>
        <w:t>The second tier is an extended corpus intended to guard against the possibility that the core records were chosen because they fit the argument. It was assembled through a documented search-and-screening protocol, summarized here and reported in Appendix B; the query log, screening log, and screening flow are provided in an online supplement. The corpus is a documented purposive sample, not a census of the regulator's output.</w:t>
      </w:r>
    </w:p>
    <w:p>
      <w:pPr>
        <w:spacing w:after="0" w:line="480"/>
        <w:ind w:firstLine="720"/>
      </w:pPr>
      <w:r>
        <w:rPr>
          <w:i/>
          <w:iCs/>
        </w:rPr>
        <w:t xml:space="preserve">Sampling frame and eligibility.</w:t>
      </w:r>
      <w:r>
        <w:t xml:space="preserve"> The frame comprises instruments issued by the PIPC, or by other state bodies in consultation with it, between 5 August 2020, when the PIPC was reconstituted as a central administrative agency with enforcement powers, and 30 September 2026. An instrument was eligible if three conditions held. First, it was a sanction decision, a corrective or improvement recommendation (including the result of a pre-inspection), a result of prior-adequacy review, a recommendation to another state body, a regulatory-sandbox exemption or statute adopted with the PIPC's participation, or a PIPC guidance document or notice. Second, its subject matter involved the development, training, or deployment of AI models; the processing of biometric identifiers for identification or authentication; or the algorithmic inference of personal characteristics, interests, or risk. Third, the record showed the regulator examining that processing through findings, requests, conditions, or remedies. Security-breach decisions without such a dimension, legislative privacy-impact assessments of draft statutes, public statements, announced plans, procedural rules, and the two PIPC decisions already in the core were excluded.</w:t>
      </w:r>
    </w:p>
    <w:p>
      <w:pPr>
        <w:spacing w:after="0" w:line="480"/>
        <w:ind w:firstLine="720"/>
      </w:pPr>
      <w:r>
        <w:rPr>
          <w:i/>
          <w:iCs/>
        </w:rPr>
        <w:t>Search and screening.</w:t>
      </w:r>
      <w:r>
        <w:t xml:space="preserve"> On 2 and 3 October 2026 we ran 30 documented queries in a web search engine, combining the regulator's name with keyword families for AI and training data, biometrics, behavioral and sensitive information, automated decisions, pre-inspection, prior-adequacy review, and the regulatory sandbox, and we screened every PIPC instrument the queries surfaced against the eligibility criteria. The first round of 21 queries was partly directed at cases identified in earlier reading; the second round of 9 queries was directed at instrument categories. Of 54 candidate records screened, 2 were core records, 23 were excluded with a recorded reason, 3 were eligible guidance instruments that we did not code, and 26 were included. Records concerning the same instrument family were merged, yielding 22 corpus entries: fourteen decisions (D1 to D14), seven authorization instruments (A1 to A7), and one set of guidance documents (G1). The second round identified eight eligible entries that were absent from the corpus assembled through the first round (D7, D11, D12, D13, A1, A4, A5, A6); one of them (D13) had surfaced in the first round but had been read only as a security-breach decision. The first round alone would therefore have produced a corpus biased toward well-publicized sanctions and against recommendations and authorizations. An attempt to query the PIPC's decision database programmatically was unsuccessful because its search and pagination depend on session state.</w:t>
      </w:r>
    </w:p>
    <w:p>
      <w:pPr>
        <w:spacing w:after="0" w:line="480"/>
        <w:ind w:firstLine="720"/>
      </w:pPr>
      <w:r>
        <w:rPr>
          <w:i/>
          <w:iCs/>
        </w:rPr>
        <w:t>Scope and limits of the corpus.</w:t>
      </w:r>
      <w:r>
        <w:t xml:space="preserve"> Because search engines are not deterministic and cannot establish completeness, we do not claim that the corpus exhausts the PIPC instruments that meet the eligibility criteria. The search was run in two rounds so that a case-directed first pass could be corrected by a category-directed second pass, and every instrument that either round surfaced was screened and logged. We did not verify the corpus against the PIPC's public decision database (위원회 결정문), whose search and pagination could not be accessed programmatically. The analysis therefore uses the extended corpus to test whether the mechanisms recur and to look for disconfirming instances, not to estimate how often any type of remedy is ordered. A census of the decision database is left to future research (Appendix B.4).</w:t>
      </w:r>
    </w:p>
    <w:p>
      <w:pPr>
        <w:pStyle w:val="Heading2"/>
      </w:pPr>
      <w:r>
        <w:t xml:space="preserve">Corpus and Source Hierarchy</w:t>
      </w:r>
    </w:p>
    <w:p>
      <w:pPr>
        <w:spacing w:after="0" w:line="480"/>
        <w:ind w:firstLine="720"/>
      </w:pPr>
      <w:r>
        <w:t xml:space="preserve">The corpus comprises primary legal texts, regulator decisions and announcements, a published case note quoting the operative holding of the civil judgment in the first core record, reports of court decisions, and press and secondary reporting (Table 2). Because the sources differ in authority, we adopted an explicit source hierarchy for the core records and report the source of each factual claim. Statutory and decree texts were treated as authoritative for the content of duties. Regulator announcements were treated as authoritative for the regulator's findings and its framing of the sanction. The published case note was treated as authoritative for the quoted holding of the civil judgment. Press reports were used only for facts not available in higher-ranked sources and are flagged as press-reported throughout. The full text of the civil judgment was not publicly available at the time of analysis; claims that rest only on press reports of the judgment, including plaintiff headcounts by injury tier and any judicial adoption of the regulator's scale figures, are identified as such.</w:t>
      </w:r>
    </w:p>
    <w:p>
      <w:pPr>
        <w:spacing w:after="0" w:line="480"/>
        <w:ind w:firstLine="720"/>
      </w:pPr>
      <w:r>
        <w:t xml:space="preserve">For the extended corpus (Table 2, Panel B), we relied on regulator announcements as reported, press and legal reporting, and reports of subsequent court decisions; Appendix A lists the sources for each entry, and entries are cited in the text by identifier (D1 to D14 for decisions, A1 to A7 for authorization instruments, and G1 for guidance). Extended-corpus entries are coded only at the level of detail these sources report. We use them to establish whether a mechanism or a block is present, not to reconstruct the reasoning of each decision. In translating Korean sanctions, we render 과징금 as </w:t>
      </w:r>
      <w:r>
        <w:rPr>
          <w:i/>
          <w:iCs/>
        </w:rPr>
        <w:t xml:space="preserve">penalty surcharge</w:t>
      </w:r>
      <w:r>
        <w:t xml:space="preserve"> and 과태료 as </w:t>
      </w:r>
      <w:r>
        <w:rPr>
          <w:i/>
          <w:iCs/>
        </w:rPr>
        <w:t xml:space="preserve">administrative fine</w:t>
      </w:r>
      <w:r>
        <w:t xml:space="preserve">.</w:t>
      </w:r>
    </w:p>
    <w:p>
      <w:pPr>
        <w:keepNext/>
        <w:spacing w:after="120" w:before="240"/>
      </w:pPr>
      <w:r>
        <w:rPr>
          <w:b/>
          <w:bCs/>
        </w:rPr>
        <w:t xml:space="preserve">Table 2. Documentary Corpus. Panel A: Core Records and Source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cantSplit/>
          <w:tblHeader/>
        </w:trPr>
        <w:tc>
          <w:tcPr>
            <w:tcW w:type="dxa" w:w="20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Rank</w:t>
            </w:r>
          </w:p>
        </w:tc>
        <w:tc>
          <w:tcPr>
            <w:tcW w:type="dxa" w:w="45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Documents</w:t>
            </w:r>
          </w:p>
        </w:tc>
        <w:tc>
          <w:tcPr>
            <w:tcW w:type="dxa" w:w="2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Used as authoritative for</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1. Legal texts</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Framework Act (Act No. 20676; amendment Act No. 21311); Enforcement Decree No. 36053, Arts. 23, 25, 27 and Annex 1; Personal Information Protection Act provisions cited in the records</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Content and timing of duties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 Regulator records</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PIPC decision and briefing on Scatter Lab (28 April 2021); PIPC press release on Worldcoin Foundation and TFH (26 September 2024)</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Regulator findings, sanctions, corrective orders, and framing</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3. Judicial record (indirect)</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Published case note quoting the holding of Seoul Eastern District Court 2021GaHap104007 (12 June 2025)</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Operative holding and solatium tiers</w:t>
            </w:r>
          </w:p>
        </w:tc>
      </w:tr>
      <w:tr>
        <w:trPr>
          <w:cantSplit/>
          <w:tblHeader w:val="false"/>
        </w:trPr>
        <w:tc>
          <w:tcPr>
            <w:tcW w:type="dxa" w:w="20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4. Press and secondary</w:t>
            </w:r>
          </w:p>
        </w:tc>
        <w:tc>
          <w:tcPr>
            <w:tcW w:type="dxa" w:w="45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JoongAng Ilbo (2025); Yonhap News (2024, 2025); Hankyung (2024); Outsourcing Times (2025)</w:t>
            </w:r>
          </w:p>
        </w:tc>
        <w:tc>
          <w:tcPr>
            <w:tcW w:type="dxa" w:w="2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Facts unavailable in ranks 1-3; flagged as press-reported</w:t>
            </w:r>
          </w:p>
        </w:tc>
      </w:tr>
    </w:tbl>
    <w:p>
      <w:pPr>
        <w:spacing w:after="240"/>
      </w:pPr>
    </w:p>
    <w:p>
      <w:pPr>
        <w:keepNext/>
        <w:spacing w:after="120" w:before="240"/>
      </w:pPr>
      <w:r>
        <w:rPr>
          <w:b/>
          <w:bCs/>
        </w:rPr>
        <w:t xml:space="preserve">Table 2 (continued). Panel B: Extended Corpus, 2021–2026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0"/>
        <w:gridCol w:w="980"/>
        <w:gridCol w:w="2300"/>
        <w:gridCol w:w="1900"/>
        <w:gridCol w:w="1660"/>
        <w:gridCol w:w="1900"/>
      </w:tblGrid>
      <w:tr>
        <w:trPr>
          <w:cantSplit/>
          <w:tblHeader/>
        </w:trPr>
        <w:tc>
          <w:tcPr>
            <w:tcW w:type="dxa" w:w="62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ID</w:t>
            </w:r>
          </w:p>
        </w:tc>
        <w:tc>
          <w:tcPr>
            <w:tcW w:type="dxa" w:w="98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Date</w:t>
            </w:r>
          </w:p>
        </w:tc>
        <w:tc>
          <w:tcPr>
            <w:tcW w:type="dxa" w:w="23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Matter</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Instrument</w:t>
            </w:r>
          </w:p>
        </w:tc>
        <w:tc>
          <w:tcPr>
            <w:tcW w:type="dxa" w:w="16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Data relation</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Later developments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Aug 2021</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Facebook face-recognition templates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Apr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Ministry of Justice AI identification and tracking project (immigration)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Administrative fine</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state as data supplier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Constitutional complaint dismissed without merits ruling, Feb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Sep 2022</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Google and Meta: third-party behavioral data for advertising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Challenges dismissed, Seoul Administrative Court, Jan 2025; appeals filed</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Meta Ireland and Instagram (earlier period)</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criminal referral deferred</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D5</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2023</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OpenAI (ChatGPT)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Administrative fine;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service operation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Followed by D6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D6</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Six services built on large language models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D7</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Jun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application services: SK Telecom, SNOW, DeepL, VUNO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call transcripts; face images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D8</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Nov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Meta: sensitive information and advertising categories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of sensitive traits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D9</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Jan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Pay, Apple, Alipay: NSF risk scores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 incl. model destruction</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(risk scoring)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Pay challenge dismissed, Seoul Administrative Court, Jun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D10</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Apr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DeepSeek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 overseas transfer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Downloads resumed, Apr 2025</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digital textbooks: KERIS and Ministry of Education (pre-inspection)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in public education; state as deployer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 authentication at mobile-phone activation (Ministry of Science and ICT)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 to a ministry</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state as mandator</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Decree amendment pre-announced to supply legal basis</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Jun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Coupang: third-party activity records for advertising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and profiling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Litigation announced by firm</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Jul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TikTok; Apple (Siri)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surcharges;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voice data for speech recognition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Jan 2024</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CCTV selective monitoring (Vectorsys)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Video analytics; workplaces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A2</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Original video for autonomous-driving 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Sandbox exemptions (with PIPC); eased safeguard criteria</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Video of public spaces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Further exemption, May 2026</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A3</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voice-phishing detection (SKT with IBK; KT; LG Uplus)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Communications patterns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A4</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Before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Toss FacePay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Biometric (face payment)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Marketed by operator as the only reviewed face-payment service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A5</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Mar 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Kakao Kanana AI assistant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 (conditional)</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AI assistant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A6</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May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Naver AI Tab search agent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Prior-adequacy review (conditional)</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Usage histories; personalization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A7</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Aug 2026</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PIPA amendment: special provision for AI development</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Statute (passed)</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Expected in force early 2027</w:t>
            </w:r>
          </w:p>
        </w:tc>
      </w:tr>
      <w:tr>
        <w:trPr>
          <w:cantSplit/>
          <w:tblHeader w:val="false"/>
        </w:trPr>
        <w:tc>
          <w:tcPr>
            <w:tcW w:type="dxa" w:w="62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G1</w:t>
            </w:r>
          </w:p>
        </w:tc>
        <w:tc>
          <w:tcPr>
            <w:tcW w:type="dxa" w:w="9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2024–2025</w:t>
            </w:r>
          </w:p>
        </w:tc>
        <w:tc>
          <w:tcPr>
            <w:tcW w:type="dxa" w:w="23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Guides on public data and on generative 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Guidance documents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Training data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Three further guidance items eligible but not coded (Appendix B)</w:t>
            </w:r>
          </w:p>
        </w:tc>
      </w:tr>
    </w:tbl>
    <w:p>
      <w:pPr>
        <w:spacing w:before="60"/>
      </w:pPr>
      <w:r>
        <w:rPr>
          <w:i/>
          <w:iCs/>
          <w:sz w:val="18"/>
          <w:szCs w:val="18"/>
        </w:rPr>
        <w:t xml:space="preserve">Note: Sources for each entry are listed in Appendix A; the protocol and screening flow are reported in Appendix B and the online supplement. D = PIPC decision; A = authorization instrument; G = guidance.</w:t>
      </w:r>
    </w:p>
    <w:p>
      <w:pPr>
        <w:spacing w:after="240"/>
      </w:pPr>
    </w:p>
    <w:p>
      <w:pPr>
        <w:spacing w:after="0" w:line="480"/>
        <w:ind w:firstLine="720"/>
      </w:pPr>
      <w:r>
        <w:rPr>
          <w:highlight w:val="yellow"/>
          <w:highlightCs w:val="yellow"/>
        </w:rPr>
        <w:t xml:space="preserve">[AUTHOR: (1) Confirm which core documents were read in the original Korean and add identifiers (decision numbers, URLs, access dates) to Panel A. (2) Obtain the PIPC decision texts (의결서) for D1 to D14, and the published results for A1 and A3 to A6 where available, and add decision numbers to Panel B; where a decision text differs from press reporting, the decision text governs and the coding in Table 5 should be updated. (3) Reviewers will ask whether full written decisions were consulted; state this explicitly.]</w:t>
      </w:r>
    </w:p>
    <w:p>
      <w:pPr>
        <w:pStyle w:val="Heading2"/>
      </w:pPr>
      <w:r>
        <w:t xml:space="preserve">Analytic Procedure</w:t>
      </w:r>
    </w:p>
    <w:p>
      <w:pPr>
        <w:spacing w:after="0" w:line="480"/>
        <w:ind w:firstLine="720"/>
      </w:pPr>
      <w:r>
        <w:t xml:space="preserve">Analysis proceeded abductively in three passes, moving between the documents and the theoretical lens.</w:t>
      </w:r>
    </w:p>
    <w:p>
      <w:pPr>
        <w:spacing w:after="0" w:line="480"/>
        <w:ind w:firstLine="720"/>
      </w:pPr>
      <w:r>
        <w:t xml:space="preserve">In the first pass, </w:t>
      </w:r>
      <w:r>
        <w:rPr>
          <w:i/>
          <w:iCs/>
        </w:rPr>
        <w:t xml:space="preserve">harm-selection coding</w:t>
      </w:r>
      <w:r>
        <w:t xml:space="preserve">, we coded each document for the harms it rendered chargeable (for example, absence of separate consent for sensitive data, failure to destroy, unlawful overseas transfer), the remedies attached to them, and the conditions under which continued operation was permitted. We then coded for </w:t>
      </w:r>
      <w:r>
        <w:rPr>
          <w:i/>
          <w:iCs/>
        </w:rPr>
        <w:t xml:space="preserve">absences</w:t>
      </w:r>
      <w:r>
        <w:t xml:space="preserve">, demands that were plausible from the standpoint of the affected parties but that the instrument did not render actionable, such as retirement of a trained model, collective ownership of a corpus, or authority to halt a use-class. Absences were identified by comparing what the instruments addressed against the claims advanced in the critical literature and, where available, in commentary on the records.</w:t>
      </w:r>
    </w:p>
    <w:p>
      <w:pPr>
        <w:spacing w:after="0" w:line="480"/>
        <w:ind w:firstLine="720"/>
      </w:pPr>
      <w:r>
        <w:t xml:space="preserve">In the second pass, </w:t>
      </w:r>
      <w:r>
        <w:rPr>
          <w:i/>
          <w:iCs/>
        </w:rPr>
        <w:t xml:space="preserve">inscription coding</w:t>
      </w:r>
      <w:r>
        <w:t xml:space="preserve">, we traced each remedy to the technical artifact that would carry it, such as a consent interface, a deletion function, an age gate, a corpus filter, a posted policy, or a stored document, and coded what the artifact made possible and what it foreclosed.</w:t>
      </w:r>
    </w:p>
    <w:p>
      <w:pPr>
        <w:spacing w:after="0" w:line="480"/>
        <w:ind w:firstLine="720"/>
      </w:pPr>
      <w:r>
        <w:t xml:space="preserve">In the third pass, </w:t>
      </w:r>
      <w:r>
        <w:rPr>
          <w:i/>
          <w:iCs/>
        </w:rPr>
        <w:t xml:space="preserve">mechanism and rival-explanation analysis</w:t>
      </w:r>
      <w:r>
        <w:t xml:space="preserve">, we compared the coded patterns across records to identify recurring mechanisms, and we assessed each against rival explanations specified in advance (see "Assessing Rival Explanations").</w:t>
      </w:r>
    </w:p>
    <w:p>
      <w:pPr>
        <w:spacing w:after="0" w:line="480"/>
        <w:ind w:firstLine="720"/>
      </w:pPr>
      <w:r>
        <w:t xml:space="preserve">The same three passes were applied to the extended corpus at the level of detail its sources permit (Table 5). Two codes were added after the first reading of the extended corpus, because the core records did not contain the phenomena they capture: </w:t>
      </w:r>
      <w:r>
        <w:rPr>
          <w:i/>
          <w:iCs/>
        </w:rPr>
        <w:t xml:space="preserve">artifact-level remedy</w:t>
      </w:r>
      <w:r>
        <w:t xml:space="preserve">, for orders directed at a particular data set or trained model, and </w:t>
      </w:r>
      <w:r>
        <w:rPr>
          <w:i/>
          <w:iCs/>
        </w:rPr>
        <w:t xml:space="preserve">ex ante authorization</w:t>
      </w:r>
      <w:r>
        <w:t xml:space="preserve">, for instruments that permit processing in advance on conditions. Table 3 summarizes the final coding frame.</w:t>
      </w:r>
    </w:p>
    <w:p>
      <w:pPr>
        <w:keepNext/>
        <w:spacing w:after="120" w:before="240"/>
      </w:pPr>
      <w:r>
        <w:rPr>
          <w:b/>
          <w:bCs/>
        </w:rPr>
        <w:t xml:space="preserve">Table 3. Coding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cantSplit/>
          <w:tblHeader/>
        </w:trPr>
        <w:tc>
          <w:tcPr>
            <w:tcW w:type="dxa" w:w="22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Code family</w:t>
            </w:r>
          </w:p>
        </w:tc>
        <w:tc>
          <w:tcPr>
            <w:tcW w:type="dxa" w:w="3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Definition</w:t>
            </w:r>
          </w:p>
        </w:tc>
        <w:tc>
          <w:tcPr>
            <w:tcW w:type="dxa" w:w="33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Example indicator</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Chargeable harm</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Injury the instrument recognizes and attaches a consequence to</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 of separate consent for sensitive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Remedy</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Consequence attached to a chargeable harm</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Penalty, corrective order, solatium, documentation duty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Condition of continuation</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Terms under which operation may proceed</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Resumption after consent and deletion functions are added</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Technical carrier</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Artifact through which the remedy is implemented</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screen, deletion function, age gate, corpus filter, stored risk file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Plausible claim of affected parties not rendered actionable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Retirement of a use-class, collective ownership of a corpus, halt authority</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Block</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Instance where the instrument forecloses rather than conditions a practice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Prohibition of unlawful processing</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Artifact-level remedy (added)</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Order directed at a particular data set or trained model</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Destruction of a scoring model or of transferred data</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Ex ante authorization (added)</w:t>
            </w:r>
          </w:p>
        </w:tc>
        <w:tc>
          <w:tcPr>
            <w:tcW w:type="dxa" w:w="3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Instrument that permits processing in advance on conditions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Sandbox exemption; prior-adequacy review</w:t>
            </w:r>
          </w:p>
        </w:tc>
      </w:tr>
    </w:tbl>
    <w:p>
      <w:pPr>
        <w:spacing w:after="240"/>
      </w:pPr>
    </w:p>
    <w:p>
      <w:pPr>
        <w:spacing w:after="0" w:line="480"/>
        <w:ind w:firstLine="720"/>
      </w:pPr>
      <w:r>
        <w:rPr>
          <w:highlight w:val="yellow"/>
          <w:highlightCs w:val="yellow"/>
        </w:rPr>
        <w:t xml:space="preserve">[AUTHOR: Describe how coding was performed (by whom, with what software or protocol, whether a second researcher reviewed the codes, how disagreements were resolved). If a coding memo or audit trail exists, offer it as an online appendix. Do not claim intercoder reliability unless it was actually assessed.]</w:t>
      </w:r>
    </w:p>
    <w:p>
      <w:pPr>
        <w:pStyle w:val="Heading2"/>
      </w:pPr>
      <w:r>
        <w:t xml:space="preserve">Reflexivity</w:t>
      </w:r>
    </w:p>
    <w:p>
      <w:pPr>
        <w:spacing w:after="0" w:line="480"/>
        <w:ind w:firstLine="720"/>
      </w:pPr>
      <w:r>
        <w:t xml:space="preserve">The analysis is interpretive and critical. It reads documents against their own self-understanding in order to identify what their categories make sayable and unsayable. We do not claim that commissioners, judges, or compliance staff intend legitimation; the claim concerns a functional tendency of the available categories. To guard against confirmation, we report instances in which the instruments block rather than moralize, extend the analysis beyond the core records to a corpus selected for breadth rather than fit, specify the conditions under which our propositions would be falsified, and assess rival explanations explicitly.</w:t>
      </w:r>
    </w:p>
    <w:p>
      <w:pPr>
        <w:spacing w:after="0" w:line="480"/>
        <w:ind w:firstLine="720"/>
      </w:pPr>
      <w:r>
        <w:rPr>
          <w:highlight w:val="yellow"/>
          <w:highlightCs w:val="yellow"/>
        </w:rPr>
        <w:t xml:space="preserve">[AUTHOR: Add a short positionality statement if appropriate for the target review team (e.g., relationship to the Korean regulatory field, language competence, any advisory roles).]</w:t>
      </w:r>
    </w:p>
    <w:p>
      <w:pPr>
        <w:pStyle w:val="Heading1"/>
      </w:pPr>
      <w:r>
        <w:t xml:space="preserve">Findings</w:t>
      </w:r>
    </w:p>
    <w:p>
      <w:pPr>
        <w:spacing w:after="0" w:line="480"/>
        <w:ind w:firstLine="720"/>
      </w:pPr>
      <w:r>
        <w:t xml:space="preserve">We first present the three core records, then the extended corpus, and then a cross-case analysis that integrates both tiers. Each core record is presented in three parts: the harm the instrument rendered chargeable, the remedy and the artifact that carries it, and what remained outside the instrument.</w:t>
      </w:r>
    </w:p>
    <w:p>
      <w:pPr>
        <w:pStyle w:val="Heading2"/>
      </w:pPr>
      <w:r>
        <w:t xml:space="preserve">Core Record 1: Lee Luda and the Pricing of Intimate Speech</w:t>
      </w:r>
    </w:p>
    <w:p>
      <w:pPr>
        <w:spacing w:after="0" w:line="480"/>
        <w:ind w:firstLine="720"/>
      </w:pPr>
      <w:r>
        <w:rPr>
          <w:i/>
          <w:iCs/>
        </w:rPr>
        <w:t xml:space="preserve">Chargeable harm.</w:t>
      </w:r>
      <w:r>
        <w:t xml:space="preserve"> In 2020 Scatter Lab released Lee Luda, a Facebook Messenger chatbot designed for friendly conversation. Training and operation used KakaoTalk dialogues collected through the firm's own applications, Science of Love and TextAt, which invited users to upload conversations for psychological inference about a romantic partner. On 28 April 2021 the PIPC announced that from February 2020 to January 2021 the firm had used those dialogues for Lee Luda without consent adequate to that purpose. The Commission reported roughly 9.4 billion sentences from about 600,000 users, processed for model development without deletion or encryption of names, mobile numbers, and addresses. It also found that from October 2019 to January 2021 the firm had posted an AI model on GitHub together with 1,431 dialogue sentences containing 22 names and 34 place references, treating this as an unlawful provision of pseudonymous information accompanied by data that could re-identify a person. Eight violations drew combined penalty surcharges and administrative fines of KRW 103.3 million together with corrective orders (PIPC 2021; Korea.kr 2021).</w:t>
      </w:r>
    </w:p>
    <w:p>
      <w:pPr>
        <w:spacing w:after="0" w:line="480"/>
        <w:ind w:firstLine="720"/>
      </w:pPr>
      <w:r>
        <w:t xml:space="preserve">Civil adjudication followed four years later. On 12 June 2025 the Seoul Eastern District Court pronounced judgment in case 2021GaHap104007. A published case note quoting the holding reports four findings: the defendant did not give the injured plaintiffs clear notice of the consent terms or obtain substantive consent; former Articles 58-2 and 28-2 of the Personal Information Protection Act (PIPA) did not authorize processing without consent for the Lee Luda service; the defendant failed to destroy the personal data of withdrawn users, long-term inactive users, and users whose processing purpose had been achieved, outside the statutory exceptions; and the KakaoTalk sentences included sensitive information under former Article 23, namely thoughts and beliefs, health, and sex life, processed without the notice and consent that Articles 15(2) and 17(2) require.</w:t>
      </w:r>
    </w:p>
    <w:p>
      <w:pPr>
        <w:spacing w:after="0" w:line="480"/>
        <w:ind w:firstLine="720"/>
      </w:pPr>
      <w:r>
        <w:rPr>
          <w:highlight w:val="yellow"/>
          <w:highlightCs w:val="yellow"/>
        </w:rPr>
        <w:t xml:space="preserve">[AUTHOR: Add full citation for the published case note (author, outlet, date). It is currently referenced only descriptively.]</w:t>
      </w:r>
    </w:p>
    <w:p>
      <w:pPr>
        <w:spacing w:after="0" w:line="480"/>
        <w:ind w:firstLine="720"/>
      </w:pPr>
      <w:r>
        <w:rPr>
          <w:i/>
          <w:iCs/>
        </w:rPr>
        <w:t xml:space="preserve">Remedy and inscription.</w:t>
      </w:r>
      <w:r>
        <w:t xml:space="preserve"> Solatium was tiered at KRW 100,000 where only personal data were recognized, KRW 300,000 where only sensitive data were recognized, and KRW 400,000 where both were recognized. Press reports give 246 plaintiffs and headcounts of 26, 23, and 44 in the three tiers (JoongAng Ilbo 2025; Yonhap News 2025). These headcounts are press-reported and are not in the openly quoted holding. On the regulatory side, the remedy took the form of corrective orders directed at processing practice: purpose-compatible consent, destruction of data no longer needed, and the handling of pseudonymized information.</w:t>
      </w:r>
    </w:p>
    <w:p>
      <w:pPr>
        <w:spacing w:after="0" w:line="480"/>
        <w:ind w:firstLine="720"/>
      </w:pPr>
      <w:r>
        <w:rPr>
          <w:i/>
          <w:iCs/>
        </w:rPr>
        <w:t xml:space="preserve">What remained outside.</w:t>
      </w:r>
      <w:r>
        <w:t xml:space="preserve"> The findings pierced the firm's principal ideological defense, the claim that de-identification rendered the corpus harmless. The Commission found that persons remained inferable, and the court declined to treat the former pseudonymization and exemption clauses as a lawful basis. The quoted holding is also broader than a data spill: it reaches purpose-incompatible training, non-destruction, and sensitive content. Yet the remedial grammar prices that complex of harms as individual solatium. If the press headcounts are accurate, 93 of 246 plaintiffs were placed in an injury tier, and recognized plaintiffs received sums in the range of KRW 100,000 to 400,000. The model built from the speech of a class of users was not, in any public record we located, collectively owned, retired, or opened as a consequence of the proceedings. The lesson the Commission published with the sanction was that data collected for one service may not be reused for another without explicit consent. This is a lesson about correct processing for AI development, not a public decision about whether companion models may be built from intimate corpora.</w:t>
      </w:r>
    </w:p>
    <w:p>
      <w:pPr>
        <w:spacing w:after="0" w:line="480"/>
        <w:ind w:firstLine="720"/>
      </w:pPr>
      <w:r>
        <w:t xml:space="preserve">The asymmetry of sanction becomes visible when the record is read against the extended corpus. In 2023 the PIPC investigated OpenAI after a software fault exposed the names and partial payment details of 687 Korean users of ChatGPT Plus. It found no breach of safety-measure duties, imposed an administrative fine of KRW 3.6 million for failing to report the breach within 24 hours, and issued improvement recommendations. In the course of the investigation it requested information on the sources of Korean-language training data, efforts to prevent ethical problems, and ways for users to refuse collection, and received only general and comprehensive material (D5). A small domestic developer was sanctioned for the provenance and handling of its training corpus; a foreign developer of a general-purpose model was sanctioned for a reporting delay, while the provenance of its corpus remained largely outside the record. Asymmetry of sanction is part of administered ethics, not an exception to it.</w:t>
      </w:r>
    </w:p>
    <w:p>
      <w:pPr>
        <w:pStyle w:val="Heading2"/>
      </w:pPr>
      <w:r>
        <w:t xml:space="preserve">Core Record 2: Worldcoin and the Tokenized Iris</w:t>
      </w:r>
    </w:p>
    <w:p>
      <w:pPr>
        <w:spacing w:after="0" w:line="480"/>
        <w:ind w:firstLine="720"/>
      </w:pPr>
      <w:r>
        <w:rPr>
          <w:i/>
          <w:iCs/>
        </w:rPr>
        <w:t xml:space="preserve">Chargeable harm.</w:t>
      </w:r>
      <w:r>
        <w:t xml:space="preserve"> On 25 September 2024 the PIPC decided, and on 26 September published, sanctions against Worldcoin Foundation and Tools for Humanity Corporation (TFH). The investigation followed complaints and reporting that biometric data were being collected in exchange for a virtual asset. The Commission found that the Foundation and TFH, as entrusted processor and operator of the World App, collected iris and related personal data without a lawful basis and transferred data abroad without the statutory notice. As of 6 September 2024, about 93,463 people in Korea had downloaded the World App and 29,991 had completed iris authentication. The device known as the Orb captured the iris and generated an iris code, and the code anchored a wallet holding the token (PIPC 2024; Yonhap News 2024).</w:t>
      </w:r>
    </w:p>
    <w:p>
      <w:pPr>
        <w:spacing w:after="0" w:line="480"/>
        <w:ind w:firstLine="720"/>
      </w:pPr>
      <w:r>
        <w:rPr>
          <w:i/>
          <w:iCs/>
        </w:rPr>
        <w:t xml:space="preserve">Remedy and inscription.</w:t>
      </w:r>
      <w:r>
        <w:t xml:space="preserve"> Combined penalty surcharges were KRW 1.104 billion: KRW 725 million for the Foundation and KRW 379 million for TFH, plus corrective orders and recommendations. The orders required separate consent for sensitive data, assurance against use beyond the original purpose, an effective deletion path, age verification in the application, and full statutory notice of overseas transfer. During the investigation the Foundation added a deletion function and, when domestic collection resumed in April 2024, on-site identity-document checks. Every element of the remedy has a technical carrier: a consent screen, a deletion function, an age gate, a transfer notice.</w:t>
      </w:r>
    </w:p>
    <w:p>
      <w:pPr>
        <w:spacing w:after="0" w:line="480"/>
        <w:ind w:firstLine="720"/>
      </w:pPr>
      <w:r>
        <w:rPr>
          <w:i/>
          <w:iCs/>
        </w:rPr>
        <w:t xml:space="preserve">What remained outside.</w:t>
      </w:r>
      <w:r>
        <w:t xml:space="preserve"> Proof of personhood is a public-sounding purpose, but the means is an identifier that cannot be reissued, and the consideration offered is a token. Separate consent and deletion are the forms of voice that the administrative category can recognize. They do not create a forum in which the affected public decides whether a private foundation should hold iris codes of Korean residents, and deletion, as an individual exit, cannot unmake the category of a unique human paid in crypto or the global infrastructure that makes domestic enrollment valuable. The orders were compatible with resumed operation once the specified controls were in place. This record is an instance of what we term infrastructural closure: once capture is organized through a device and a foundation's technology stack, the duty is expressed as the controls that stack can supply. The same corrective path recurs in the extended corpus, most closely in the DeepSeek record (D10).</w:t>
      </w:r>
    </w:p>
    <w:p>
      <w:pPr>
        <w:pStyle w:val="Heading2"/>
      </w:pPr>
      <w:r>
        <w:t xml:space="preserve">Core Record 3: The AI Framework Act and High-Impact Hiring</w:t>
      </w:r>
    </w:p>
    <w:p>
      <w:pPr>
        <w:spacing w:after="0" w:line="480"/>
        <w:ind w:firstLine="720"/>
      </w:pPr>
      <w:r>
        <w:rPr>
          <w:i/>
          <w:iCs/>
        </w:rPr>
        <w:t xml:space="preserve">Chargeable harm.</w:t>
      </w:r>
      <w:r>
        <w:t xml:space="preserve"> The Framework Act on Artificial Intelligence Development and the Establishment of a Trust Foundation (Act No. 20676) was promulgated on 21 January 2025 and took effect on 22 January 2026. A partial amendment (Act No. 21311, 20 January 2026) is listed as effective 21 July 2026. Its stated purposes join the protection of rights and dignity with quality of life and national competitiveness. Article 2(4) defines high-impact AI in two steps: use in a listed domain, and a risk of significant effect on life, bodily safety, or fundamental rights. The listed domains include energy supply, drinking-water production, health-care provision, medical and digital medical devices, nuclear facilities, biometric analysis for criminal investigation or arrest, judgments or evaluations with significant effect on rights and duties such as recruitment and loan screening, transport, public services, and education. Unlike the two prior records, this is a prospective instrument. The chargeable harm is not a completed injury but a failure to perform specified duties.</w:t>
      </w:r>
    </w:p>
    <w:p>
      <w:pPr>
        <w:spacing w:after="0" w:line="480"/>
        <w:ind w:firstLine="720"/>
      </w:pPr>
      <w:r>
        <w:rPr>
          <w:i/>
          <w:iCs/>
        </w:rPr>
        <w:t xml:space="preserve">Remedy and inscription.</w:t>
      </w:r>
      <w:r>
        <w:t xml:space="preserve"> Operator duties sit in the Act and in Articles 23, 25, and 27 of Enforcement Decree No. 36053. Article 33 of the Act requires the operator to review high-impact status in advance and permits a request that the Minister confirm it. Article 34 requires measures whose decree-level content includes a risk-management scheme, an explanation method, user-protection measures, and human management and supervision. Article 35 requires an effort to assess effects on fundamental rights before providing a high-impact product or service; it is an effort clause, not a condition of legality. Decree Article 23 implements transparency as prior notice on the product, contract, manual, or screen. Decree Article 27(1) requires posting, at the office or on a website, the main risk-management policy and organization, the explanation method, user-protection measures, and the name and contact details of the human supervisor, with trade secrets exempt. Article 27(2) requires that evidence of implementation be kept as documents, including electronic records, for five years. Article 27(4) directs developers to endeavor to cooperate when a deploying business requests materials.</w:t>
      </w:r>
    </w:p>
    <w:p>
      <w:pPr>
        <w:spacing w:after="0" w:line="480"/>
        <w:ind w:firstLine="720"/>
      </w:pPr>
      <w:r>
        <w:t xml:space="preserve">Annex 1 of the decree is a deemed-compliance table under Article 27(5). Where an operator already meets specified sectoral regimes, including digital-medical quality systems, autonomous-vehicle performance certification, autonomous-ship safety evaluation and operating approval, nuclear management and ethics codes, loan-screening explanation duties under the credit-information and financial-consumer statutes, safety measures under the Framework Act on Intelligent Informatization, and Articles 29, 30, 31, 31-2, 37-2, and 38 of PIPA, the corresponding Article 34(1) measure is deemed performed. The digital-medical rows took effect on 24 January 2026, and the decree otherwise took effect on 22 January 2026. Recruitment has no deemed-compliance row.</w:t>
      </w:r>
    </w:p>
    <w:p>
      <w:pPr>
        <w:spacing w:after="0" w:line="480"/>
        <w:ind w:firstLine="720"/>
      </w:pPr>
      <w:r>
        <w:rPr>
          <w:i/>
          <w:iCs/>
        </w:rPr>
        <w:t xml:space="preserve">What remained outside.</w:t>
      </w:r>
      <w:r>
        <w:t xml:space="preserve"> The statute attaches risk management, prior notice, a five-year file, and an effort to assess fundamental-rights effects to predictive hiring. It does not transfer the decision to use a model, or any authority over its criteria, to candidates or workers. Self-review under Article 33 places the initial classification with the operator, the actor with a competitive interest in a narrower classification. The comparison with loan screening is instructive. Loan screening can be deemed compliant by meeting existing credit and financial-consumer explanation duties, whereas recruitment, lacking a comparable sectoral regime, is left to posted policies, a named supervisor, and stored documents. A file can be audited without opening the objective function or the managerial prerogative to rank, and the trade-secret exemption in Article 27(1) legally authorizes the opacity that a candidate would need to overcome to contest a score. No domestic judgment finding discriminatory AI hiring was located in public reporting as of 2024. A recruiter survey reported 18 percent of 1,200 recruiters using AI in hiring, and labor reporting has cited distrust where criteria are undisclosed (Hankyung 2024; Outsourcing Times 2025).</w:t>
      </w:r>
    </w:p>
    <w:p>
      <w:pPr>
        <w:spacing w:after="0" w:line="480"/>
        <w:ind w:firstLine="720"/>
      </w:pPr>
      <w:r>
        <w:t xml:space="preserve">The general data-protection statute does not close the gap. Since March 2024, Article 37-2 of PIPA has given data subjects a right to refuse decisions made by fully automated systems, including systems using AI, where those decisions significantly affect their rights or duties, and a right to request an explanation of automated decisions. Because the right to refuse attaches only to decisions that are fully automated, a recruitment process in which a person takes part, even nominally, falls outside it (Law Times n.d.). The two statutes together leave the candidate with a notice, a posted policy, and, at most, an explanation.</w:t>
      </w:r>
    </w:p>
    <w:p>
      <w:pPr>
        <w:spacing w:after="0" w:line="480"/>
        <w:ind w:firstLine="720"/>
      </w:pPr>
      <w:r>
        <w:rPr>
          <w:highlight w:val="yellow"/>
          <w:highlightCs w:val="yellow"/>
        </w:rPr>
        <w:t xml:space="preserve">[AUTHOR: If the prior draft's broader claims about legal commentary (impracticability of refusal after a recruitment file closes; insufficiency of explanation rights for proving bias) are retained, add the specific sources. Also complete the Law Times citation.]</w:t>
      </w:r>
    </w:p>
    <w:p>
      <w:pPr>
        <w:pStyle w:val="Heading2"/>
      </w:pPr>
      <w:r>
        <w:t xml:space="preserve">The Extended Corpus: Recurrence and Disconfirmation</w:t>
      </w:r>
    </w:p>
    <w:p>
      <w:pPr>
        <w:spacing w:after="0" w:line="480"/>
        <w:ind w:firstLine="720"/>
      </w:pPr>
      <w:r>
        <w:t xml:space="preserve">The protocol yielded fourteen decisions (D1 to D14) and eight authorization or guidance entries (A1 to A7 and G1). Table 5 summarizes the coding of the decisions; the authorization and guidance entries are discussed separately below. We organize the discussion by the data relation at stake and close with the entries that disconfirm the account.</w:t>
      </w:r>
    </w:p>
    <w:p>
      <w:pPr>
        <w:keepNext/>
        <w:spacing w:after="120" w:before="240"/>
      </w:pPr>
      <w:r>
        <w:rPr>
          <w:b/>
          <w:bCs/>
        </w:rPr>
        <w:t xml:space="preserve">Table 5. Coding of the Extended Corpus (PIPC Decisions D1–D14)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1800"/>
        <w:gridCol w:w="1660"/>
        <w:gridCol w:w="1400"/>
        <w:gridCol w:w="1100"/>
      </w:tblGrid>
      <w:tr>
        <w:trPr>
          <w:cantSplit/>
          <w:tblHeader/>
        </w:trPr>
        <w:tc>
          <w:tcPr>
            <w:tcW w:type="dxa" w:w="15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Entry</w:t>
            </w:r>
          </w:p>
        </w:tc>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Chargeable harm</w:t>
            </w:r>
          </w:p>
        </w:tc>
        <w:tc>
          <w:tcPr>
            <w:tcW w:type="dxa" w:w="18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Remedy</w:t>
            </w:r>
          </w:p>
        </w:tc>
        <w:tc>
          <w:tcPr>
            <w:tcW w:type="dxa" w:w="16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Technical carrier</w:t>
            </w:r>
          </w:p>
        </w:tc>
        <w:tc>
          <w:tcPr>
            <w:tcW w:type="dxa" w:w="14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Continuation</w:t>
            </w:r>
          </w:p>
        </w:tc>
        <w:tc>
          <w:tcPr>
            <w:tcW w:type="dxa" w:w="11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Block</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 Facebook</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Face templates generated without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6.44bn; destroy data or obtain consent</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interface; deletion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Permitted on consent</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destruction as one alternative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D2 Ministry of Justice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Undisclosed entrustment (AI use held within purpose)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1m administrative fine</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Disclosure of entrustment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Project ended and data destroyed before decision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D3 Google, Meta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Third-party behavioral data without lawful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69.2bn and 30.8bn;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Collection continued during litigation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D4 Meta Ireland, Instagram</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Same, earlier period; collection tool bundled with login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7.4bn; referral deferred on undertaking</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 tool configuration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Self-correction undertaken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D5 OpenAI</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Late breach notification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3.6m administrative fine;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Notification process; privacy policy</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D6 Six LLM services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Insufficient removal of identifiers from training data; human review of prompts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Improvement recommendations; regulator-supplied URL lists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Corpus filters; notices; reporting functions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D7 AI application services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Missing access logs; retention of transcripts; unclear disclosure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Access logs; retention limits; de-identification; notices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D8 Meta</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Sensitive information processed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21.6bn; corrective order</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Lawful-basis and safety measures</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Practice ended by firm during investigation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self-initiated destruction</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D9 Kakao Pay, Apple, Alipay</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Provision and overseas transfer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5.968bn and 2.405bn; model destruction</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Transfer basis; model deletion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Transfer permitted on lawful basis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Yes: trained model</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D10 DeepSeek</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Undisclosed overseas transfer of prompts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Recommendations; destruction of transferred prompts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Korean policy; transfer refusal; training opt-out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Resumed five days after resolution</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transferred data</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D11 AI digital textbooks</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Insufficient notice of items, purposes, and retention</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Corrective and improvement recommendations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forms; privacy policy; screening criteria</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D12 Face authentication</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Unclear legal basis; consent without real choice</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Recommendation: review proportionality; choice or legal basis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Alternative authentication; decree amendment</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Ministry planned implementation with alternative means</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Partial: regulator contests ministry</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D13 Coupang</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Third-party activity records collected without consent</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201.1bn; corrective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Choice over customized advertising; partner supervision</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D14 TikTok, Apple</w:t>
            </w:r>
          </w:p>
        </w:tc>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Bundled consent for behavioral data; voice transcripts without lawful basis</w:t>
            </w:r>
          </w:p>
        </w:tc>
        <w:tc>
          <w:tcPr>
            <w:tcW w:type="dxa" w:w="18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10.3bn; KRW 252m fixed amount; orders</w:t>
            </w:r>
          </w:p>
        </w:tc>
        <w:tc>
          <w:tcPr>
            <w:tcW w:type="dxa" w:w="16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flow; transcript choice; filtering</w:t>
            </w:r>
          </w:p>
        </w:tc>
        <w:tc>
          <w:tcPr>
            <w:tcW w:type="dxa" w:w="14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suspension ordered</w:t>
            </w:r>
          </w:p>
        </w:tc>
        <w:tc>
          <w:tcPr>
            <w:tcW w:type="dxa" w:w="11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w:t>
            </w:r>
          </w:p>
        </w:tc>
      </w:tr>
    </w:tbl>
    <w:p>
      <w:pPr>
        <w:spacing w:before="60"/>
      </w:pPr>
      <w:r>
        <w:rPr>
          <w:i/>
          <w:iCs/>
          <w:sz w:val="18"/>
          <w:szCs w:val="18"/>
        </w:rPr>
        <w:t xml:space="preserve">Note: Coding is limited to the level of detail reported in the sources listed in Appendix A and should be checked against the PIPC decision texts.</w:t>
      </w:r>
    </w:p>
    <w:p>
      <w:pPr>
        <w:spacing w:after="240"/>
      </w:pPr>
    </w:p>
    <w:p>
      <w:pPr>
        <w:pStyle w:val="Heading3"/>
      </w:pPr>
      <w:r>
        <w:t xml:space="preserve">Biometric Identifiers</w:t>
      </w:r>
    </w:p>
    <w:p>
      <w:pPr>
        <w:spacing w:after="0" w:line="480"/>
        <w:ind w:firstLine="720"/>
      </w:pPr>
      <w:r>
        <w:t xml:space="preserve">Three decisions concern biometric identifiers. In August 2021 the PIPC found that Facebook had generated face-recognition templates without consent between April 2018 and September 2019, covering about 200,000 Korean users, and imposed a penalty surcharge of KRW 6.44 billion (D1). The corrective order required the company to destroy the face data collected without consent or to obtain consent for it. Destruction appears here as one branch of an alternative whose other branch is continued processing on a repaired consent basis, and the technical carrier of the remedy is, again, a consent interface.</w:t>
      </w:r>
    </w:p>
    <w:p>
      <w:pPr>
        <w:spacing w:after="0" w:line="480"/>
        <w:ind w:firstLine="720"/>
      </w:pPr>
      <w:r>
        <w:t xml:space="preserve">The Ministry of Justice entry places the state itself in the position of data supplier (D2). From 2019 the Ministry of Justice and the Ministry of Science and ICT pursued a project to develop an AI identification and tracking system for immigration control, in the course of which personal data and facial images collected at immigration screening, about 170 million records according to press reports, were made available to 24 private companies for training and validating algorithms. In April 2022 the PIPC held that using facial data held for immigration screening to develop immigration-screening AI fell within the purpose of collection. It imposed an administrative fine of KRW 1 million because the processing entrusted to the participating firms had not been disclosed, and it confirmed that the data used for training had been deleted. The PIPC added that using such data for purposes without a basis in immigration law would require consent or an explicit legal basis. A constitutional complaint filed by Korean and foreign nationals was dismissed in February 2026 without a ruling on the merits: the project had ended in December 2021, the data had been destroyed in March 2022, and the ministry stated that it had no plan to resume similar work. The principal judicial challenge to the state's provision of biometric training data to industry thus ended on mootness, and the regulator's characterization of AI development as within the purpose of immigration screening remained the operative public judgment on the practice.</w:t>
      </w:r>
    </w:p>
    <w:p>
      <w:pPr>
        <w:spacing w:after="0" w:line="480"/>
        <w:ind w:firstLine="720"/>
      </w:pPr>
      <w:r>
        <w:t xml:space="preserve">The most recent biometric entry places the state in the position of mandator (D12). As part of a government plan against voice phishing, the Ministry of Science and ICT began a pilot in December 2025 under which mobile-phone subscribers had their live facial image matched against the photograph on their identity card at activation; formal implementation was planned first for March and then for July 2026. In March 2026 the National Human Rights Commission recommended that the policy be reconsidered. In May 2026 the PIPC recommended improvements. It found that the ministry had not sufficiently reviewed the scheme from a data-protection perspective, that the Telecommunications Business Act did not clearly authorize the use of facial data for identity verification, and that consent obtained without a real alternative was in practice difficult to refuse. It asked the ministry to review the necessity, scope, effectiveness, and proportionality of the scheme, to limit the facial data processed in contractors' systems to the minimum, and either to guarantee subscribers a genuine choice or to establish a legal basis. A PIPC official explained that the recommendation concerned not whether the measure could be adopted but whether it would be adopted through proper procedure. The ministry responded that it would provide alternative means of authentication and pre-announced an amendment to the enforcement decree of the Telecommunications Business Act to supply the legal basis. The entry is both a block and a demonstration of its limit: the regulator contested a use of biometrics promoted within the state, and the contest was framed as a question of the procedure through which mandatory face matching could become lawful.</w:t>
      </w:r>
    </w:p>
    <w:p>
      <w:pPr>
        <w:spacing w:after="0" w:line="480"/>
        <w:ind w:firstLine="720"/>
      </w:pPr>
      <w:r>
        <w:rPr>
          <w:highlight w:val="yellow"/>
          <w:highlightCs w:val="yellow"/>
        </w:rPr>
        <w:t xml:space="preserve">[AUTHOR: Verify whether formal implementation of face authentication began in July 2026 and whether the decree amendment was adopted; update D12 accordingly.]</w:t>
      </w:r>
    </w:p>
    <w:p>
      <w:pPr>
        <w:pStyle w:val="Heading3"/>
      </w:pPr>
      <w:r>
        <w:t xml:space="preserve">Training Data and Model Development</w:t>
      </w:r>
    </w:p>
    <w:p>
      <w:pPr>
        <w:spacing w:after="0" w:line="480"/>
        <w:ind w:firstLine="720"/>
      </w:pPr>
      <w:r>
        <w:t xml:space="preserve">Six decisions concern the data from which AI models are built and the services built on them. The OpenAI decision of July 2023 (D5), discussed under the first core record, sanctioned a reporting delay and left the provenance of Korean-language training data largely outside the record. The PIPC's response was procedural and prospective: it announced a pre-inspection of major AI services. The pre-inspection concluded in March 2024 with improvement recommendations to six providers of services built on large language models, namely OpenAI, Google, Microsoft, Meta, Naver, and Wrtn (D6). It found that several providers did not sufficiently remove key identifiers such as resident registration numbers from publicly available training data, and that human reviewers read users' prompts and the models' answers in order to build training datasets. The PIPC undertook to supply providers with the URLs of pages on which exposed Korean personal data had been detected, so that they could be excluded from collection. It described the exercise as the first application of pre-inspection to the private sector, conducted with regard to the activation of an AI industry at an early stage. The regulator thus became a supplier of inputs to the providers' data pipelines. Protection took the form of better filtering of the corpus rather than a decision about whether, or on what terms, Korean public data should become training material.</w:t>
      </w:r>
    </w:p>
    <w:p>
      <w:pPr>
        <w:spacing w:after="0" w:line="480"/>
        <w:ind w:firstLine="720"/>
      </w:pPr>
      <w:r>
        <w:t xml:space="preserve">A second pre-inspection, concluded in June 2024, examined AI applications rather than foundation models (D7). In SK Telecom's assistant, call recordings made on the user's device were converted to text on the company's servers and summarized in Microsoft's cloud. The PIPC issued a corrective recommendation because access logs were not kept for the system storing the transcripts, together with improvement recommendations to minimize the retention of transcripts, to strengthen the de-identification of data passed to training servers, and to make the service comprehensible to users. For Naver's SNOW, which generates altered images from users' face photographs using a publicly released pre-trained model, it found no violation but recommended clearer disclosure of server-side processing and a review of third-party software development kits. DeepL, which used text entered by free users as training data, clarified its notice during the inspection, and VUNO, a developer of medical-imaging software, was found to train only on data approved by hospitals' review boards. The use of call transcripts and free users' inputs as training material was conditioned rather than questioned.</w:t>
      </w:r>
    </w:p>
    <w:p>
      <w:pPr>
        <w:spacing w:after="0" w:line="480"/>
        <w:ind w:firstLine="720"/>
      </w:pPr>
      <w:r>
        <w:t xml:space="preserve">The DeepSeek entry (D10) reproduces the Worldcoin sequence in compressed form. In February 2025 DeepSeek suspended new downloads in Korea, accepting a recommendation from the PIPC, which had found that user data were flowing to the parent company of TikTok. The ensuing pre-inspection established that prompts entered by Korean users had been transferred to Volcano Engine, a ByteDance affiliate, without consent or disclosure. On 23 April 2025 the PIPC resolved corrective recommendations, including a lawful basis for overseas transfer and the immediate destruction of the transferred prompt data; during the inspection DeepSeek also introduced an option to refuse the use of prompts for training. Five days after the resolution, DeepSeek published a Korean-language privacy policy under which users could refuse transfer, and downloads resumed. Suspension, specification of controls, implementation, and resumption followed one another in little more than ten weeks.</w:t>
      </w:r>
    </w:p>
    <w:p>
      <w:pPr>
        <w:spacing w:after="0" w:line="480"/>
        <w:ind w:firstLine="720"/>
      </w:pPr>
      <w:r>
        <w:t xml:space="preserve">The state appears as deployer in the AI digital textbook entry (D11). After AI digital textbooks entered public schools in March 2025, the PIPC's pre-inspection found deficiencies in their processing of personal data. In May 2025 it recommended that the Korea Education and Research Information Service, which operates the textbooks' portal, notify data subjects of the items, purposes, and retention periods of the data processed, and that the Ministry of Education incorporate PIPA requirements into the screening criteria and guidelines for the textbooks and establish a system of follow-up inspection. The PIPC noted that it had consulted informally with the ministry since the previous year, and its official stated that pre-inspection was not an obstacle to the activation of AI digital textbooks.</w:t>
      </w:r>
    </w:p>
    <w:p>
      <w:pPr>
        <w:spacing w:after="0" w:line="480"/>
        <w:ind w:firstLine="720"/>
      </w:pPr>
      <w:r>
        <w:t xml:space="preserve">The Apple entry of July 2026 (D14) concerns voice data used to improve a speech-recognition system. The PIPC found that recordings and transcripts of Siri interactions had been collected without separate consent until August 2019 and used to improve speech recognition, and that from October 2019 consent had been obtained for recordings while transcripts continued to be used without a lawful basis. Because Siri is free and generates no related revenue, the penalty surcharge was set as a fixed amount of KRW 252 million. Apple introduced a choice over transcript use, together with filtering, during the investigation. Where the penalty formula is indexed to revenue, the use of voice data to train a free AI service is priced at a flat rate.</w:t>
      </w:r>
    </w:p>
    <w:p>
      <w:pPr>
        <w:pStyle w:val="Heading3"/>
      </w:pPr>
      <w:r>
        <w:t xml:space="preserve">Algorithmic Inference and Profiling</w:t>
      </w:r>
    </w:p>
    <w:p>
      <w:pPr>
        <w:spacing w:after="0" w:line="480"/>
        <w:ind w:firstLine="720"/>
      </w:pPr>
      <w:r>
        <w:t xml:space="preserve">Six decisions concern systems that infer interests, characteristics, or risk from personal data. In September 2022 the PIPC imposed penalty surcharges of KRW 69.2 billion on Google and KRW 30.8 billion on Meta for collecting users' activity on third-party websites and applications without lawful consent and using it for customized advertising, its first sanction of behavioral-data collection by advertising platforms (D3). It ordered both companies to obtain consent through which users clearly understood the collection, and noted that most Korean users had settings permitting it (over 82 percent for Google and over 98 percent for Meta). In January 2025 the Seoul Administrative Court dismissed both companies' challenges, holding that the platforms were obliged to obtain consent and that asserted technical difficulty could not justify the violation; both companies appealed. Reporting about a year after the decision found that collection continued while the litigation proceeded, and Meta stated that its practices had not changed after the decision. A follow-up decision in July 2023 imposed a further KRW 7.4 billion on Meta Ireland and Instagram for the earlier period (D4). It found that installing the Facebook Login function also installed an unrelated behavioral-data collection tool. The PIPC considered a criminal referral but deferred its judgment because Meta undertook to correct the practice within three months.</w:t>
      </w:r>
    </w:p>
    <w:p>
      <w:pPr>
        <w:spacing w:after="0" w:line="480"/>
        <w:ind w:firstLine="720"/>
      </w:pPr>
      <w:r>
        <w:t xml:space="preserve">In November 2024 the PIPC found that Meta had collected sensitive information, including religious and political views and same-sex marriage status, from about 980,000 Korean users, and had created more than 90,000 advertising categories by analyzing behavioral data, including categories concerning particular religions, homosexuality, transgender identity, and North Korean defectors, which about 4,000 advertisers used (D8). It imposed a penalty surcharge of KRW 21.6 billion and ordered Meta to establish a lawful basis and safety measures for processing sensitive information. Meta had stopped collecting such information from profiles in August 2021 and destroyed the sensitive advertising categories in March 2022, during the investigation.</w:t>
      </w:r>
    </w:p>
    <w:p>
      <w:pPr>
        <w:spacing w:after="0" w:line="480"/>
        <w:ind w:firstLine="720"/>
      </w:pPr>
      <w:r>
        <w:t xml:space="preserve">In June 2026 the PIPC found that Coupang had collected, between December 2024 and February 2026, the activity records of about 11.17 million members on third-party websites and applications where its advertisements appeared, without consent or clear notice, and had stored them in identifiable form for customized advertising (D13). It imposed a penalty surcharge of KRW 201.1 billion for this violation, separately from the penalty for a large security breach decided in the same session, and ordered greater transparency, a genuine choice for users over customized advertising, and stronger supervision of advertising partners. The following month it imposed a penalty surcharge of KRW 10.3 billion on TikTok, whose collection tools were used by about 71,000 Korean businesses and which linked the third-party activity of 9.45 million active Korean users to their accounts in order to infer their interests and characteristics, obtaining consent only as part of a mandatory bundle at sign-up (D14). The size of the penalties grew across the period, from KRW 69.2 billion in 2022 to KRW 201.1 billion in 2026; the form of the remedy did not change.</w:t>
      </w:r>
    </w:p>
    <w:p>
      <w:pPr>
        <w:spacing w:after="0" w:line="480"/>
        <w:ind w:firstLine="720"/>
      </w:pPr>
      <w:r>
        <w:t xml:space="preserve">In each of these entries, inference itself, the production of a category such as a religious affiliation or a sexual orientation from behavior, becomes chargeable through the consent and sensitive-data provisions, and the remedy repairs the basis on which inference proceeds. The Kakao Pay entry (D9), discussed below as a disconfirming instance, is the exception that reaches the inferential artifact itself.</w:t>
      </w:r>
    </w:p>
    <w:p>
      <w:pPr>
        <w:pStyle w:val="Heading3"/>
      </w:pPr>
      <w:r>
        <w:t xml:space="preserve">Authorization and Guidance Instruments</w:t>
      </w:r>
    </w:p>
    <w:p>
      <w:pPr>
        <w:spacing w:after="0" w:line="480"/>
        <w:ind w:firstLine="720"/>
      </w:pPr>
      <w:r>
        <w:t xml:space="preserve">Eight entries authorize or guide processing in advance. Prior-adequacy review, piloted from October 2023 and formalized by PIPC rules in March 2024, allows an operator that is still planning a new service to prepare a compliance plan with the PIPC; if the operator implements the plan, it is protected from adverse dispositions under PIPA. Materials submitted may be used only for the review, and the result is not published unless the applicant wishes. By May 2026 the PIPC had resolved twenty such reviews, including two for foreign operators. Six of those whose content is publicly known concern AI or biometrics. The PIPC approved an AI video-surveillance solution that records only incidents such as falls or intrusions and displays persons as icons, holding that it could be operated without the consent of those filmed because concerns about the surveillance of workers were small and the benefits of preventing and analyzing incidents large (A1, January 2024). It approved AI voice-phishing detection services proposed by SK Telecom with the Industrial Bank of Korea in 2024 and by KT and LG Uplus in 2025; the latter trained models on the calling and messaging patterns of numbers identified as used for voice phishing in order to build a database of suspected numbers for financial institutions' fraud detection (A3). Toss's face-payment service underwent the review before launch, and its operator markets it as the only face-payment service to have done so (A4). Kakao's AI assistant Kanana was approved in March 2025 subject to additional safety measures (A5). Naver's AI Tab, a search agent that personalizes answers using users' search, blog, community, and shopping histories, was approved in May 2026 on condition of an opt-out notice, effective subsequent control by users, additional safeguards against leakage, the exclusion of sensitive information from the analysis of usage histories, and the exclusion of unique identifiers and account numbers from answers (A6).</w:t>
      </w:r>
    </w:p>
    <w:p>
      <w:pPr>
        <w:spacing w:after="0" w:line="480"/>
        <w:ind w:firstLine="720"/>
      </w:pPr>
      <w:r>
        <w:t xml:space="preserve">The regulatory sandbox performs a similar function for video (A2). In July 2024 the Ministry of Science and ICT, in consultation with the PIPC, granted four companies exemptions to use original, unblurred video for the development of autonomous-driving systems. In January 2026 the PIPC announced that it would ease the sandbox safeguard criteria so that companies could designate, under their own responsibility, the places in which original video is used, and in May 2026 a further exemption was granted to a delivery-robot developer on conditions including a prohibition on use for identifying individuals. In August 2026 the National Assembly passed an amendment to PIPA that generalizes the sandbox logic (A7). Where AI development cannot be achieved with pseudonymized or anonymized data and public or social necessity is recognized, lawfully collected personal data may be used for AI development after deliberation and resolution by the PIPC, subject to enhanced safeguards. The PIPC has indicated that it is preparing for the amendment to take effect in early 2027, and its chair has stated that private companies and commercial AI services may also qualify (Money Today 2026a).</w:t>
      </w:r>
    </w:p>
    <w:p>
      <w:pPr>
        <w:spacing w:after="0" w:line="480"/>
        <w:ind w:firstLine="720"/>
      </w:pPr>
      <w:r>
        <w:t xml:space="preserve">The guidance documents articulate the same orientation (G1). The 2024 guide on publicly available personal data identified the legitimate-interests clause of PIPA as a lawful basis for using such data to train AI. At the launch of the 2025 guide on generative AI, the then chair described the guide as installing guardrails on an AI highway. In 2026 the current chair stated that data subjects' right to have their personal data deleted from training data would be guaranteed, but that machine unlearning would not be uniformly mandated, with filtering and fine-tuning as the priority measures (Money Today 2026a).</w:t>
      </w:r>
    </w:p>
    <w:p>
      <w:pPr>
        <w:spacing w:after="0" w:line="480"/>
        <w:ind w:firstLine="720"/>
      </w:pPr>
      <w:r>
        <w:t xml:space="preserve">These instruments relocate administered ethics from the end of the processing chain to its beginning. In a sanction, the regulator specifies the repaired procedure after the fact. In prior-adequacy review, sandbox designation, and the new special provision, it specifies the procedure in advance, in a procedure initiated by the operator and conducted between the operator and the regulator, and the specification functions as authorization. Because review results are published only if the applicant wishes, the set of uses authorized in advance cannot be fully observed from outside; the six AI and biometric reviews analyzed here are those whose content has been made public, and in one of them the operator presents the review itself as a mark of trustworthiness (A4). The chair's statement on unlearning is an unusually explicit instance of infrastructural closure: a right whose full realization would require altering a trained model is to be implemented through the controls that can be applied around the model.</w:t>
      </w:r>
    </w:p>
    <w:p>
      <w:pPr>
        <w:pStyle w:val="Heading3"/>
      </w:pPr>
      <w:r>
        <w:t xml:space="preserve">Disconfirming Instances</w:t>
      </w:r>
    </w:p>
    <w:p>
      <w:pPr>
        <w:spacing w:after="0" w:line="480"/>
        <w:ind w:firstLine="720"/>
      </w:pPr>
      <w:r>
        <w:t xml:space="preserve">Four entries cut against the account and must be marked as blocks. In the Kakao Pay entry (D9), Kakao Pay transmitted the personal data of about 40 million users daily, from June 2019 to May 2024, to Alipay so that Alipay could compute and update NSF (non-sufficient funds) risk scores used in Apple's payment service, although fewer than 20 percent of Kakao Pay users had registered it as a payment method with Apple. In January 2025 the PIPC imposed penalty surcharges of KRW 5.968 billion on Kakao Pay and KRW 2.405 billion on Apple, ordered Kakao Pay to meet the legal requirements for overseas transfer, and ordered Alipay to destroy the scoring model it had built from the unlawfully provided data. In June 2026 the Seoul Administrative Court dismissed Kakao Pay's challenge. The order reaches the inferential artifact itself: a trained model is treated as the fruit of unlawful processing. The recommendation that DeepSeek immediately destroy transferred prompts (D10) and the order that Facebook destroy face data collected without consent or obtain consent for it (D1) likewise reach data rather than notice. The face-authentication recommendation (D12) shows the regulator contesting a biometric mandate of another ministry.</w:t>
      </w:r>
    </w:p>
    <w:p>
      <w:pPr>
        <w:spacing w:after="0" w:line="480"/>
        <w:ind w:firstLine="720"/>
      </w:pPr>
      <w:r>
        <w:t xml:space="preserve">These instances show that the Korean regime can and does order the destruction of data and models, and that the regulator can contest uses promoted elsewhere in the state. They do not show the retirement of a use-class. In each case destruction applies to a particular artifact produced by unlawful processing, while the activity, whether payment-risk scoring, cross-border processing of prompts, or face recognition, may continue on a repaired basis, and the contest over face authentication was conducted as a question of legal basis and choice rather than of whether the state should require it. We therefore revise the account to distinguish artifact-level remedies, which the regime provides, from use-class remedies, which it does not, and we incorporate the distinction into Proposition 4.</w:t>
      </w:r>
    </w:p>
    <w:p>
      <w:pPr>
        <w:pStyle w:val="Heading2"/>
      </w:pPr>
      <w:r>
        <w:t xml:space="preserve">Cross-Case Analysis</w:t>
      </w:r>
    </w:p>
    <w:p>
      <w:pPr>
        <w:spacing w:after="0" w:line="480"/>
        <w:ind w:firstLine="720"/>
      </w:pPr>
      <w:r>
        <w:t xml:space="preserve">The three core records concern different injuries. Lee Luda involves purpose-incompatible reuse of intimate text, non-destruction, and sensitive content. Worldcoin involves a missing lawful basis for biometric capture and an unlawful overseas transfer. The AI Framework Act involves prospective duties rather than a completed harm. Table 4 shows that, across this variation, the core instruments converge on a common form. Table 5 shows that the same form recurs in the extended corpus across domestic and foreign operators and public and private processors, and the authorization entries show it in instruments that operate before deployment.</w:t>
      </w:r>
    </w:p>
    <w:p>
      <w:pPr>
        <w:keepNext/>
        <w:spacing w:after="120" w:before="240"/>
      </w:pPr>
      <w:r>
        <w:rPr>
          <w:b/>
          <w:bCs/>
        </w:rPr>
        <w:t xml:space="preserve">Table 4. Cross-Case Comparison of the Core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90"/>
        <w:gridCol w:w="2490"/>
        <w:gridCol w:w="248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tc>
        <w:tc>
          <w:tcPr>
            <w:tcW w:type="dxa" w:w="249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Lee Luda</w:t>
            </w:r>
          </w:p>
        </w:tc>
        <w:tc>
          <w:tcPr>
            <w:tcW w:type="dxa" w:w="249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Worldcoin</w:t>
            </w:r>
          </w:p>
        </w:tc>
        <w:tc>
          <w:tcPr>
            <w:tcW w:type="dxa" w:w="248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AI Framework Act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Chargeable harm</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Purpose-incompatible reuse; non-destruction; sensitive data without consent; unlawful provision of pseudonymous data</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Collection of iris data without lawful basis; overseas transfer without notice</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Failure to classify, manage risk, notify, post, and retain documents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Remedy</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103.3 million in penalty surcharges and fines; corrective orders; tiered solatium of KRW 100,000-400,000</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KRW 1.104 billion in penalty surcharges; corrective orders and recommendations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Statutory duties; effort to assess fundamental-rights effects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Technical carrier</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and destruction processes</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Separate-consent screen; deletion function; age gate; transfer notice</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Prior notice on screen or contract; posted policy; named supervisor; five-year file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Condition of continuation</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Lawful processing going forward</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Resumption with specified controls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Operation with documented measures; deemed compliance via sectoral regimes (not recruitment)</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Absence</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collective claim on model or corpus in public record</w:t>
            </w:r>
          </w:p>
        </w:tc>
        <w:tc>
          <w:tcPr>
            <w:tcW w:type="dxa" w:w="249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public decision on holding national iris codes</w:t>
            </w:r>
          </w:p>
        </w:tc>
        <w:tc>
          <w:tcPr>
            <w:tcW w:type="dxa" w:w="248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No candidate halt right; trade-secret exemption from posting</w:t>
            </w:r>
          </w:p>
        </w:tc>
      </w:tr>
    </w:tbl>
    <w:p>
      <w:pPr>
        <w:spacing w:after="240"/>
      </w:pPr>
    </w:p>
    <w:p>
      <w:pPr>
        <w:spacing w:after="0" w:line="480"/>
        <w:ind w:firstLine="720"/>
      </w:pPr>
      <w:r>
        <w:t xml:space="preserve">Four regularities stand out. First, the state demonstrated capacity throughout. It investigated, sanctioned, adjudicated, and legislated, imposed penalty surcharges in the tens and hundreds of billions of won on global and domestic platforms, and saw its major decisions upheld in court (D3, D9). Capacity was exercised as penalty, order, damages, recommendation, and documentation duty. Second, every remedy has a technical carrier: consent flows, deletion functions, age gates, posted notices, stored files, access logs, opt-out functions, corpus filters, and lists of URLs to be excluded from training. Third, remedies reached at most particular artifacts. No published outcome retired a use-class, vested a corpus or identifier in those from whom it was taken, or authorized a collective actor to stop a scoring use, and regulated activity continued or resumed in the records where we could observe it (Worldcoin; D3; D10; D12). Fourth, the state appears not only as sanctioner but as data supplier (D2), deployer (D11), and mandator (D12) and, increasingly, as certifier of uses in advance (A1 to A7).</w:t>
      </w:r>
    </w:p>
    <w:p>
      <w:pPr>
        <w:spacing w:after="0" w:line="480"/>
        <w:ind w:firstLine="720"/>
      </w:pPr>
      <w:r>
        <w:t xml:space="preserve">The records also show how severity varies within this common grammar. A domestic startup's reuse of chat logs drew the first AI-related sanction and, years later, a civil award whose per-person value was modest relative to the intimacy of the material, while a foreign developer of a general-purpose model was sanctioned for a reporting delay (D5). Foreign operators of biometric and generative services drew either larger penalties or recommendations, in each case with an explicit route to compliant resumption (Worldcoin; D10). Pre-inspections of AI services, whether foreign or domestic, private or public, ended in recommendations (D6, D7, D10, D11). A penalty formula indexed to revenue priced the use of voice data to train a free service at a flat rate (D14). The general statute and the new special provision then generalize the route in two directions: classify the system, document the risk, and notify the user; or obtain the regulator's authorization in advance. In each record the outcome is compatible with continued operation of the sector, which is the signature of the developmental regulatory style described above.</w:t>
      </w:r>
    </w:p>
    <w:p>
      <w:pPr>
        <w:pStyle w:val="Heading1"/>
      </w:pPr>
      <w:r>
        <w:t xml:space="preserve">Assessing Rival Explanations</w:t>
      </w:r>
    </w:p>
    <w:p>
      <w:pPr>
        <w:spacing w:after="0" w:line="480"/>
        <w:ind w:firstLine="720"/>
      </w:pPr>
      <w:r>
        <w:t xml:space="preserve">A critical reading must show that its account is more than one possible interpretation. We considered four rival explanations and used the extended corpus to assess each.</w:t>
      </w:r>
    </w:p>
    <w:p>
      <w:pPr>
        <w:spacing w:after="0" w:line="480"/>
        <w:ind w:firstLine="720"/>
      </w:pPr>
      <w:r>
        <w:rPr>
          <w:i/>
          <w:iCs/>
        </w:rPr>
        <w:t xml:space="preserve">Capacity and information constraints.</w:t>
      </w:r>
      <w:r>
        <w:t xml:space="preserve"> The selection of procedural harm might reflect what a regulator can prove with limited investigative resources and limited access to model internals. The extended corpus offers partial support: information asymmetry is visible in the OpenAI entry, where requests about the provenance of training data yielded only general material (D5). But the corpus also shows the PIPC imposing penalty surcharges in the tens and hundreds of billions of won and defending them successfully in court (D3, D9), and between 2023 and 2025 the PIPC made 806 dispositions following investigations and pre-inspections (Kukinews 2025). Nor do capacity constraints account for the AI Framework Act or the 2026 special provision (A7), where the legislature was not constrained by investigative evidence and nonetheless specified documentation duties and an authorization route rather than halt rights or burden-shifting. Capacity constraints may explain part of the pattern, but not its reproduction in prospective legislation.</w:t>
      </w:r>
    </w:p>
    <w:p>
      <w:pPr>
        <w:spacing w:after="0" w:line="480"/>
        <w:ind w:firstLine="720"/>
      </w:pPr>
      <w:r>
        <w:rPr>
          <w:i/>
          <w:iCs/>
        </w:rPr>
        <w:t xml:space="preserve">Legal-doctrinal path dependence.</w:t>
      </w:r>
      <w:r>
        <w:t xml:space="preserve"> The pattern might simply reflect the consent-centered architecture of PIPA, which shapes what any Korean regulator or court can charge. This explanation is compatible with ours rather than opposed to it. Administered ethics is not a claim about intent but about the functional tendency of available categories, and path dependence specifies one source of those categories. It does not explain why a new AI statute, and a special provision written specifically for AI development (A7), reproduced the same individualized, documentary, and authorizing form.</w:t>
      </w:r>
    </w:p>
    <w:p>
      <w:pPr>
        <w:spacing w:after="0" w:line="480"/>
        <w:ind w:firstLine="720"/>
      </w:pPr>
      <w:r>
        <w:rPr>
          <w:i/>
          <w:iCs/>
        </w:rPr>
        <w:t xml:space="preserve">Regulatory learning.</w:t>
      </w:r>
      <w:r>
        <w:t xml:space="preserve"> The pattern might reflect an early stage in a learning process, with stronger collective instruments to follow. The extended corpus allows a first look at the direction of learning between 2021 and 2026. The regime added pre-inspection (D6, D7, D10, D11), prior-adequacy review (A1, A3 to A6), sandbox designations with progressively eased safeguards (A2), a statutory special provision for AI development (A7), and, in 2026, penalty surcharges of up to 10 percent of total revenue for repeated or serious violations (Kim &amp; Chang 2026). Learning has so far run toward heavier sanctions for procedural failure and broader authorization of use, not toward collective rights. We cannot rule out a different trajectory, and we treat it as a falsification condition: if later decrees, guidelines, or collective agreements give candidates halt rights, shift the burden of proving non-discrimination, or permit collective challenges to training corpora, our propositions should be revised.</w:t>
      </w:r>
    </w:p>
    <w:p>
      <w:pPr>
        <w:spacing w:after="0" w:line="480"/>
        <w:ind w:firstLine="720"/>
      </w:pPr>
      <w:r>
        <w:rPr>
          <w:i/>
          <w:iCs/>
        </w:rPr>
        <w:t xml:space="preserve">Effective protection.</w:t>
      </w:r>
      <w:r>
        <w:t xml:space="preserve"> Finally, one might argue that the outcomes simply represent successful protection: violations were found, penalties imposed, damages paid, practices corrected, and in one case a model ordered destroyed (D9). We do not dispute that the instruments blocked particular practices, and we have marked those blocks. Two features of the record nonetheless qualify the claim that protection, so defined, settles the matter. First, protection operates with long lags during which processing may continue (D3): of the ten penalty surcharges above KRW 5 billion that the PIPC imposed through 2024, six were litigated, and its first sanction against Facebook took four years and three months to be confirmed by the Supreme Court (Money Today 2026b). Second, our claim concerns what effective protection leaves outside the category of harm. The rival explanation and ours diverge on whether that exclusion is analytically significant, not on the facts.</w:t>
      </w:r>
    </w:p>
    <w:p>
      <w:pPr>
        <w:pStyle w:val="Heading1"/>
      </w:pPr>
      <w:r>
        <w:t xml:space="preserve">Theorizing Administered Ethics</w:t>
      </w:r>
    </w:p>
    <w:p>
      <w:pPr>
        <w:spacing w:after="0" w:line="480"/>
        <w:ind w:firstLine="720"/>
      </w:pPr>
      <w:r>
        <w:t xml:space="preserve">Table 6 summarizes the mechanisms, their manifestation in the core records and the extended corpus, and the propositions we derive.</w:t>
      </w:r>
    </w:p>
    <w:p>
      <w:pPr>
        <w:keepNext/>
        <w:spacing w:after="120" w:before="240"/>
      </w:pPr>
      <w:r>
        <w:rPr>
          <w:b/>
          <w:bCs/>
        </w:rPr>
        <w:t xml:space="preserve">Table 6. Mechanisms of Administered Ethics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360"/>
        <w:gridCol w:w="1200"/>
      </w:tblGrid>
      <w:tr>
        <w:trPr>
          <w:cantSplit/>
          <w:tblHeader/>
        </w:trPr>
        <w:tc>
          <w:tcPr>
            <w:tcW w:type="dxa" w:w="1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Mechanism</w:t>
            </w:r>
          </w:p>
        </w:tc>
        <w:tc>
          <w:tcPr>
            <w:tcW w:type="dxa" w:w="29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Core records</w:t>
            </w:r>
          </w:p>
        </w:tc>
        <w:tc>
          <w:tcPr>
            <w:tcW w:type="dxa" w:w="336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Extended corpus</w:t>
            </w:r>
          </w:p>
        </w:tc>
        <w:tc>
          <w:tcPr>
            <w:tcW w:type="dxa" w:w="1200"/>
            <w:tcBorders>
              <w:top w:val="single" w:color="000000" w:sz="4"/>
              <w:left w:val="single" w:color="000000" w:sz="4"/>
              <w:bottom w:val="single" w:color="000000" w:sz="4"/>
              <w:right w:val="single" w:color="000000" w:sz="4"/>
            </w:tcBorders>
            <w:shd w:fill="EDEDED" w:color="auto" w:val="clear"/>
            <w:tcMar>
              <w:top w:type="dxa" w:w="50"/>
              <w:left w:type="dxa" w:w="80"/>
              <w:bottom w:type="dxa" w:w="50"/>
              <w:right w:type="dxa" w:w="80"/>
            </w:tcMar>
          </w:tcPr>
          <w:p>
            <w:r>
              <w:rPr>
                <w:b/>
                <w:bCs/>
                <w:sz w:val="18"/>
                <w:szCs w:val="18"/>
              </w:rPr>
              <w:t xml:space="preserve">Propositions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Moralization of extraction</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Sanctions framed as lessons in correct processing; statute joins dignity with competitiveness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Inference repaired through consent and sensitive-data provisions (D3, D8, D13, D14); procedure framed as the question (D12); guidance framed as guardrails (G1)</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P1, P2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Infrastructural closure</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Consent screens, deletion functions, age gates, stored files</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Corpus filters, URL lists, access logs, retention limits (D6, D7); refusal and opt-out functions (D10, A6); filtering instead of unlearning</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Displacement onto individual and artifact-level remedy</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Tiered solatium; individual deletion; prior notice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Destruction confined to particular artifacts (D1, D9, D10); undertaking in lieu of referral (D4)</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P4</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Developmental co-location (moderator)</w:t>
            </w:r>
          </w:p>
        </w:tc>
        <w:tc>
          <w:tcPr>
            <w:tcW w:type="dxa" w:w="29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Promotion and protection joined in one statute</w:t>
            </w:r>
          </w:p>
        </w:tc>
        <w:tc>
          <w:tcPr>
            <w:tcW w:type="dxa" w:w="336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State as supplier, deployer, and mandator (D2, D11, D12); industry-activation framing (D6, D11); authorization in advance with results published at the operator's wish (A1–A7)</w:t>
            </w:r>
          </w:p>
        </w:tc>
        <w:tc>
          <w:tcPr>
            <w:tcW w:type="dxa" w:w="1200"/>
            <w:tcBorders>
              <w:top w:val="single" w:color="000000" w:sz="4"/>
              <w:left w:val="single" w:color="000000" w:sz="4"/>
              <w:bottom w:val="single" w:color="000000" w:sz="4"/>
              <w:right w:val="single" w:color="000000" w:sz="4"/>
            </w:tcBorders>
            <w:tcMar>
              <w:top w:type="dxa" w:w="50"/>
              <w:left w:type="dxa" w:w="80"/>
              <w:bottom w:type="dxa" w:w="50"/>
              <w:right w:type="dxa" w:w="80"/>
            </w:tcMar>
          </w:tcPr>
          <w:p>
            <w:r>
              <w:rPr>
                <w:sz w:val="18"/>
                <w:szCs w:val="18"/>
              </w:rPr>
              <w:t xml:space="preserve">P5, P6</w:t>
            </w:r>
          </w:p>
        </w:tc>
      </w:tr>
    </w:tbl>
    <w:p>
      <w:pPr>
        <w:spacing w:after="240"/>
      </w:pPr>
    </w:p>
    <w:p>
      <w:pPr>
        <w:spacing w:after="0" w:line="480"/>
        <w:ind w:firstLine="720"/>
      </w:pPr>
      <w:r>
        <w:rPr>
          <w:i/>
          <w:iCs/>
        </w:rPr>
        <w:t xml:space="preserve">Moralization of extraction.</w:t>
      </w:r>
      <w:r>
        <w:t xml:space="preserve"> Instruments that define permissible practice by repaired notice, consent, and transfer duties shift public contestation from the legitimacy of the data relation to the adequacy of the procedure. Each record, core and extended, shows the regulator or legislature addressing how data were processed or how a system is documented, rather than whether a class of use should exist, the regulator's own guidance describes protection as guardrails on a road whose direction is given (G1), and a PIPC official described its intervention against a ministry's biometric mandate as concerning procedure rather than permissibility (D12).</w:t>
      </w:r>
    </w:p>
    <w:p>
      <w:pPr>
        <w:spacing w:after="0" w:line="480"/>
        <w:ind w:firstLine="720"/>
      </w:pPr>
      <w:r>
        <w:rPr>
          <w:b/>
          <w:bCs/>
        </w:rPr>
        <w:t xml:space="preserve">Proposition 1.</w:t>
      </w:r>
      <w:r>
        <w:t xml:space="preserve"> </w:t>
      </w:r>
      <w:r>
        <w:rPr>
          <w:i/>
          <w:iCs/>
        </w:rPr>
        <w:t xml:space="preserve">Where a regulator defines permissible AI or biometric practice by repaired notice, consent, and transfer duties, public challenge will shift from the legitimacy of the data relation to the adequacy of the procedure.</w:t>
      </w:r>
    </w:p>
    <w:p>
      <w:pPr>
        <w:spacing w:after="0" w:line="480"/>
        <w:ind w:firstLine="720"/>
      </w:pPr>
      <w:r>
        <w:rPr>
          <w:b/>
          <w:bCs/>
        </w:rPr>
        <w:t xml:space="preserve">Proposition 2.</w:t>
      </w:r>
      <w:r>
        <w:t xml:space="preserve"> </w:t>
      </w:r>
      <w:r>
        <w:rPr>
          <w:i/>
          <w:iCs/>
        </w:rPr>
        <w:t xml:space="preserve">Principles that can be operationalized as metrics, logs, or documents will be incorporated into regulatory duties; principles that require collective refusal of a use-class, redistribution of model ownership, or limits on managerial prerogative will be acknowledged but excluded operationally.</w:t>
      </w:r>
    </w:p>
    <w:p>
      <w:pPr>
        <w:spacing w:after="0" w:line="480"/>
        <w:ind w:firstLine="720"/>
      </w:pPr>
      <w:r>
        <w:rPr>
          <w:i/>
          <w:iCs/>
        </w:rPr>
        <w:t xml:space="preserve">Infrastructural closure.</w:t>
      </w:r>
      <w:r>
        <w:t xml:space="preserve"> Once a remedy is assigned to a technical carrier, its scope becomes the scope of what that carrier can do. The Worldcoin orders were expressed as controls the foundation's stack could supply; the AI Framework Act expresses oversight as a posted contact and a stored file; the pre-inspections of AI services expressed protection as corpus filtering supported by regulator-supplied lists of URLs, access logs, and shorter retention (D6, D7); prior-adequacy review expressed conditions as opt-out notices and output filters (A6); and the right to deletion from training data is to be implemented through filtering and fine-tuning rather than unlearning (Money Today 2026a).</w:t>
      </w:r>
    </w:p>
    <w:p>
      <w:pPr>
        <w:spacing w:after="0" w:line="480"/>
        <w:ind w:firstLine="720"/>
      </w:pPr>
      <w:r>
        <w:rPr>
          <w:b/>
          <w:bCs/>
        </w:rPr>
        <w:t xml:space="preserve">Proposition 3.</w:t>
      </w:r>
      <w:r>
        <w:t xml:space="preserve"> </w:t>
      </w:r>
      <w:r>
        <w:rPr>
          <w:i/>
          <w:iCs/>
        </w:rPr>
        <w:t xml:space="preserve">The more completely a regulatory duty is inscribed in infrastructure that affected parties do not control, the more the duty will be redefined as the controls that infrastructure already affords.</w:t>
      </w:r>
    </w:p>
    <w:p>
      <w:pPr>
        <w:spacing w:after="0" w:line="480"/>
        <w:ind w:firstLine="720"/>
      </w:pPr>
      <w:r>
        <w:rPr>
          <w:i/>
          <w:iCs/>
        </w:rPr>
        <w:t xml:space="preserve">Displacement onto individual and artifact-level remedy.</w:t>
      </w:r>
      <w:r>
        <w:t xml:space="preserve"> Individual remedies, such as solatium, deletion, and notice, and artifact-level remedies, such as the destruction of a particular data set or model, demonstrate that accountability has been handled while leaving the activity intact (D1, D9, D10). The extended corpus also shows a further form of displacement, in which an undertaking to correct a practice substitutes for a criminal referral (D4).</w:t>
      </w:r>
    </w:p>
    <w:p>
      <w:pPr>
        <w:spacing w:after="0" w:line="480"/>
        <w:ind w:firstLine="720"/>
      </w:pPr>
      <w:r>
        <w:rPr>
          <w:b/>
          <w:bCs/>
        </w:rPr>
        <w:t xml:space="preserve">Proposition 4.</w:t>
      </w:r>
      <w:r>
        <w:t xml:space="preserve"> </w:t>
      </w:r>
      <w:r>
        <w:rPr>
          <w:i/>
          <w:iCs/>
        </w:rPr>
        <w:t xml:space="preserve">Regulators and courts will prefer individual remedies, and remedies directed at particular artifacts such as specific data sets or trained models, to collective remedies or prohibitions of a use-class, because both are compatible with the continued operation of the regulated activity.</w:t>
      </w:r>
    </w:p>
    <w:p>
      <w:pPr>
        <w:spacing w:after="0" w:line="480"/>
        <w:ind w:firstLine="720"/>
      </w:pPr>
      <w:r>
        <w:rPr>
          <w:i/>
          <w:iCs/>
        </w:rPr>
        <w:t xml:space="preserve">Developmental co-location.</w:t>
      </w:r>
      <w:r>
        <w:t xml:space="preserve"> The core records show promotion and protection joined in a single statute. The extended corpus adds further forms of co-location: the state as supplier of biometric training data to industry (D2), as deployer of AI in public education (D11), and as mandator of face matching (D12), and the regulator as certifier of uses in advance, in procedures initiated by operators and conducted with them (A1 to A7).</w:t>
      </w:r>
    </w:p>
    <w:p>
      <w:pPr>
        <w:spacing w:after="0" w:line="480"/>
        <w:ind w:firstLine="720"/>
      </w:pPr>
      <w:r>
        <w:rPr>
          <w:b/>
          <w:bCs/>
        </w:rPr>
        <w:t xml:space="preserve">Proposition 5.</w:t>
      </w:r>
      <w:r>
        <w:t xml:space="preserve"> </w:t>
      </w:r>
      <w:r>
        <w:rPr>
          <w:i/>
          <w:iCs/>
        </w:rPr>
        <w:t xml:space="preserve">The tendencies described in Propositions 1 to 4 will be stronger where the regulator holds, or the governing statute expresses, a mandate to promote the regulated sector alongside a mandate to protect rights.</w:t>
      </w:r>
    </w:p>
    <w:p>
      <w:pPr>
        <w:spacing w:after="0" w:line="480"/>
        <w:ind w:firstLine="720"/>
      </w:pPr>
      <w:r>
        <w:rPr>
          <w:b/>
          <w:bCs/>
        </w:rPr>
        <w:t xml:space="preserve">Proposition 6.</w:t>
      </w:r>
      <w:r>
        <w:t xml:space="preserve"> </w:t>
      </w:r>
      <w:r>
        <w:rPr>
          <w:i/>
          <w:iCs/>
        </w:rPr>
        <w:t xml:space="preserve">Where a data-protection regulator is empowered to authorize processing in advance through procedures conducted with operators, administered ethics will shift from sanction toward certification, and the legitimacy of a data relation will be settled in the authorization procedure rather than in a forum open to affected parties.</w:t>
      </w:r>
    </w:p>
    <w:p>
      <w:pPr>
        <w:spacing w:after="0" w:line="480"/>
        <w:ind w:firstLine="720"/>
      </w:pPr>
      <w:r>
        <w:t xml:space="preserve">Propositions 5 and 6 are the developmental-state contribution: they predict variation across jurisdictions, regulatory mandates, and instrument types, and can therefore be tested comparatively.</w:t>
      </w:r>
    </w:p>
    <w:p>
      <w:pPr>
        <w:spacing w:after="0" w:line="480"/>
        <w:ind w:firstLine="720"/>
      </w:pPr>
      <w:r>
        <w:rPr>
          <w:i/>
          <w:iCs/>
        </w:rPr>
        <w:t xml:space="preserve">Boundary conditions.</w:t>
      </w:r>
      <w:r>
        <w:t xml:space="preserve"> The account does not claim that the instruments are ineffective, that prohibitions never occur, or that cooperative or public alternatives would escape proceduralization. The extended corpus shows that the regime orders the destruction of data and models (D1, D9, D10); the account is confined to the claim that such orders stop at particular artifacts. Nor is the state monolithic: in May 2026 the PIPC formally recommended that the Ministry of Science and ICT review its requirement of face authentication for mobile-phone activation, after the National Human Rights Commission had recommended reconsidering it (D12). Administered ethics names a tendency of the available categories, not the absence of contestation within the state. The account applies most clearly to data relations in which the affected parties are dispersed and the operator controls the infrastructure that carries the remedy.</w:t>
      </w:r>
    </w:p>
    <w:p>
      <w:pPr>
        <w:pStyle w:val="Heading1"/>
      </w:pPr>
      <w:r>
        <w:t xml:space="preserve">Discussion</w:t>
      </w:r>
    </w:p>
    <w:p>
      <w:pPr>
        <w:pStyle w:val="Heading2"/>
      </w:pPr>
      <w:r>
        <w:t xml:space="preserve">Contributions to Information Systems Research</w:t>
      </w:r>
    </w:p>
    <w:p>
      <w:pPr>
        <w:spacing w:after="0" w:line="480"/>
        <w:ind w:firstLine="720"/>
      </w:pPr>
      <w:r>
        <w:rPr>
          <w:i/>
          <w:iCs/>
        </w:rPr>
        <w:t xml:space="preserve">Regulation of and through technology.</w:t>
      </w:r>
      <w:r>
        <w:t xml:space="preserve"> IS research has largely asked whether and how rules can be effectively coupled to artifacts (Butler et al. 2023; Leonardi 2011; Yeung 2018). In the records examined here, the coupling works. Notice failures become consent flows, biometric capture becomes a device plus a deletion function, training-data risk becomes a corpus filter, and high-impact status becomes a stored risk file. Our analysis suggests a complementary question: whose conflict the coupling can express. Effective inscription can narrow the field of voiceable harm, because the artifact that carries a remedy also fixes its scope. This reframing matters for design-oriented IS research and for regulatory technology, which risk extending the formation if their design criteria are completeness of notice and documentation rather than the expansion of affected parties' authority (Feenberg 2002).</w:t>
      </w:r>
    </w:p>
    <w:p>
      <w:pPr>
        <w:spacing w:after="0" w:line="480"/>
        <w:ind w:firstLine="720"/>
      </w:pPr>
      <w:r>
        <w:rPr>
          <w:i/>
          <w:iCs/>
        </w:rPr>
        <w:t xml:space="preserve">Responsible AI and AI governance.</w:t>
      </w:r>
      <w:r>
        <w:t xml:space="preserve"> Work on managing AI (Berente et al. 2021) and on IT governance (Gregory et al. 2018; Sambamurthy and Zmud 1999) has focused on decision rights inside organizations. Administered ethics shows how external regulation can reinforce that interior by assigning classification, documentation, and supervision to the operator, as in Articles 33 and 27 of the Korean statute. The extended corpus adds that governance is increasingly settled between operators and regulators before deployment, in procedures whose results are published only if the operator wishes (A1 to A7). A governance research agenda that takes affected parties seriously would treat these procedures as sites where the scope of legitimate use is decided, and would examine decision rights outside the organization, such as collective audit and the authority to halt.</w:t>
      </w:r>
    </w:p>
    <w:p>
      <w:pPr>
        <w:spacing w:after="0" w:line="480"/>
        <w:ind w:firstLine="720"/>
      </w:pPr>
      <w:r>
        <w:rPr>
          <w:i/>
          <w:iCs/>
        </w:rPr>
        <w:t xml:space="preserve">Critical IS research.</w:t>
      </w:r>
      <w:r>
        <w:t xml:space="preserve"> The study responds to calls for critical IS research that is empirically grounded and methodologically explicit (Cecez-Kecmanovic 2011; Myers and Klein 2011). It offers a portable analytic procedure, consisting of harm-selection coding, inscription coding, and rival-explanation analysis applied across a core and an extended corpus, together with propositions that can be falsified by observable regulatory developments.</w:t>
      </w:r>
    </w:p>
    <w:p>
      <w:pPr>
        <w:pStyle w:val="Heading2"/>
      </w:pPr>
      <w:r>
        <w:t xml:space="preserve">Contributions to Regulation and Sociolegal Scholarship</w:t>
      </w:r>
    </w:p>
    <w:p>
      <w:pPr>
        <w:spacing w:after="0" w:line="480"/>
        <w:ind w:firstLine="720"/>
      </w:pPr>
      <w:r>
        <w:t xml:space="preserve">The concept of administered ethics complements the symbolic-compliance account (Edelman 2016; Waldman 2020) by locating harm selection in enforcement, adjudication, and prior authorization rather than in organizational compliance, and by treating the technical artifact as the carrier that fixes the remedy's scope. It complements the ethics-washing critique (Bietti 2020; Wagner 2018) by showing that the move from voluntary ethics to binding law does not by itself alter the selection of harm.</w:t>
      </w:r>
    </w:p>
    <w:p>
      <w:pPr>
        <w:pStyle w:val="Heading2"/>
      </w:pPr>
      <w:r>
        <w:t xml:space="preserve">Implications for Policy and Practice</w:t>
      </w:r>
    </w:p>
    <w:p>
      <w:pPr>
        <w:spacing w:after="0" w:line="480"/>
        <w:ind w:firstLine="720"/>
      </w:pPr>
      <w:r>
        <w:t xml:space="preserve">Korean practice shows that penalties teach procedure. The next institutional test is whether high-impact duties remain operator documents. Revisions consistent with our analysis would include collective representation in challenges to recruitment systems, a shifted burden of proof once a candidate shows that a model scored a protected trait or a proxy for it, access to criteria for worker representatives, and a statutory path to prohibit a use-class rather than to document it. The model-destruction order in the Kakao Pay record (D9) shows that Korean law already treats a trained model as something that can be ordered destroyed when it is built from unlawfully provided data; a collective remedy could build on that precedent by allowing affected groups to seek the retirement or opening of models trained on their data. As the regulator's authorizing role grows (A1 to A7), the composition and openness of the procedures in which uses are authorized become a design question in their own right. For organizations, responsible-AI programs that cannot touch purpose, ownership, or hiring prerogative are better described as administered ethics. Such programs may still meaningfully constrain engineers, but they are not equivalent to democratic control over the systems concerned.</w:t>
      </w:r>
    </w:p>
    <w:p>
      <w:pPr>
        <w:pStyle w:val="Heading2"/>
      </w:pPr>
      <w:r>
        <w:t xml:space="preserve">Limitations and Future Research</w:t>
      </w:r>
    </w:p>
    <w:p>
      <w:pPr>
        <w:spacing w:after="0" w:line="480"/>
        <w:ind w:firstLine="720"/>
      </w:pPr>
      <w:r>
        <w:t>The study relies on public documents. It does not observe internal deliberation in regulators or firms, annotation labor, or the experience of data subjects and candidates, and its claims are therefore limited to the public face of administered ethics. That limitation is also a warrant: if the deficit we describe is visible in sanctions, judgments, authorizations, and statutes, it is not an artifact of speculation about private intent. The full civil judgment in the first core record was not publicly available, and several figures rest on press reports, which we have flagged. The extended corpus was assembled with a documented protocol, but the search relied on a web search engine, which is not deterministic, and the corpus was not verified against the PIPC's decision database, so we make no claim of completeness and draw no frequency estimates from it; three eligible guidance instruments were not coded; several entries are recent, and litigation is pending in some of them (D3, D9, D13). Because prior-adequacy review results are published only at the applicant's wish, the authorization entries cover only those reviews whose content is public. The AI Framework Act and the 2026 special provision have only begun to operate or have yet to take effect.</w:t>
      </w:r>
    </w:p>
    <w:p>
      <w:pPr>
        <w:spacing w:after="0" w:line="480"/>
        <w:ind w:firstLine="720"/>
      </w:pPr>
      <w:r>
        <w:t>Future research can extend the analysis in five directions. First, a census of the PIPC's decision database (Appendix B.4) that codes all eligible PIPC decisions since 2020 can estimate how often artifact-level remedies are ordered and test Proposition 4 directly. Second, documentary process studies can reconstruct the full investigative records of the core matters, coding which harms were chargeable and which demands were treated as out of jurisdiction. Third, as the AI Framework Act is applied, textual comparison of operator high-impact assessments, ministry guidelines, and candidate-facing notices can test whether self-review narrows the class and whether notice displaces explanation of criteria. Fourth, studies of prior-adequacy reviews, sandbox designations, and authorizations under the special provision can test Proposition 6 by examining who participates and what conditions are imposed. Fifth, interviews with candidates, enrollment participants, and former application users are needed before any claim about lived experience, and comparative studies across jurisdictions with different regulatory mandates can test Proposition 5. Across these designs, outcome measures that count only adoption or incident reduction will miss the phenomenon. Refusal, burden-shifting, and collective claims belong in the outcome set.</w:t>
      </w:r>
    </w:p>
    <w:p>
      <w:pPr>
        <w:pStyle w:val="Heading1"/>
      </w:pPr>
      <w:r>
        <w:t xml:space="preserve">Conclusion</w:t>
      </w:r>
    </w:p>
    <w:p>
      <w:pPr>
        <w:spacing w:after="0" w:line="480"/>
        <w:ind w:firstLine="720"/>
      </w:pPr>
      <w:r>
        <w:t xml:space="preserve">South Korean governance of intimate training data, iris tokens, and high-impact AI does not lack ethics, regulation, or policy. It administers them. Scatter Lab's reuse of sentences the PIPC counted at roughly 9.4 billion was sanctioned and later priced, for plaintiffs placed in an injury tier, at KRW 100,000 to 400,000. Worldcoin's 29,991 domestic iris enrollments drew penalty surcharges of KRW 1.104 billion and a path back to a consent-and-deletion legality. The AI Framework Act makes recruitment a potential high-impact documentation problem, while Annex 1 lets loan screening, medical devices, and transport satisfy the new duties through existing sectoral regimes. The extended corpus shows the same grammar across six years of the regulator's work on biometric, training, and inferential data: penalties, orders, and recommendations that repair consent, transfer, and legal basis, technical carriers that fix the scope of the remedy, a route back to operation, and, increasingly, authorization in advance. Orders to destroy data and a trained scoring model, and a recommendation against a ministry's biometric mandate, show what the regime can do; their confinement to particular artifacts and to questions of procedure shows what it does not. Regulation of technology selects procedural harm, and regulation through technology inscribes that selection in models, devices, filters, and files. The balance between rights and competitiveness is the form this settlement takes, not a problem that a further guideline will solve. Information systems research contributes most when it treats that form as its object of study: who defines harm, whose speech and bodies become the substrate of trustworthy systems, and which arrangements would make collective refusal an ordinary part of ethics rather than something external to it.</w:t>
      </w:r>
    </w:p>
    <w:p>
      <w:pPr>
        <w:pStyle w:val="Heading1"/>
        <w:pageBreakBefore/>
      </w:pPr>
      <w:r>
        <w:t xml:space="preserve">References</w:t>
      </w:r>
    </w:p>
    <w:p>
      <w:pPr>
        <w:spacing w:after="120" w:line="276"/>
        <w:ind w:left="720" w:hanging="720"/>
      </w:pPr>
      <w:r>
        <w:t xml:space="preserve">Alaimo, C., and Kallinikos, J. 2024. </w:t>
      </w:r>
      <w:r>
        <w:rPr>
          <w:i/>
          <w:iCs/>
        </w:rPr>
        <w:t xml:space="preserve">Data Rules: Reinventing the Market Economy</w:t>
      </w:r>
      <w:r>
        <w:t xml:space="preserve">, Cambridge, MA: MIT Press.</w:t>
      </w:r>
    </w:p>
    <w:p>
      <w:pPr>
        <w:spacing w:after="120" w:line="276"/>
        <w:ind w:left="720" w:hanging="720"/>
      </w:pPr>
      <w:r>
        <w:t xml:space="preserve">Amsden, A. H. 1989. </w:t>
      </w:r>
      <w:r>
        <w:rPr>
          <w:i/>
          <w:iCs/>
        </w:rPr>
        <w:t xml:space="preserve">Asia's Next Giant: South Korea and Late Industrialization</w:t>
      </w:r>
      <w:r>
        <w:t xml:space="preserve">, New York: Oxford University Press.</w:t>
      </w:r>
    </w:p>
    <w:p>
      <w:pPr>
        <w:spacing w:after="120" w:line="276"/>
        <w:ind w:left="720" w:hanging="720"/>
      </w:pPr>
      <w:r>
        <w:t xml:space="preserve">Bailey, D. E., Faraj, S., Hinds, P. J., Leonardi, P. M., and von Krogh, G. 2022. "We Are All Theorists of Technology Now: A Relational Perspective on Emerging Technology and Organizing," </w:t>
      </w:r>
      <w:r>
        <w:rPr>
          <w:i/>
          <w:iCs/>
        </w:rPr>
        <w:t xml:space="preserve">Organization Science</w:t>
      </w:r>
      <w:r>
        <w:t xml:space="preserve"> (33:1), pp. 1-18.</w:t>
      </w:r>
    </w:p>
    <w:p>
      <w:pPr>
        <w:spacing w:after="120" w:line="276"/>
        <w:ind w:left="720" w:hanging="720"/>
      </w:pPr>
      <w:r>
        <w:t xml:space="preserve">Berente, N., Gu, B., Recker, J., and Santhanam, R. 2021. "Managing Artificial Intelligence," </w:t>
      </w:r>
      <w:r>
        <w:rPr>
          <w:i/>
          <w:iCs/>
        </w:rPr>
        <w:t xml:space="preserve">MIS Quarterly</w:t>
      </w:r>
      <w:r>
        <w:t xml:space="preserve"> (45:3), pp. 1433-1450.</w:t>
      </w:r>
    </w:p>
    <w:p>
      <w:pPr>
        <w:spacing w:after="120" w:line="276"/>
        <w:ind w:left="720" w:hanging="720"/>
      </w:pPr>
      <w:r>
        <w:t xml:space="preserve">Bietti, E. 2020. "From Ethics Washing to Ethics Bashing: A View on Tech Ethics from Within Moral Philosophy," in </w:t>
      </w:r>
      <w:r>
        <w:rPr>
          <w:i/>
          <w:iCs/>
        </w:rPr>
        <w:t xml:space="preserve">Proceedings of the 2020 Conference on Fairness, Accountability, and Transparency</w:t>
      </w:r>
      <w:r>
        <w:t xml:space="preserve">, New York: ACM, pp. 210-219.</w:t>
      </w:r>
    </w:p>
    <w:p>
      <w:pPr>
        <w:spacing w:after="120" w:line="276"/>
        <w:ind w:left="720" w:hanging="720"/>
      </w:pPr>
      <w:r>
        <w:t xml:space="preserve">Bowen, G. A. 2009. "Document Analysis as a Qualitative Research Method," </w:t>
      </w:r>
      <w:r>
        <w:rPr>
          <w:i/>
          <w:iCs/>
        </w:rPr>
        <w:t xml:space="preserve">Qualitative Research Journal</w:t>
      </w:r>
      <w:r>
        <w:t xml:space="preserve"> (9:2), pp. 27-40.</w:t>
      </w:r>
    </w:p>
    <w:p>
      <w:pPr>
        <w:spacing w:after="120" w:line="276"/>
        <w:ind w:left="720" w:hanging="720"/>
      </w:pPr>
      <w:r>
        <w:t xml:space="preserve">Braverman, H. 1974. </w:t>
      </w:r>
      <w:r>
        <w:rPr>
          <w:i/>
          <w:iCs/>
        </w:rPr>
        <w:t xml:space="preserve">Labor and Monopoly Capital</w:t>
      </w:r>
      <w:r>
        <w:t xml:space="preserve">, New York: Monthly Review Press.</w:t>
      </w:r>
    </w:p>
    <w:p>
      <w:pPr>
        <w:spacing w:after="120" w:line="276"/>
        <w:ind w:left="720" w:hanging="720"/>
      </w:pPr>
      <w:r>
        <w:t xml:space="preserve">Brownsword, R., Scotford, E., and Yeung, K. (eds.). 2017. </w:t>
      </w:r>
      <w:r>
        <w:rPr>
          <w:i/>
          <w:iCs/>
        </w:rPr>
        <w:t xml:space="preserve">The Oxford Handbook of Law, Regulation and Technology</w:t>
      </w:r>
      <w:r>
        <w:t xml:space="preserve">, Oxford: Oxford University Press.</w:t>
      </w:r>
    </w:p>
    <w:p>
      <w:pPr>
        <w:spacing w:after="120" w:line="276"/>
        <w:ind w:left="720" w:hanging="720"/>
      </w:pPr>
      <w:r>
        <w:t xml:space="preserve">Burrell, J. 2016. "How the Machine 'Thinks': Understanding Opacity in Machine Learning Algorithms," </w:t>
      </w:r>
      <w:r>
        <w:rPr>
          <w:i/>
          <w:iCs/>
        </w:rPr>
        <w:t xml:space="preserve">Big Data &amp; Society</w:t>
      </w:r>
      <w:r>
        <w:t xml:space="preserve"> (3:1).</w:t>
      </w:r>
    </w:p>
    <w:p>
      <w:pPr>
        <w:spacing w:after="120" w:line="276"/>
        <w:ind w:left="720" w:hanging="720"/>
      </w:pPr>
      <w:r>
        <w:t xml:space="preserve">Butler, T., Gozman, D., and Lyytinen, K. 2023. "The Regulation of and through Information Technology," </w:t>
      </w:r>
      <w:r>
        <w:rPr>
          <w:i/>
          <w:iCs/>
        </w:rPr>
        <w:t xml:space="preserve">Journal of Information Technology</w:t>
      </w:r>
      <w:r>
        <w:t xml:space="preserve"> (38:2), pp. 86-107. </w:t>
      </w:r>
      <w:r>
        <w:rPr>
          <w:highlight w:val="yellow"/>
          <w:highlightCs w:val="yellow"/>
        </w:rPr>
        <w:t xml:space="preserve">[AUTHOR: verify volume, issue, and pages.]</w:t>
      </w:r>
    </w:p>
    <w:p>
      <w:pPr>
        <w:spacing w:after="120" w:line="276"/>
        <w:ind w:left="720" w:hanging="720"/>
      </w:pPr>
      <w:r>
        <w:t xml:space="preserve">Cecez-Kecmanovic, D. 2011. "Doing Critical Information Systems Research: Arguments for a Critical Research Methodology," </w:t>
      </w:r>
      <w:r>
        <w:rPr>
          <w:i/>
          <w:iCs/>
        </w:rPr>
        <w:t xml:space="preserve">European Journal of Information Systems</w:t>
      </w:r>
      <w:r>
        <w:t xml:space="preserve"> (20:4), pp. 440-455.</w:t>
      </w:r>
    </w:p>
    <w:p>
      <w:pPr>
        <w:spacing w:after="120" w:line="276"/>
        <w:ind w:left="720" w:hanging="720"/>
      </w:pPr>
      <w:r>
        <w:t xml:space="preserve">Cohen, J. E. 2019. </w:t>
      </w:r>
      <w:r>
        <w:rPr>
          <w:i/>
          <w:iCs/>
        </w:rPr>
        <w:t xml:space="preserve">Between Truth and Power: The Legal Constructions of Informational Capitalism</w:t>
      </w:r>
      <w:r>
        <w:t xml:space="preserve">, New York: Oxford University Press.</w:t>
      </w:r>
    </w:p>
    <w:p>
      <w:pPr>
        <w:spacing w:after="120" w:line="276"/>
        <w:ind w:left="720" w:hanging="720"/>
      </w:pPr>
      <w:r>
        <w:t xml:space="preserve">Couldry, N., and Mejias, U. A. 2019. </w:t>
      </w:r>
      <w:r>
        <w:rPr>
          <w:i/>
          <w:iCs/>
        </w:rPr>
        <w:t xml:space="preserve">The Costs of Connection</w:t>
      </w:r>
      <w:r>
        <w:t xml:space="preserve">, Stanford, CA: Stanford University Press.</w:t>
      </w:r>
    </w:p>
    <w:p>
      <w:pPr>
        <w:spacing w:after="120" w:line="276"/>
        <w:ind w:left="720" w:hanging="720"/>
      </w:pPr>
      <w:r>
        <w:t xml:space="preserve">Edelman, L. B. 1992. "Legal Ambiguity and Symbolic Structures: Organizational Mediation of Civil Rights Law," </w:t>
      </w:r>
      <w:r>
        <w:rPr>
          <w:i/>
          <w:iCs/>
        </w:rPr>
        <w:t xml:space="preserve">American Journal of Sociology</w:t>
      </w:r>
      <w:r>
        <w:t xml:space="preserve"> (97:6), pp. 1531-1576.</w:t>
      </w:r>
    </w:p>
    <w:p>
      <w:pPr>
        <w:spacing w:after="120" w:line="276"/>
        <w:ind w:left="720" w:hanging="720"/>
      </w:pPr>
      <w:r>
        <w:t xml:space="preserve">Edelman, L. B. 2016. </w:t>
      </w:r>
      <w:r>
        <w:rPr>
          <w:i/>
          <w:iCs/>
        </w:rPr>
        <w:t xml:space="preserve">Working Law: Courts, Corporations, and Symbolic Civil Rights</w:t>
      </w:r>
      <w:r>
        <w:t xml:space="preserve">, Chicago: University of Chicago Press.</w:t>
      </w:r>
    </w:p>
    <w:p>
      <w:pPr>
        <w:spacing w:after="120" w:line="276"/>
        <w:ind w:left="720" w:hanging="720"/>
      </w:pPr>
      <w:r>
        <w:t xml:space="preserve">Evans, P. 1995. </w:t>
      </w:r>
      <w:r>
        <w:rPr>
          <w:i/>
          <w:iCs/>
        </w:rPr>
        <w:t xml:space="preserve">Embedded Autonomy: States and Industrial Transformation</w:t>
      </w:r>
      <w:r>
        <w:t xml:space="preserve">, Princeton, NJ: Princeton University Press.</w:t>
      </w:r>
    </w:p>
    <w:p>
      <w:pPr>
        <w:spacing w:after="120" w:line="276"/>
        <w:ind w:left="720" w:hanging="720"/>
      </w:pPr>
      <w:r>
        <w:t xml:space="preserve">Faraj, S., Pachidi, S., and Sayegh, K. 2018. "Working and Organizing in the Age of the Learning Algorithm," </w:t>
      </w:r>
      <w:r>
        <w:rPr>
          <w:i/>
          <w:iCs/>
        </w:rPr>
        <w:t xml:space="preserve">Information and Organization</w:t>
      </w:r>
      <w:r>
        <w:t xml:space="preserve"> (28:1), pp. 62-70.</w:t>
      </w:r>
    </w:p>
    <w:p>
      <w:pPr>
        <w:spacing w:after="120" w:line="276"/>
        <w:ind w:left="720" w:hanging="720"/>
      </w:pPr>
      <w:r>
        <w:t xml:space="preserve">Feenberg, A. 2002. </w:t>
      </w:r>
      <w:r>
        <w:rPr>
          <w:i/>
          <w:iCs/>
        </w:rPr>
        <w:t xml:space="preserve">Transforming Technology: A Critical Theory Revisited</w:t>
      </w:r>
      <w:r>
        <w:t xml:space="preserve">, New York: Oxford University Press.</w:t>
      </w:r>
    </w:p>
    <w:p>
      <w:pPr>
        <w:spacing w:after="120" w:line="276"/>
        <w:ind w:left="720" w:hanging="720"/>
      </w:pPr>
      <w:r>
        <w:t xml:space="preserve">Flyvbjerg, B. 2006. "Five Misunderstandings About Case-Study Research," </w:t>
      </w:r>
      <w:r>
        <w:rPr>
          <w:i/>
          <w:iCs/>
        </w:rPr>
        <w:t xml:space="preserve">Qualitative Inquiry</w:t>
      </w:r>
      <w:r>
        <w:t xml:space="preserve"> (12:2), pp. 219-245.</w:t>
      </w:r>
    </w:p>
    <w:p>
      <w:pPr>
        <w:spacing w:after="120" w:line="276"/>
        <w:ind w:left="720" w:hanging="720"/>
      </w:pPr>
      <w:r>
        <w:t xml:space="preserve">Foucault, M. 2007. </w:t>
      </w:r>
      <w:r>
        <w:rPr>
          <w:i/>
          <w:iCs/>
        </w:rPr>
        <w:t xml:space="preserve">Security, Territory, Population</w:t>
      </w:r>
      <w:r>
        <w:t xml:space="preserve">, Basingstoke: Palgrave Macmillan.</w:t>
      </w:r>
    </w:p>
    <w:p>
      <w:pPr>
        <w:spacing w:after="120" w:line="276"/>
        <w:ind w:left="720" w:hanging="720"/>
      </w:pPr>
      <w:r>
        <w:t xml:space="preserve">Gregory, R. W., Kaganer, E., Henfridsson, O., and Ruch, T. J. 2018. "IT Consumerization and the Transformation of IT Governance," </w:t>
      </w:r>
      <w:r>
        <w:rPr>
          <w:i/>
          <w:iCs/>
        </w:rPr>
        <w:t xml:space="preserve">MIS Quarterly</w:t>
      </w:r>
      <w:r>
        <w:t xml:space="preserve"> (42:4), pp. 1225-1253.</w:t>
      </w:r>
    </w:p>
    <w:p>
      <w:pPr>
        <w:spacing w:after="120" w:line="276"/>
        <w:ind w:left="720" w:hanging="720"/>
      </w:pPr>
      <w:r>
        <w:t xml:space="preserve">Habermas, J. 1987. </w:t>
      </w:r>
      <w:r>
        <w:rPr>
          <w:i/>
          <w:iCs/>
        </w:rPr>
        <w:t xml:space="preserve">The Theory of Communicative Action, Volume 2</w:t>
      </w:r>
      <w:r>
        <w:t xml:space="preserve">, Boston: Beacon Press.</w:t>
      </w:r>
    </w:p>
    <w:p>
      <w:pPr>
        <w:spacing w:after="120" w:line="276"/>
        <w:ind w:left="720" w:hanging="720"/>
      </w:pPr>
      <w:r>
        <w:t xml:space="preserve">Hankyung. 2024. "AI로 채용했다가 5억 날렸다," 28 October.</w:t>
      </w:r>
    </w:p>
    <w:p>
      <w:pPr>
        <w:spacing w:after="120" w:line="276"/>
        <w:ind w:left="720" w:hanging="720"/>
      </w:pPr>
      <w:r>
        <w:t xml:space="preserve">Horkheimer, M., and Adorno, T. W. 2002. </w:t>
      </w:r>
      <w:r>
        <w:rPr>
          <w:i/>
          <w:iCs/>
        </w:rPr>
        <w:t xml:space="preserve">Dialectic of Enlightenment</w:t>
      </w:r>
      <w:r>
        <w:t xml:space="preserve">, Stanford, CA: Stanford University Press.</w:t>
      </w:r>
    </w:p>
    <w:p>
      <w:pPr>
        <w:spacing w:after="120" w:line="276"/>
        <w:ind w:left="720" w:hanging="720"/>
      </w:pPr>
      <w:r>
        <w:t xml:space="preserve">Howcroft, D., and Trauth, E. M. (eds.). 2005. </w:t>
      </w:r>
      <w:r>
        <w:rPr>
          <w:i/>
          <w:iCs/>
        </w:rPr>
        <w:t xml:space="preserve">Handbook of Critical Information Systems Research</w:t>
      </w:r>
      <w:r>
        <w:t xml:space="preserve">, Cheltenham: Edward Elgar.</w:t>
      </w:r>
    </w:p>
    <w:p>
      <w:pPr>
        <w:spacing w:after="120" w:line="276"/>
        <w:ind w:left="720" w:hanging="720"/>
      </w:pPr>
      <w:r>
        <w:t xml:space="preserve">Johnson, C. 1982. </w:t>
      </w:r>
      <w:r>
        <w:rPr>
          <w:i/>
          <w:iCs/>
        </w:rPr>
        <w:t xml:space="preserve">MITI and the Japanese Miracle</w:t>
      </w:r>
      <w:r>
        <w:t xml:space="preserve">, Stanford, CA: Stanford University Press.</w:t>
      </w:r>
    </w:p>
    <w:p>
      <w:pPr>
        <w:spacing w:after="120" w:line="276"/>
        <w:ind w:left="720" w:hanging="720"/>
      </w:pPr>
      <w:r>
        <w:t xml:space="preserve">JoongAng Ilbo. 2025. "AI챗봇이 몰래 학습한 내 개인정보 얼마? … 최대 40만원 배상," 15 July.</w:t>
      </w:r>
    </w:p>
    <w:p>
      <w:pPr>
        <w:spacing w:after="120" w:line="276"/>
        <w:ind w:left="720" w:hanging="720"/>
      </w:pPr>
      <w:r>
        <w:t xml:space="preserve">Kellogg, K. C., Valentine, M. A., and Christin, A. 2020. "Algorithms at Work: The New Contested Terrain of Control," </w:t>
      </w:r>
      <w:r>
        <w:rPr>
          <w:i/>
          <w:iCs/>
        </w:rPr>
        <w:t xml:space="preserve">Academy of Management Annals</w:t>
      </w:r>
      <w:r>
        <w:t xml:space="preserve"> (14:1), pp. 366-410.</w:t>
      </w:r>
    </w:p>
    <w:p>
      <w:pPr>
        <w:spacing w:after="120" w:line="276"/>
        <w:ind w:left="720" w:hanging="720"/>
      </w:pPr>
      <w:r>
        <w:t xml:space="preserve">Kim &amp; Chang. 2026. "2026년 '개인정보보호위원회 하반기 업무계획' 발표," legal update. </w:t>
      </w:r>
      <w:r>
        <w:rPr>
          <w:highlight w:val="yellow"/>
          <w:highlightCs w:val="yellow"/>
        </w:rPr>
        <w:t xml:space="preserve">[AUTHOR: add date and URL.]</w:t>
      </w:r>
    </w:p>
    <w:p>
      <w:pPr>
        <w:spacing w:after="120" w:line="276"/>
        <w:ind w:left="720" w:hanging="720"/>
      </w:pPr>
      <w:r>
        <w:t xml:space="preserve">Klein, H. K., and Myers, M. D. 1999. "A Set of Principles for Conducting and Evaluating Interpretive Field Studies in Information Systems," </w:t>
      </w:r>
      <w:r>
        <w:rPr>
          <w:i/>
          <w:iCs/>
        </w:rPr>
        <w:t xml:space="preserve">MIS Quarterly</w:t>
      </w:r>
      <w:r>
        <w:t xml:space="preserve"> (23:1), pp. 67-93.</w:t>
      </w:r>
    </w:p>
    <w:p>
      <w:pPr>
        <w:spacing w:after="120" w:line="276"/>
        <w:ind w:left="720" w:hanging="720"/>
      </w:pPr>
      <w:r>
        <w:t xml:space="preserve">Kukinews. 2025. "유명무실한 개인정보위 사전 실태점검…'예방 없이 과징금만 부과하면 끝'," 14 October.</w:t>
      </w:r>
    </w:p>
    <w:p>
      <w:pPr>
        <w:spacing w:after="120" w:line="276"/>
        <w:ind w:left="720" w:hanging="720"/>
      </w:pPr>
      <w:r>
        <w:t xml:space="preserve">Korea.kr. 2021. Policy briefing, "AI 챗봇 '이루다' 관련 조사 결과 발표," 28 April.</w:t>
      </w:r>
    </w:p>
    <w:p>
      <w:pPr>
        <w:spacing w:after="120" w:line="276"/>
        <w:ind w:left="720" w:hanging="720"/>
      </w:pPr>
      <w:r>
        <w:t xml:space="preserve">Law Times. n.d. Opinion column on Article 37-2 of the Personal Information Protection Act (automated decisions). </w:t>
      </w:r>
      <w:r>
        <w:rPr>
          <w:highlight w:val="yellow"/>
          <w:highlightCs w:val="yellow"/>
        </w:rPr>
        <w:t xml:space="preserve">[AUTHOR: add author, title, and date.]</w:t>
      </w:r>
    </w:p>
    <w:p>
      <w:pPr>
        <w:spacing w:after="120" w:line="276"/>
        <w:ind w:left="720" w:hanging="720"/>
      </w:pPr>
      <w:r>
        <w:t xml:space="preserve">Leidner, D. E., and Tona, O. 2021. "The CARE Theory of Dignity Amid Personal Data Digitalization," </w:t>
      </w:r>
      <w:r>
        <w:rPr>
          <w:i/>
          <w:iCs/>
        </w:rPr>
        <w:t xml:space="preserve">MIS Quarterly</w:t>
      </w:r>
      <w:r>
        <w:t xml:space="preserve"> (45:1), pp. 343-370.</w:t>
      </w:r>
    </w:p>
    <w:p>
      <w:pPr>
        <w:spacing w:after="120" w:line="276"/>
        <w:ind w:left="720" w:hanging="720"/>
      </w:pPr>
      <w:r>
        <w:t xml:space="preserve">Leonardi, P. M. 2011. "When Flexible Routines Meet Flexible Technologies: Affordance, Constraint, and the Imbrication of Human and Material Agencies," </w:t>
      </w:r>
      <w:r>
        <w:rPr>
          <w:i/>
          <w:iCs/>
        </w:rPr>
        <w:t xml:space="preserve">MIS Quarterly</w:t>
      </w:r>
      <w:r>
        <w:t xml:space="preserve"> (35:1), pp. 147-167.</w:t>
      </w:r>
    </w:p>
    <w:p>
      <w:pPr>
        <w:spacing w:after="120" w:line="276"/>
        <w:ind w:left="720" w:hanging="720"/>
      </w:pPr>
      <w:r>
        <w:t xml:space="preserve">Lessig, L. 1999. </w:t>
      </w:r>
      <w:r>
        <w:rPr>
          <w:i/>
          <w:iCs/>
        </w:rPr>
        <w:t xml:space="preserve">Code and Other Laws of Cyberspace</w:t>
      </w:r>
      <w:r>
        <w:t xml:space="preserve">, New York: Basic Books.</w:t>
      </w:r>
    </w:p>
    <w:p>
      <w:pPr>
        <w:spacing w:after="120" w:line="276"/>
        <w:ind w:left="720" w:hanging="720"/>
      </w:pPr>
      <w:r>
        <w:t xml:space="preserve">Lukács, G. 1971. </w:t>
      </w:r>
      <w:r>
        <w:rPr>
          <w:i/>
          <w:iCs/>
        </w:rPr>
        <w:t xml:space="preserve">History and Class Consciousness</w:t>
      </w:r>
      <w:r>
        <w:t xml:space="preserve">, Cambridge, MA: MIT Press.</w:t>
      </w:r>
    </w:p>
    <w:p>
      <w:pPr>
        <w:spacing w:after="120" w:line="276"/>
        <w:ind w:left="720" w:hanging="720"/>
      </w:pPr>
      <w:r>
        <w:t xml:space="preserve">Marcuse, H. 1964. </w:t>
      </w:r>
      <w:r>
        <w:rPr>
          <w:i/>
          <w:iCs/>
        </w:rPr>
        <w:t xml:space="preserve">One-Dimensional Man</w:t>
      </w:r>
      <w:r>
        <w:t xml:space="preserve">, Boston: Beacon Press.</w:t>
      </w:r>
    </w:p>
    <w:p>
      <w:pPr>
        <w:spacing w:after="120" w:line="276"/>
        <w:ind w:left="720" w:hanging="720"/>
      </w:pPr>
      <w:r>
        <w:t xml:space="preserve">Metcalf, J., Moss, E., and boyd, d. 2019. "Owning Ethics: Corporate Logics, Silicon Valley, and the Institutionalization of Ethics," </w:t>
      </w:r>
      <w:r>
        <w:rPr>
          <w:i/>
          <w:iCs/>
        </w:rPr>
        <w:t xml:space="preserve">Social Research</w:t>
      </w:r>
      <w:r>
        <w:t xml:space="preserve"> (86:2), pp. 449-476.</w:t>
      </w:r>
    </w:p>
    <w:p>
      <w:pPr>
        <w:spacing w:after="120" w:line="276"/>
        <w:ind w:left="720" w:hanging="720"/>
      </w:pPr>
      <w:r>
        <w:t xml:space="preserve">Mingers, J., and Walsham, G. 2010. "Toward Ethical Information Systems: The Contribution of Discourse Ethics," </w:t>
      </w:r>
      <w:r>
        <w:rPr>
          <w:i/>
          <w:iCs/>
        </w:rPr>
        <w:t xml:space="preserve">MIS Quarterly</w:t>
      </w:r>
      <w:r>
        <w:t xml:space="preserve"> (34:4), pp. 833-854.</w:t>
      </w:r>
    </w:p>
    <w:p>
      <w:pPr>
        <w:spacing w:after="120" w:line="276"/>
        <w:ind w:left="720" w:hanging="720"/>
      </w:pPr>
      <w:r>
        <w:t xml:space="preserve">Mittelstadt, B. 2019. "Principles Alone Cannot Guarantee Ethical AI," </w:t>
      </w:r>
      <w:r>
        <w:rPr>
          <w:i/>
          <w:iCs/>
        </w:rPr>
        <w:t xml:space="preserve">Nature Machine Intelligence</w:t>
      </w:r>
      <w:r>
        <w:t xml:space="preserve"> (1:11), pp. 501-507.</w:t>
      </w:r>
    </w:p>
    <w:p>
      <w:pPr>
        <w:spacing w:after="120" w:line="276"/>
        <w:ind w:left="720" w:hanging="720"/>
      </w:pPr>
      <w:r>
        <w:t xml:space="preserve">Money Today. 2026a. "송경희 'AI 개인정보, 무조건 막는 게 답 아냐…위험 따라 규율'," 19 August.</w:t>
      </w:r>
    </w:p>
    <w:p>
      <w:pPr>
        <w:spacing w:after="120" w:line="276"/>
        <w:ind w:left="720" w:hanging="720"/>
      </w:pPr>
      <w:r>
        <w:t xml:space="preserve">Money Today. 2026b. "개인정보 과징금 6년 새 110배…국고 입금은 5년 뒤," 6 September.</w:t>
      </w:r>
    </w:p>
    <w:p>
      <w:pPr>
        <w:spacing w:after="120" w:line="276"/>
        <w:ind w:left="720" w:hanging="720"/>
      </w:pPr>
      <w:r>
        <w:t xml:space="preserve">Myers, M. D., and Klein, H. K. 2011. "A Set of Principles for Conducting Critical Research in Information Systems," </w:t>
      </w:r>
      <w:r>
        <w:rPr>
          <w:i/>
          <w:iCs/>
        </w:rPr>
        <w:t xml:space="preserve">MIS Quarterly</w:t>
      </w:r>
      <w:r>
        <w:t xml:space="preserve"> (35:1), pp. 17-36.</w:t>
      </w:r>
    </w:p>
    <w:p>
      <w:pPr>
        <w:spacing w:after="120" w:line="276"/>
        <w:ind w:left="720" w:hanging="720"/>
      </w:pPr>
      <w:r>
        <w:t xml:space="preserve">Orlikowski, W. J. 1992. "The Duality of Technology: Rethinking the Concept of Technology in Organizations," </w:t>
      </w:r>
      <w:r>
        <w:rPr>
          <w:i/>
          <w:iCs/>
        </w:rPr>
        <w:t xml:space="preserve">Organization Science</w:t>
      </w:r>
      <w:r>
        <w:t xml:space="preserve"> (3:3), pp. 398-427.</w:t>
      </w:r>
    </w:p>
    <w:p>
      <w:pPr>
        <w:spacing w:after="120" w:line="276"/>
        <w:ind w:left="720" w:hanging="720"/>
      </w:pPr>
      <w:r>
        <w:t xml:space="preserve">Outsourcing Times. 2025. "누가 나를 떨어뜨렸는가, 면접관인가 AI인가," 16 June.</w:t>
      </w:r>
    </w:p>
    <w:p>
      <w:pPr>
        <w:spacing w:after="120" w:line="276"/>
        <w:ind w:left="720" w:hanging="720"/>
      </w:pPr>
      <w:r>
        <w:t xml:space="preserve">Personal Information Protection Commission (PIPC). 2021. Decision and briefing on Scatter Lab, 28 April.</w:t>
      </w:r>
    </w:p>
    <w:p>
      <w:pPr>
        <w:spacing w:after="120" w:line="276"/>
        <w:ind w:left="720" w:hanging="720"/>
      </w:pPr>
      <w:r>
        <w:t xml:space="preserve">Personal Information Protection Commission (PIPC). 2024. "'월드코인' 관계사에 개인정보 보호법 위반으로 총 11억 400만 원 과징금 부과," press release, 26 September.</w:t>
      </w:r>
    </w:p>
    <w:p>
      <w:pPr>
        <w:spacing w:after="120" w:line="276"/>
        <w:ind w:left="720" w:hanging="720"/>
      </w:pPr>
      <w:r>
        <w:t xml:space="preserve">Republic of Korea. 2025. Framework Act on Artificial Intelligence Development and the Establishment of a Trust Foundation, Act No. 20676 (effective 22 January 2026); partial amendment Act No. 21311 (effective 21 July 2026); Enforcement Decree No. 36053.</w:t>
      </w:r>
    </w:p>
    <w:p>
      <w:pPr>
        <w:spacing w:after="120" w:line="276"/>
        <w:ind w:left="720" w:hanging="720"/>
      </w:pPr>
      <w:r>
        <w:t xml:space="preserve">Sambamurthy, V., and Zmud, R. W. 1999. "Arrangements for Information Technology Governance: A Theory of Multiple Contingencies," </w:t>
      </w:r>
      <w:r>
        <w:rPr>
          <w:i/>
          <w:iCs/>
        </w:rPr>
        <w:t xml:space="preserve">MIS Quarterly</w:t>
      </w:r>
      <w:r>
        <w:t xml:space="preserve"> (23:2), pp. 261-290.</w:t>
      </w:r>
    </w:p>
    <w:p>
      <w:pPr>
        <w:spacing w:after="120" w:line="276"/>
        <w:ind w:left="720" w:hanging="720"/>
      </w:pPr>
      <w:r>
        <w:t xml:space="preserve">Seoul Eastern District Court. 2025. Judgment in case 2021GaHap104007, pronounced 12 June 2025.</w:t>
      </w:r>
    </w:p>
    <w:p>
      <w:pPr>
        <w:spacing w:after="120" w:line="276"/>
        <w:ind w:left="720" w:hanging="720"/>
      </w:pPr>
      <w:r>
        <w:t xml:space="preserve">Stahl, B. C. 2008. "The Ethical Nature of Critical Research in Information Systems," </w:t>
      </w:r>
      <w:r>
        <w:rPr>
          <w:i/>
          <w:iCs/>
        </w:rPr>
        <w:t xml:space="preserve">Information Systems Journal</w:t>
      </w:r>
      <w:r>
        <w:t xml:space="preserve"> (18:2), pp. 137-163.</w:t>
      </w:r>
    </w:p>
    <w:p>
      <w:pPr>
        <w:spacing w:after="120" w:line="276"/>
        <w:ind w:left="720" w:hanging="720"/>
      </w:pPr>
      <w:r>
        <w:t xml:space="preserve">Wagner, B. 2018. "Ethics as an Escape from Regulation: From Ethics-Washing to Ethics-Shopping?" in </w:t>
      </w:r>
      <w:r>
        <w:rPr>
          <w:i/>
          <w:iCs/>
        </w:rPr>
        <w:t xml:space="preserve">Being Profiled: Cogitas Ergo Sum</w:t>
      </w:r>
      <w:r>
        <w:t xml:space="preserve">, E. Bayamlioglu, I. Baraliuc, L. Janssens, and M. Hildebrandt (eds.), Amsterdam: Amsterdam University Press, pp. 84-89.</w:t>
      </w:r>
    </w:p>
    <w:p>
      <w:pPr>
        <w:spacing w:after="120" w:line="276"/>
        <w:ind w:left="720" w:hanging="720"/>
      </w:pPr>
      <w:r>
        <w:t xml:space="preserve">Waldman, A. E. 2020. "Privacy Law's False Promise," </w:t>
      </w:r>
      <w:r>
        <w:rPr>
          <w:i/>
          <w:iCs/>
        </w:rPr>
        <w:t xml:space="preserve">Washington University Law Review</w:t>
      </w:r>
      <w:r>
        <w:t xml:space="preserve"> (97:3), pp. 773-834.</w:t>
      </w:r>
    </w:p>
    <w:p>
      <w:pPr>
        <w:spacing w:after="120" w:line="276"/>
        <w:ind w:left="720" w:hanging="720"/>
      </w:pPr>
      <w:r>
        <w:t xml:space="preserve">Yeung, K. 2018. "Algorithmic Regulation: A Critical Interrogation," </w:t>
      </w:r>
      <w:r>
        <w:rPr>
          <w:i/>
          <w:iCs/>
        </w:rPr>
        <w:t xml:space="preserve">Regulation &amp; Governance</w:t>
      </w:r>
      <w:r>
        <w:t xml:space="preserve"> (12:4), pp. 505-523.</w:t>
      </w:r>
    </w:p>
    <w:p>
      <w:pPr>
        <w:spacing w:after="120" w:line="276"/>
        <w:ind w:left="720" w:hanging="720"/>
      </w:pPr>
      <w:r>
        <w:t xml:space="preserve">Yonhap News. 2024. "국내서 3만명 홍채정보 수집한 월드코인에 과징금 11억원 부과," 26 September.</w:t>
      </w:r>
    </w:p>
    <w:p>
      <w:pPr>
        <w:spacing w:after="120" w:line="276"/>
        <w:ind w:left="720" w:hanging="720"/>
      </w:pPr>
      <w:r>
        <w:t xml:space="preserve">Yonhap News. 2025. "민감 대화까지 무단학습한 AI 이루다 … 법원, 4년만에 배상판결," 15 July.</w:t>
      </w:r>
    </w:p>
    <w:p>
      <w:pPr>
        <w:spacing w:after="120" w:line="276"/>
        <w:ind w:left="720" w:hanging="720"/>
      </w:pPr>
      <w:r>
        <w:t xml:space="preserve">Yoo, Y., Henfridsson, O., and Lyytinen, K. 2010. "The New Organizing Logic of Digital Innovation: An Agenda for Information Systems Research," </w:t>
      </w:r>
      <w:r>
        <w:rPr>
          <w:i/>
          <w:iCs/>
        </w:rPr>
        <w:t xml:space="preserve">Information Systems Research</w:t>
      </w:r>
      <w:r>
        <w:t xml:space="preserve"> (21:4), pp. 724-735.</w:t>
      </w:r>
    </w:p>
    <w:p>
      <w:pPr>
        <w:spacing w:after="120" w:line="276"/>
        <w:ind w:left="720" w:hanging="720"/>
      </w:pPr>
      <w:r>
        <w:t xml:space="preserve">Zuboff, S. 2019. </w:t>
      </w:r>
      <w:r>
        <w:rPr>
          <w:i/>
          <w:iCs/>
        </w:rPr>
        <w:t xml:space="preserve">The Age of Surveillance Capitalism</w:t>
      </w:r>
      <w:r>
        <w:t xml:space="preserve">, New York: PublicAffairs.</w:t>
      </w:r>
    </w:p>
    <w:p>
      <w:pPr>
        <w:pStyle w:val="Heading1"/>
        <w:pageBreakBefore/>
      </w:pPr>
      <w:r>
        <w:t xml:space="preserve">Appendix A. Sources for Extended-Corpus Entries</w:t>
      </w:r>
    </w:p>
    <w:p>
      <w:pPr>
        <w:spacing w:after="120" w:line="276"/>
        <w:ind w:left="720" w:hanging="720"/>
      </w:pPr>
      <w:r>
        <w:rPr>
          <w:highlight w:val="yellow"/>
          <w:highlightCs w:val="yellow"/>
        </w:rPr>
        <w:t xml:space="preserve">[AUTHOR: The entries below were identified from regulator announcements and press and legal reporting. Before submission, add the PIPC decision number and date of each decision text (의결서) for D1 to D14, cite the decision text as the primary source, and retain press items only for facts not in the decision text.]</w:t>
      </w:r>
    </w:p>
    <w:p>
      <w:pPr>
        <w:spacing w:after="120" w:line="276"/>
        <w:ind w:left="720" w:hanging="720"/>
      </w:pPr>
      <w:r>
        <w:rPr>
          <w:b/>
          <w:bCs/>
        </w:rPr>
        <w:t xml:space="preserve">D1.</w:t>
      </w:r>
      <w:r>
        <w:t xml:space="preserve"> Financial News, "'개인정보 동의없이 수집' 페이스북·넷플릭스 66억 과징금," 25 August 2021; News Tomato, "페이스북·넷플릭스, 개인정보보호 위반…66억 과징금 철퇴," 25 August 2021.</w:t>
      </w:r>
    </w:p>
    <w:p>
      <w:pPr>
        <w:spacing w:after="120" w:line="276"/>
        <w:ind w:left="720" w:hanging="720"/>
      </w:pPr>
      <w:r>
        <w:rPr>
          <w:b/>
          <w:bCs/>
        </w:rPr>
        <w:t xml:space="preserve">D2.</w:t>
      </w:r>
      <w:r>
        <w:t xml:space="preserve"> Boannews, "법무부, 개인정보보호법 위반으로 '과태료 처분' 받았다," 27 April 2022; iNews24, "개인정보위 '위탁사실 비공개'…'법무부 얼굴 정보 무단사용' 논란 매듭," April 2022; Hankyung, "'공항 출입국 생체정보 수집' 헌법소원 각하," 26 February 2026 (Constitutional Court, 2021HunMa1575, 26 February 2026).</w:t>
      </w:r>
    </w:p>
    <w:p>
      <w:pPr>
        <w:spacing w:after="120" w:line="276"/>
        <w:ind w:left="720" w:hanging="720"/>
      </w:pPr>
      <w:r>
        <w:rPr>
          <w:b/>
          <w:bCs/>
        </w:rPr>
        <w:t xml:space="preserve">D3.</w:t>
      </w:r>
      <w:r>
        <w:t xml:space="preserve"> Aju Business Daily, "구글·메타에 1000억원 과징금…," 14 September 2022; Kukinews, "구글·메타, 1000억 과징금 불복 소송서 패소…," 23 January 2025; Hankyung Magazine, "구글 692억·메타 308억 과징금," January 2025 (Seoul Administrative Court, 2023GuHap55191 and 2023GuHap54259); Kukinews, "메타, 개인정보위 67억 과징금 부과 취소소송 최종 패소," 13 March 2025 (appeals); Bizhankook, "구글·메타, 천억 과징금 부과돼도 꿈쩍 안 하는 이유," 2023. </w:t>
      </w:r>
      <w:r>
        <w:rPr>
          <w:highlight w:val="yellow"/>
          <w:highlightCs w:val="yellow"/>
        </w:rPr>
        <w:t xml:space="preserve">[AUTHOR: verify Bizhankook date.]</w:t>
      </w:r>
    </w:p>
    <w:p>
      <w:pPr>
        <w:spacing w:after="120" w:line="276"/>
        <w:ind w:left="720" w:hanging="720"/>
      </w:pPr>
      <w:r>
        <w:rPr>
          <w:b/>
          <w:bCs/>
        </w:rPr>
        <w:t xml:space="preserve">D4.</w:t>
      </w:r>
      <w:r>
        <w:t xml:space="preserve"> Digital Daily, "개인정보위, 메타에 후속 제재… 총합 382억원 과징금," 27 July 2023; Nocut News, "동의없이 이용자 정보로 광고…메타에 74억원 추가 과징금," July 2023.</w:t>
      </w:r>
    </w:p>
    <w:p>
      <w:pPr>
        <w:spacing w:after="120" w:line="276"/>
        <w:ind w:left="720" w:hanging="720"/>
      </w:pPr>
      <w:r>
        <w:rPr>
          <w:b/>
          <w:bCs/>
        </w:rPr>
        <w:t xml:space="preserve">D5.</w:t>
      </w:r>
      <w:r>
        <w:t xml:space="preserve"> Newsis, "韓 정부, 챗GPT 첫 제재…'정보유출사고 신고 안했다' 과태료 부과," 27 July 2023; iNews24, "개인정보위, '韓이용자 개인정보 유출' 오픈AI에 과태료 부과," July 2023; Unicorn Factory, "마음 꿰뚫는 메타·인스타 광고, 용하다 했는데…과징금 74억 철퇴," 28 July 2023.</w:t>
      </w:r>
    </w:p>
    <w:p>
      <w:pPr>
        <w:spacing w:after="120" w:line="276"/>
        <w:ind w:left="720" w:hanging="720"/>
      </w:pPr>
      <w:r>
        <w:rPr>
          <w:b/>
          <w:bCs/>
        </w:rPr>
        <w:t xml:space="preserve">D6.</w:t>
      </w:r>
      <w:r>
        <w:t xml:space="preserve"> iNews24, "개인정보위, 오픈AI·구글·메타·네이버 등 6개 AI 사업자 개선 권고," March 2024; Boannews, "개인정보위, AI 서비스 사전 실태점검 결과... LLM 사업자 대상 개인정보 보호 취약점 개선 권고," March 2024.</w:t>
      </w:r>
    </w:p>
    <w:p>
      <w:pPr>
        <w:spacing w:after="120" w:line="276"/>
        <w:ind w:left="720" w:hanging="720"/>
      </w:pPr>
      <w:r>
        <w:rPr>
          <w:b/>
          <w:bCs/>
        </w:rPr>
        <w:t xml:space="preserve">D7.</w:t>
      </w:r>
      <w:r>
        <w:t xml:space="preserve"> PIPC press release on the pre-inspection of AI application services, 13 June 2024 (pipc.go.kr press-release board, nttId 10249); Bizwatch, "SKT 에이닷·네이버 스노우, 개인정보보호 '미흡'," 13 June 2024.</w:t>
      </w:r>
    </w:p>
    <w:p>
      <w:pPr>
        <w:spacing w:after="120" w:line="276"/>
        <w:ind w:left="720" w:hanging="720"/>
      </w:pPr>
      <w:r>
        <w:rPr>
          <w:b/>
          <w:bCs/>
        </w:rPr>
        <w:t xml:space="preserve">D8.</w:t>
      </w:r>
      <w:r>
        <w:t xml:space="preserve"> Byline Network, "개인정보위, 종교·성적 지향 정보 수집한 메타에 216억 과징금 철퇴," 5 November 2024; iNews24, "'메타, 98만명 민감정보 무단수집…동성애·종교·정치성향까지'," November 2024.</w:t>
      </w:r>
    </w:p>
    <w:p>
      <w:pPr>
        <w:spacing w:after="120" w:line="276"/>
        <w:ind w:left="720" w:hanging="720"/>
      </w:pPr>
      <w:r>
        <w:rPr>
          <w:b/>
          <w:bCs/>
        </w:rPr>
        <w:t xml:space="preserve">D9.</w:t>
      </w:r>
      <w:r>
        <w:t xml:space="preserve"> News Tomato, "개인정보위, 카카오페이·애플 각각 과징금 59억원·24억원 부과," 23 January 2025; Hankyung, "알리페이에 몰래 개인정보 넘긴 카카오페이·애플…과징금 83억원," 23 January 2025; Kukinews, "'카카오페이, 4000만명 개인정보 중국 유출'…과징금 59억6800만원," 23 January 2025; SBS Biz, "카카오페이, 60억 과징금 불복 소송 패소…첩첩산중," 11 June 2026.</w:t>
      </w:r>
    </w:p>
    <w:p>
      <w:pPr>
        <w:spacing w:after="120" w:line="276"/>
        <w:ind w:left="720" w:hanging="720"/>
      </w:pPr>
      <w:r>
        <w:rPr>
          <w:b/>
          <w:bCs/>
        </w:rPr>
        <w:t xml:space="preserve">D10.</w:t>
      </w:r>
      <w:r>
        <w:t xml:space="preserve"> Report distributed via Daum, "딥시크 국내 앱 다운로드 중단…일부 정보 틱톡 쪽에 넘어가," 17 February 2025; iNews24, "개인정보위, 中 AI '딥시크'에 데이터 파기 명령…," April 2025; Aju Business Daily, "[종합] 딥시크, 국내서 서비스 재개…韓 정부 시정권고 수용," 28 April 2025. </w:t>
      </w:r>
      <w:r>
        <w:rPr>
          <w:highlight w:val="yellow"/>
          <w:highlightCs w:val="yellow"/>
        </w:rPr>
        <w:t xml:space="preserve">[AUTHOR: identify the originating outlet of the 17 February 2025 report.]</w:t>
      </w:r>
    </w:p>
    <w:p>
      <w:pPr>
        <w:spacing w:after="120" w:line="276"/>
        <w:ind w:left="720" w:hanging="720"/>
      </w:pPr>
      <w:r>
        <w:rPr>
          <w:b/>
          <w:bCs/>
        </w:rPr>
        <w:t xml:space="preserve">D11.</w:t>
      </w:r>
      <w:r>
        <w:t xml:space="preserve"> Kukinews, "개인정보위 'AI 디지털교과서 개인정보 처리 미흡'…시정‧개선 권고," 15 May 2025.</w:t>
      </w:r>
    </w:p>
    <w:p>
      <w:pPr>
        <w:spacing w:after="120" w:line="276"/>
        <w:ind w:left="720" w:hanging="720"/>
      </w:pPr>
      <w:r>
        <w:rPr>
          <w:b/>
          <w:bCs/>
        </w:rPr>
        <w:t xml:space="preserve">D12.</w:t>
      </w:r>
      <w:r>
        <w:t xml:space="preserve"> Byline Network, "개인정보위, 휴대전화 안면인증 제도 개선 권고," 28 May 2026; Financial News, "'휴대폰 개통시 안면인증' 제도 보완하라," 28 May 2026; MTN, "과기정통부는 7월 시행, 개보위는 개선 권고...휴대폰 안면인증 충돌," 25 June 2026; Twig24, report on the National Human Rights Commission recommendation, 13 March 2026; Herald Economy, report on the pilot, 23 December 2025.</w:t>
      </w:r>
    </w:p>
    <w:p>
      <w:pPr>
        <w:spacing w:after="120" w:line="276"/>
        <w:ind w:left="720" w:hanging="720"/>
      </w:pPr>
      <w:r>
        <w:rPr>
          <w:b/>
          <w:bCs/>
        </w:rPr>
        <w:t xml:space="preserve">D13.</w:t>
      </w:r>
      <w:r>
        <w:t xml:space="preserve"> Hankyung Magazine, report on the Coupang decision, 11 June 2026; Kukinews, "'개인정보 유출' 쿠팡, 과징금 6246억원…역대 최고 수준," 11 June 2026; Digital Daily, "[개인정보위 쿠팡 제재②] 타사 온라인 활동기록 무단 수집…," 11 June 2026.</w:t>
      </w:r>
    </w:p>
    <w:p>
      <w:pPr>
        <w:spacing w:after="120" w:line="276"/>
        <w:ind w:left="720" w:hanging="720"/>
      </w:pPr>
      <w:r>
        <w:rPr>
          <w:b/>
          <w:bCs/>
        </w:rPr>
        <w:t xml:space="preserve">D14.</w:t>
      </w:r>
      <w:r>
        <w:t xml:space="preserve"> Dailian, "개보위, 행태정보 무단 수집한 틱톡에 103억 과징금…애플도 2.5억원 제재," 23 July 2026; News Tomato, "개보위, 개인정보 무단 수집 틱톡·애플에 과징금 105억 부과," 23 July 2026.</w:t>
      </w:r>
    </w:p>
    <w:p>
      <w:pPr>
        <w:spacing w:after="120" w:line="276"/>
        <w:ind w:left="720" w:hanging="720"/>
      </w:pPr>
      <w:r>
        <w:rPr>
          <w:b/>
          <w:bCs/>
        </w:rPr>
        <w:t xml:space="preserve">A1.</w:t>
      </w:r>
      <w:r>
        <w:t xml:space="preserve"> News Seoul, "개인정보보호위원회, 지능형 영상정보처리기기와 동형암호 활용으로 더 똑똑하게 개인정보 보호한다!," 25 January 2024.</w:t>
      </w:r>
    </w:p>
    <w:p>
      <w:pPr>
        <w:spacing w:after="120" w:line="276"/>
        <w:ind w:left="720" w:hanging="720"/>
      </w:pPr>
      <w:r>
        <w:rPr>
          <w:b/>
          <w:bCs/>
        </w:rPr>
        <w:t xml:space="preserve">A2.</w:t>
      </w:r>
      <w:r>
        <w:t xml:space="preserve"> News Seoul, "과학기술정보통신부, 자율주행 인공지능(AI) 발전을 위한 산업계 요청에 부처 간 협업으로 답하다," 31 July 2024; News Seoul, "개인정보보호위원회, 프라이버시 우려 없는 자율주행 위해 정부와 산업계가 두 손을 맞잡다," 23 January 2026; Asia Economy, report on the ICT regulatory sandbox committee (delivery robots), 6 May 2026.</w:t>
      </w:r>
    </w:p>
    <w:p>
      <w:pPr>
        <w:spacing w:after="120" w:line="276"/>
        <w:ind w:left="720" w:hanging="720"/>
      </w:pPr>
      <w:r>
        <w:rPr>
          <w:b/>
          <w:bCs/>
        </w:rPr>
        <w:t xml:space="preserve">A3.</w:t>
      </w:r>
      <w:r>
        <w:t xml:space="preserve"> Boannews, "AI 보이스피싱 방지 기술...개인정보 오남용 문제는 어떻게?," 10 July 2025; Financial Services Commission et al., "보이스피싱, 민관이 힘을 모아 AI·데이터로 막는다," press release. </w:t>
      </w:r>
      <w:r>
        <w:rPr>
          <w:highlight w:val="yellow"/>
          <w:highlightCs w:val="yellow"/>
        </w:rPr>
        <w:t xml:space="preserve">[AUTHOR: add date of the joint press release.]</w:t>
      </w:r>
    </w:p>
    <w:p>
      <w:pPr>
        <w:spacing w:after="120" w:line="276"/>
        <w:ind w:left="720" w:hanging="720"/>
      </w:pPr>
      <w:r>
        <w:rPr>
          <w:b/>
          <w:bCs/>
        </w:rPr>
        <w:t xml:space="preserve">A4.</w:t>
      </w:r>
      <w:r>
        <w:t xml:space="preserve"> Digital Times, report on the expansion of Toss FacePay, 2025; SBS Biz, "토스, 글로벌 프라이버시 총회(GPA) 참여…페이스페이 기술 선보인다," 8 September 2025. </w:t>
      </w:r>
      <w:r>
        <w:rPr>
          <w:highlight w:val="yellow"/>
          <w:highlightCs w:val="yellow"/>
        </w:rPr>
        <w:t xml:space="preserve">[AUTHOR: identify the date of the PIPC resolution; the operator's statements are the only public source found.]</w:t>
      </w:r>
    </w:p>
    <w:p>
      <w:pPr>
        <w:spacing w:after="120" w:line="276"/>
        <w:ind w:left="720" w:hanging="720"/>
      </w:pPr>
      <w:r>
        <w:rPr>
          <w:b/>
          <w:bCs/>
        </w:rPr>
        <w:t xml:space="preserve">A5.</w:t>
      </w:r>
      <w:r>
        <w:t xml:space="preserve"> Bizwatch, "카카오 AI '카나나', 개보위에 '언박싱' 먼저한 이유는," 13 March 2025.</w:t>
      </w:r>
    </w:p>
    <w:p>
      <w:pPr>
        <w:spacing w:after="120" w:line="276"/>
        <w:ind w:left="720" w:hanging="720"/>
      </w:pPr>
      <w:r>
        <w:rPr>
          <w:b/>
          <w:bCs/>
        </w:rPr>
        <w:t xml:space="preserve">A6.</w:t>
      </w:r>
      <w:r>
        <w:t xml:space="preserve"> PIPC press release on the prior-adequacy review of Naver's AI Tab, reproduced by Seoul Shinmun, May 2026; Digital Times, report on the AI Tab review, 31 May 2026. Procedure and confidentiality of prior-adequacy review: Kukinews, "'AI 개발 돕는다'…개인정보위, '사전적정성 검토제' 본격 운영," 28 March 2024.</w:t>
      </w:r>
    </w:p>
    <w:p>
      <w:pPr>
        <w:spacing w:after="120" w:line="276"/>
        <w:ind w:left="720" w:hanging="720"/>
      </w:pPr>
      <w:r>
        <w:rPr>
          <w:b/>
          <w:bCs/>
        </w:rPr>
        <w:t xml:space="preserve">A7.</w:t>
      </w:r>
      <w:r>
        <w:t xml:space="preserve"> iNews24, "[AI &amp; LAW] AI, 안전 검증하면서 혁신으로 나아가야," August 2026; Dailian, "제6회 개인정보 보호의 날…AI 시대 개인정보 보호 '사전예방' 강화," 2026; Money Today 2026a. </w:t>
      </w:r>
      <w:r>
        <w:rPr>
          <w:highlight w:val="yellow"/>
          <w:highlightCs w:val="yellow"/>
        </w:rPr>
        <w:t xml:space="preserve">[AUTHOR: add exact dates and cite the promulgated amendment once available.]</w:t>
      </w:r>
    </w:p>
    <w:p>
      <w:pPr>
        <w:spacing w:after="120" w:line="276"/>
        <w:ind w:left="720" w:hanging="720"/>
      </w:pPr>
      <w:r>
        <w:rPr>
          <w:b/>
          <w:bCs/>
        </w:rPr>
        <w:t xml:space="preserve">G1.</w:t>
      </w:r>
      <w:r>
        <w:t xml:space="preserve"> Shin &amp; Kim, newsletter on the PIPC guide on publicly available personal data for AI development and services, July 2024; Digital Times, report on the PIPC's generative-AI guide and open seminar, 6 August 2025.</w:t>
      </w:r>
    </w:p>
    <w:p>
      <w:pPr>
        <w:pStyle w:val="Heading1"/>
        <w:pageBreakBefore/>
      </w:pPr>
      <w:r>
        <w:t xml:space="preserve">Appendix B. Extended-Corpus Protocol</w:t>
      </w:r>
    </w:p>
    <w:p>
      <w:pPr>
        <w:spacing w:after="120" w:line="276"/>
        <w:ind w:left="720" w:hanging="720"/>
      </w:pPr>
      <w:r>
        <w:rPr>
          <w:b/>
          <w:bCs/>
        </w:rPr>
        <w:t xml:space="preserve">B.1 Eligibility.</w:t>
      </w:r>
      <w:r>
        <w:t xml:space="preserve"> The sampling frame and eligibility criteria are stated in the Research Design section. Instrument types: sanction decision (T1); corrective or improvement recommendation, including pre-inspection results (T2); prior-adequacy review result (T3); recommendation to another state body (T4); sandbox exemption or statute adopted with PIPC participation (T5); PIPC guidance or notice (T6). Subject categories: (a) development, training, or deployment of AI models; (b) biometric identifiers processed for identification or authentication; (c) algorithmic inference of personal characteristics, interests, or risk.</w:t>
      </w:r>
    </w:p>
    <w:p>
      <w:pPr>
        <w:spacing w:after="120" w:line="276"/>
        <w:ind w:left="720" w:hanging="720"/>
      </w:pPr>
      <w:r>
        <w:rPr>
          <w:b/>
          <w:bCs/>
        </w:rPr>
        <w:t>B.2 Search queries.</w:t>
      </w:r>
      <w:r>
        <w:t xml:space="preserve"> Thirty queries were run on 2 and 3 October 2026 in two rounds; the exact strings, run dates, and the records each query surfaced are listed in the Query_Log sheet of the online supplement. Round 1 (Q01 to Q21) combined the regulator's name with case- and topic-specific terms; Round 2 (Q22 to Q30) was category-directed: the decision database itself (Q22), pre-inspection of AI application services (Q23), prior-adequacy review of AI services (Q24), face authentication (Q25), face payment (Q26), behavioral data in e-commerce (Q27), AI video surveillance (Q28), AI agents (Q29), and AI training data sanctions against domestic firms (Q30). Three attempts to query the PIPC decision and press-release boards programmatically failed because pagination and search depend on session state.</w:t>
      </w:r>
    </w:p>
    <w:p>
      <w:pPr>
        <w:spacing w:after="120" w:line="276"/>
        <w:ind w:left="720" w:hanging="720"/>
      </w:pPr>
      <w:r>
        <w:rPr>
          <w:b/>
          <w:bCs/>
        </w:rPr>
        <w:t xml:space="preserve">B.3 Screening flow.</w:t>
      </w:r>
      <w:r>
        <w:t xml:space="preserve"> Candidate records screened: 54. Core records: 2. Excluded: 23 (no AI, biometric, or inferential processing examined: 13; security breach only: 4; public statement: 2; not a PIPC instrument: 1; PIPC role not documented: 1; procedural rule: 1; announced plan only: 1). Eligible but not coded: 3 (two guidance documents and the notice on automated decisions). Included: 26 records, merged into 22 corpus entries (D1 to D14; A1 to A7; G1). Entries added by the category-directed second round: D7, D11, D12, D13, A1, A4, A5, A6.</w:t>
      </w:r>
    </w:p>
    <w:p>
      <w:pPr>
        <w:spacing w:after="120" w:line="276"/>
        <w:ind w:left="720" w:hanging="720"/>
      </w:pPr>
      <w:r>
        <w:rPr>
          <w:b/>
          <w:bCs/>
        </w:rPr>
        <w:t>B.4 Census procedure for future work (not executed).</w:t>
      </w:r>
      <w:r>
        <w:t xml:space="preserve"> We did not carry out this procedure; it is specified so that it can be replicated. For each keyword in the Stage2_Template sheet (인공지능, AI, 학습, 생체, 얼굴, 안면, 홍채, 지문, 음성, 행태정보, 민감정보, 프로파일, 자동화된 결정, 사전 실태점검, 사전적정성, 실증특례, 챗봇, 추론), search the PIPC decision database with the field "제목+내용", the date range 2020-08-05 to 2026-09-30, and meeting type "전체"; record the number of hits; open every hit and every plenary enforcement decision whose title is generic; screen against B.1; and record additions with new record identifiers. Report the counts in B.3 and revise Tables 2 and 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i/>
      <w:iCs/>
      <w:sz w:val="24"/>
      <w:szCs w:val="24"/>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2026-10-02T16:47:10.469Z</dcterms:created>
  <dcterms:modified xsi:type="dcterms:W3CDTF">2026-10-02T16:47:10.469Z</dcterms:modified>
</cp:coreProperties>
</file>

<file path=docProps/custom.xml><?xml version="1.0" encoding="utf-8"?>
<Properties xmlns="http://schemas.openxmlformats.org/officeDocument/2006/custom-properties" xmlns:vt="http://schemas.openxmlformats.org/officeDocument/2006/docPropsVTypes"/>
</file>