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76"/>
      </w:pPr>
      <w:r>
        <w:rPr>
          <w:rFonts w:ascii="Times New Roman" w:cs="Times New Roman" w:eastAsia="Times New Roman" w:hAnsi="Times New Roman"/>
          <w:sz w:val="24"/>
          <w:szCs w:val="24"/>
        </w:rPr>
        <w:t xml:space="preserve">[Date]</w:t>
      </w:r>
    </w:p>
    <w:p>
      <w:pPr>
        <w:spacing w:after="160" w:before="0" w:line="276"/>
      </w:pPr>
      <w:r>
        <w:rPr>
          <w:rFonts w:ascii="Times New Roman" w:cs="Times New Roman" w:eastAsia="Times New Roman" w:hAnsi="Times New Roman"/>
          <w:sz w:val="24"/>
          <w:szCs w:val="24"/>
        </w:rPr>
        <w:t xml:space="preserve">Editor-in-Chief — </w:t>
      </w:r>
      <w:r>
        <w:rPr>
          <w:rFonts w:ascii="Times New Roman" w:cs="Times New Roman" w:eastAsia="Times New Roman" w:hAnsi="Times New Roman"/>
          <w:i/>
          <w:iCs/>
          <w:sz w:val="24"/>
          <w:szCs w:val="24"/>
        </w:rPr>
        <w:t xml:space="preserve">Information Systems Research</w:t>
      </w:r>
    </w:p>
    <w:p>
      <w:pPr>
        <w:spacing w:after="160" w:before="0" w:line="276"/>
      </w:pPr>
      <w:r>
        <w:rPr>
          <w:rFonts w:ascii="Times New Roman" w:cs="Times New Roman" w:eastAsia="Times New Roman" w:hAnsi="Times New Roman"/>
          <w:sz w:val="24"/>
          <w:szCs w:val="24"/>
        </w:rPr>
        <w:t xml:space="preserve">Re: Submission, "Loss Chasing in Large Language Model Maintenance Decisions: A Human-Subject-Free Behavioral Evaluation"</w:t>
      </w:r>
    </w:p>
    <w:p>
      <w:pPr>
        <w:spacing w:after="160" w:before="0" w:line="276"/>
      </w:pPr>
      <w:r>
        <w:rPr>
          <w:rFonts w:ascii="Times New Roman" w:cs="Times New Roman" w:eastAsia="Times New Roman" w:hAnsi="Times New Roman"/>
          <w:sz w:val="24"/>
          <w:szCs w:val="24"/>
        </w:rPr>
        <w:t xml:space="preserve">Dear Editor,</w:t>
      </w:r>
    </w:p>
    <w:p>
      <w:pPr>
        <w:spacing w:after="160" w:before="0" w:line="276"/>
      </w:pPr>
      <w:r>
        <w:rPr>
          <w:rFonts w:ascii="Times New Roman" w:cs="Times New Roman" w:eastAsia="Times New Roman" w:hAnsi="Times New Roman"/>
          <w:sz w:val="24"/>
          <w:szCs w:val="24"/>
        </w:rPr>
        <w:t xml:space="preserve">We submit the enclosed manuscript for consideration. The manuscript file is prepared for double-anonymous review (no author information, and the code repository link is withheld). This cover letter contains the contribution statement and the prior-publication statement required by the journal; it should be kept separate from the anonymized manuscript.</w:t>
      </w:r>
    </w:p>
    <w:p>
      <w:pPr>
        <w:keepNext/>
        <w:spacing w:after="120" w:before="120"/>
      </w:pPr>
      <w:r>
        <w:rPr>
          <w:rFonts w:ascii="Times New Roman" w:cs="Times New Roman" w:eastAsia="Times New Roman" w:hAnsi="Times New Roman"/>
          <w:b/>
          <w:bCs/>
          <w:sz w:val="24"/>
          <w:szCs w:val="24"/>
        </w:rPr>
        <w:t xml:space="preserve">Contribution statement</w:t>
      </w:r>
    </w:p>
    <w:p>
      <w:pPr>
        <w:spacing w:after="160" w:before="0" w:line="276"/>
      </w:pPr>
      <w:r>
        <w:rPr>
          <w:rFonts w:ascii="Times New Roman" w:cs="Times New Roman" w:eastAsia="Times New Roman" w:hAnsi="Times New Roman"/>
          <w:sz w:val="24"/>
          <w:szCs w:val="24"/>
        </w:rPr>
        <w:t xml:space="preserve">Organizations are beginning to consider large language models (LLMs) as operators of other AI systems: deciding when to patch, redeploy, roll back, or skip regression tests. Whether such an operator is sensitive to how a failure is described is unknown, and the behavioral-economics prediction (loss chasing after a realized loss) has been tested in one-shot economic tasks and in text generation, not in a repeated operational loop.</w:t>
      </w:r>
    </w:p>
    <w:p>
      <w:pPr>
        <w:spacing w:after="160" w:before="0" w:line="276"/>
      </w:pPr>
      <w:r>
        <w:rPr>
          <w:rFonts w:ascii="Times New Roman" w:cs="Times New Roman" w:eastAsia="Times New Roman" w:hAnsi="Times New Roman"/>
          <w:sz w:val="24"/>
          <w:szCs w:val="24"/>
        </w:rPr>
        <w:t xml:space="preserve">This paper contributes in three ways. First, it formalizes LLM maintenance as a repeated prospect-theoretic choice and defines loss chasing through three jointly necessary conditions, one of which requires that the chosen action be inferior in expected value. We construct a six-action environment in which skipping tests is dominated by its verified counterpart, so a rise in skipping cannot be explained as a rational response to a time budget. Second, it identifies a measurement problem that affects any such evaluation: when a rollback option recovers a realized loss at positive expected value, a rational operator lowers its risk after failures, so the natural "risk rises after failures" test mislabels rational retreat and non-retreat. We propose excess risk over an expected-value-maximizing benchmark, combined with test-skipping, and we show that a model that never skips makes a framing test uninformative. Third, it provides an open, human-subject-free audit that an organization can run on a candidate model before delegating maintenance decisions to it.</w:t>
      </w:r>
    </w:p>
    <w:p>
      <w:pPr>
        <w:spacing w:after="160" w:before="0" w:line="276"/>
      </w:pPr>
      <w:r>
        <w:rPr>
          <w:rFonts w:ascii="Times New Roman" w:cs="Times New Roman" w:eastAsia="Times New Roman" w:hAnsi="Times New Roman"/>
          <w:sz w:val="24"/>
          <w:szCs w:val="24"/>
        </w:rPr>
        <w:t xml:space="preserve">Empirically, the paper reports a preliminary, partial execution of a registered protocol on three models. We find no support for the framing hypothesis in any of them. The loss frame raised test-skipping by 7.7 percentage points in one open model (below the registered 10-point threshold), lowered it by 5.0 points in another, and a commercial model never skipped tests. The response to failure history differed in sign across models. The contribution is therefore not a claim that LLM operators chase losses; it is evidence that framing sensitivity is model-specific, together with a design and a measurement argument for how it should be tested.</w:t>
      </w:r>
    </w:p>
    <w:p>
      <w:pPr>
        <w:spacing w:after="160" w:before="0" w:line="276"/>
      </w:pPr>
      <w:r>
        <w:rPr>
          <w:rFonts w:ascii="Times New Roman" w:cs="Times New Roman" w:eastAsia="Times New Roman" w:hAnsi="Times New Roman"/>
          <w:sz w:val="24"/>
          <w:szCs w:val="24"/>
        </w:rPr>
        <w:t xml:space="preserve">For practice and policy, the results support auditing a specific model on the organization's own payoff structure before delegation, rather than adopting a general rule about dashboard wording. We are explicit about limits: three models of different families, a subset of the registered grid, and exploratory analysis choices that are labeled as such.</w:t>
      </w:r>
    </w:p>
    <w:p>
      <w:pPr>
        <w:keepNext/>
        <w:spacing w:after="120" w:before="120"/>
      </w:pPr>
      <w:r>
        <w:rPr>
          <w:rFonts w:ascii="Times New Roman" w:cs="Times New Roman" w:eastAsia="Times New Roman" w:hAnsi="Times New Roman"/>
          <w:b/>
          <w:bCs/>
          <w:sz w:val="24"/>
          <w:szCs w:val="24"/>
        </w:rPr>
        <w:t xml:space="preserve">Prior publication and related work</w:t>
      </w:r>
    </w:p>
    <w:p>
      <w:pPr>
        <w:spacing w:after="160" w:before="0" w:line="276"/>
      </w:pPr>
      <w:r>
        <w:rPr>
          <w:rFonts w:ascii="Times New Roman" w:cs="Times New Roman" w:eastAsia="Times New Roman" w:hAnsi="Times New Roman"/>
          <w:sz w:val="24"/>
          <w:szCs w:val="24"/>
        </w:rPr>
        <w:t xml:space="preserve">The manuscript has not been published and is not under review elsewhere. [AUTHORS TO CONFIRM: whether the registered protocol that this study implements has been posted publicly or submitted anywhere, and, if so, how this manuscript differs: it adds the executed runs, the excess-risk measurement argument, and the discussion.]</w:t>
      </w:r>
    </w:p>
    <w:p>
      <w:pPr>
        <w:keepNext/>
        <w:spacing w:after="120" w:before="120"/>
      </w:pPr>
      <w:r>
        <w:rPr>
          <w:rFonts w:ascii="Times New Roman" w:cs="Times New Roman" w:eastAsia="Times New Roman" w:hAnsi="Times New Roman"/>
          <w:b/>
          <w:bCs/>
          <w:sz w:val="24"/>
          <w:szCs w:val="24"/>
        </w:rPr>
        <w:t xml:space="preserve">Other disclosures</w:t>
      </w:r>
    </w:p>
    <w:p>
      <w:pPr>
        <w:spacing w:after="160" w:before="0" w:line="276"/>
      </w:pPr>
      <w:r>
        <w:rPr>
          <w:rFonts w:ascii="Times New Roman" w:cs="Times New Roman" w:eastAsia="Times New Roman" w:hAnsi="Times New Roman"/>
          <w:sz w:val="24"/>
          <w:szCs w:val="24"/>
        </w:rPr>
        <w:t xml:space="preserve">[AUTHORS TO COMPLETE: suggested Senior/Associate Editors and reviewers, conflicts of interest, funding, and the journal's policy on disclosure of AI tools used in preparing the manuscript. Check the current policy on the journal's website before submission.]</w:t>
      </w:r>
    </w:p>
    <w:p>
      <w:pPr>
        <w:spacing w:after="160" w:before="0" w:line="276"/>
      </w:pPr>
      <w:r>
        <w:rPr>
          <w:rFonts w:ascii="Times New Roman" w:cs="Times New Roman" w:eastAsia="Times New Roman" w:hAnsi="Times New Roman"/>
          <w:sz w:val="24"/>
          <w:szCs w:val="24"/>
        </w:rPr>
        <w:t xml:space="preserve">Sincerely, [Corresponding author]</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cp:lastModifiedBy>Un-named</cp:lastModifiedBy>
  <cp:revision>1</cp:revision>
  <dcterms:created xsi:type="dcterms:W3CDTF">2026-09-30T21:15:44.391Z</dcterms:created>
  <dcterms:modified xsi:type="dcterms:W3CDTF">2026-09-30T21:15:44.392Z</dcterms:modified>
</cp:coreProperties>
</file>

<file path=docProps/custom.xml><?xml version="1.0" encoding="utf-8"?>
<Properties xmlns="http://schemas.openxmlformats.org/officeDocument/2006/custom-properties" xmlns:vt="http://schemas.openxmlformats.org/officeDocument/2006/docPropsVTypes"/>
</file>