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59" w:lineRule="auto"/>
      </w:pPr>
      <w:r>
        <w:rPr>
          <w:rFonts w:ascii="Times New Roman" w:hAnsi="Times New Roman"/>
        </w:rPr>
        <w:t>October 13, 2026</w:t>
      </w:r>
    </w:p>
    <w:p>
      <w:pPr>
        <w:spacing w:after="0" w:line="259" w:lineRule="auto"/>
      </w:pPr>
      <w:r>
        <w:rPr>
          <w:rFonts w:ascii="Times New Roman" w:hAnsi="Times New Roman"/>
        </w:rPr>
        <w:t>Editor-in-Chief</w:t>
      </w:r>
    </w:p>
    <w:p>
      <w:pPr>
        <w:spacing w:after="0" w:line="259" w:lineRule="auto"/>
      </w:pPr>
      <w:r>
        <w:rPr>
          <w:rFonts w:ascii="Times New Roman" w:hAnsi="Times New Roman"/>
          <w:i/>
        </w:rPr>
        <w:t>Information Systems Research</w:t>
      </w:r>
    </w:p>
    <w:p>
      <w:pPr>
        <w:spacing w:after="240" w:line="259" w:lineRule="auto"/>
      </w:pPr>
      <w:r>
        <w:rPr>
          <w:rFonts w:ascii="Times New Roman" w:hAnsi="Times New Roman"/>
        </w:rPr>
        <w:t>INFORMS</w:t>
      </w:r>
    </w:p>
    <w:p>
      <w:pPr>
        <w:spacing w:after="240" w:line="259" w:lineRule="auto"/>
      </w:pPr>
      <w:r>
        <w:rPr>
          <w:rFonts w:ascii="Times New Roman" w:hAnsi="Times New Roman"/>
          <w:b/>
        </w:rPr>
        <w:t>Re: Submission of “Price Competition and Capacity Investment in LLM Inference Markets: A Dynamic Bertrand–Edgeworth Game”</w:t>
      </w:r>
    </w:p>
    <w:p>
      <w:pPr>
        <w:spacing w:after="160" w:line="259" w:lineRule="auto"/>
      </w:pPr>
      <w:r>
        <w:rPr>
          <w:rFonts w:ascii="Times New Roman" w:hAnsi="Times New Roman"/>
        </w:rPr>
        <w:t>Dear Editor,</w:t>
      </w:r>
    </w:p>
    <w:p>
      <w:pPr>
        <w:spacing w:after="160" w:line="259" w:lineRule="auto"/>
      </w:pPr>
      <w:r>
        <w:rPr>
          <w:rFonts w:ascii="Times New Roman" w:hAnsi="Times New Roman"/>
        </w:rPr>
        <w:t xml:space="preserve">We submit the enclosed manuscript for consideration as a research article in </w:t>
      </w:r>
      <w:r>
        <w:rPr>
          <w:rFonts w:ascii="Times New Roman" w:hAnsi="Times New Roman"/>
          <w:i/>
        </w:rPr>
        <w:t>Information Systems Research</w:t>
      </w:r>
      <w:r>
        <w:rPr>
          <w:rFonts w:ascii="Times New Roman" w:hAnsi="Times New Roman"/>
        </w:rPr>
        <w:t>. The paper studies how providers of large language model (LLM) inference, who compete on posted prices but must build GPU capacity with a lag and at a sunk cost, choose prices and capacity in a dynamic oligopoly. It develops a Markov perfect equilibrium model, proves a set of analytical results, and supports them with a systematic numerical analysis of 20 parameter settings, a controlled experiment on timing, and an exploratory comparison with public data.</w:t>
      </w:r>
    </w:p>
    <w:p>
      <w:pPr>
        <w:spacing w:after="160" w:line="259" w:lineRule="auto"/>
      </w:pPr>
      <w:r>
        <w:rPr>
          <w:rFonts w:ascii="Times New Roman" w:hAnsi="Times New Roman"/>
        </w:rPr>
        <w:t>Why this matters for information systems. Inference capacity is becoming an infrastructure on which much of the digital economy depends, and a small number of providers set its price. The IS literature on computing services has analyzed pricing and capacity mostly for a single provider or in static settings (for example Mendelson 1985, Dewan and Mendelson 1990, Cachon and Harker 2002). The industrial organization literature has the tools for dynamic capacity games but has not been applied to this market. The paper brings the two together, and it speaks to questions that platform operators and regulators now face: when competition keeps prices down, whether disclosing capacity helps or hurts, and what portability and switching rules can and cannot achieve.</w:t>
      </w:r>
    </w:p>
    <w:p>
      <w:pPr>
        <w:keepNext/>
        <w:spacing w:after="80" w:line="259" w:lineRule="auto"/>
      </w:pPr>
      <w:r>
        <w:rPr>
          <w:rFonts w:ascii="Times New Roman" w:hAnsi="Times New Roman"/>
          <w:b/>
        </w:rPr>
        <w:t>Statement of contribution</w:t>
      </w:r>
    </w:p>
    <w:p>
      <w:pPr>
        <w:spacing w:after="100" w:line="259" w:lineRule="auto"/>
        <w:ind w:left="360"/>
      </w:pPr>
      <w:r>
        <w:rPr>
          <w:rFonts w:ascii="Times New Roman" w:hAnsi="Times New Roman"/>
          <w:b/>
        </w:rPr>
        <w:t>1. A separation result.</w:t>
      </w:r>
      <w:r>
        <w:rPr>
          <w:rFonts w:ascii="Times New Roman" w:hAnsi="Times New Roman"/>
        </w:rPr>
        <w:t xml:space="preserve"> When prices are not state variables, pricing and capacity decouple exactly in a logit Markov perfect equilibrium: prices solve a static game in each state, and capacity solves a dynamic game fed by the resulting profits (Proposition 1). This simplifies the analysis and makes sensitivity analysis feasible.</w:t>
      </w:r>
    </w:p>
    <w:p>
      <w:pPr>
        <w:spacing w:after="100" w:line="259" w:lineRule="auto"/>
        <w:ind w:left="360"/>
      </w:pPr>
      <w:r>
        <w:rPr>
          <w:rFonts w:ascii="Times New Roman" w:hAnsi="Times New Roman"/>
          <w:b/>
        </w:rPr>
        <w:t>2. When competition disciplines prices.</w:t>
      </w:r>
      <w:r>
        <w:rPr>
          <w:rFonts w:ascii="Times New Roman" w:hAnsi="Times New Roman"/>
        </w:rPr>
        <w:t xml:space="preserve"> With scarce capacity the reservation price is a dominant strategy (Proposition 2); with ample capacity, pure-strategy markups cannot exceed twice the price-grid step (Proposition 3). In the baseline model, capacity is therefore the only source of market power.</w:t>
      </w:r>
    </w:p>
    <w:p>
      <w:pPr>
        <w:spacing w:after="100" w:line="259" w:lineRule="auto"/>
        <w:ind w:left="360"/>
      </w:pPr>
      <w:r>
        <w:rPr>
          <w:rFonts w:ascii="Times New Roman" w:hAnsi="Times New Roman"/>
          <w:b/>
        </w:rPr>
        <w:t>3. Multiplicity and welfare.</w:t>
      </w:r>
      <w:r>
        <w:rPr>
          <w:rFonts w:ascii="Times New Roman" w:hAnsi="Times New Roman"/>
        </w:rPr>
        <w:t xml:space="preserve"> Across 20 parameter settings, equilibrium capacity lies between a joint-profit benchmark and a market-share contest. Equilibria are multiple in 11 of the 20 settings, and the equilibrium that consumers prefer is not the one that maximizes total surplus.</w:t>
      </w:r>
    </w:p>
    <w:p>
      <w:pPr>
        <w:spacing w:after="100" w:line="259" w:lineRule="auto"/>
        <w:ind w:left="360"/>
      </w:pPr>
      <w:r>
        <w:rPr>
          <w:rFonts w:ascii="Times New Roman" w:hAnsi="Times New Roman"/>
          <w:b/>
        </w:rPr>
        <w:t>4. Price commitment as a driver of capacity.</w:t>
      </w:r>
      <w:r>
        <w:rPr>
          <w:rFonts w:ascii="Times New Roman" w:hAnsi="Times New Roman"/>
        </w:rPr>
        <w:t xml:space="preserve"> In a two-price benchmark with alternating moves, we prove that commitment sustains tacit collusion for intermediate discount factors (Proposition 4) and makes capacity a strategic complement, which creates a high-capacity equilibrium that simultaneous pricing rules out (Proposition 5). A controlled timing experiment shows that it is price commitment, and not the timing of capacity decisions, that raises equilibrium capacity (by 11 to 15 request-units in five of six scenarios, against changes of at most 2.4 from timing alone).</w:t>
      </w:r>
    </w:p>
    <w:p>
      <w:pPr>
        <w:spacing w:after="160" w:line="259" w:lineRule="auto"/>
        <w:ind w:left="360"/>
      </w:pPr>
      <w:r>
        <w:rPr>
          <w:rFonts w:ascii="Times New Roman" w:hAnsi="Times New Roman"/>
          <w:b/>
        </w:rPr>
        <w:t>5. Implications.</w:t>
      </w:r>
      <w:r>
        <w:rPr>
          <w:rFonts w:ascii="Times New Roman" w:hAnsi="Times New Roman"/>
        </w:rPr>
        <w:t xml:space="preserve"> We draw implications for capacity disclosure, switching and portability rules, and repricing frequency, and we separate those supported by the computed results from those that are only suggestive.</w:t>
      </w:r>
    </w:p>
    <w:p>
      <w:pPr>
        <w:spacing w:after="160" w:line="259" w:lineRule="auto"/>
      </w:pPr>
      <w:r>
        <w:rPr>
          <w:rFonts w:ascii="Times New Roman" w:hAnsi="Times New Roman"/>
          <w:b/>
        </w:rPr>
        <w:t>Scope and limitations.</w:t>
      </w:r>
      <w:r>
        <w:rPr>
          <w:rFonts w:ascii="Times New Roman" w:hAnsi="Times New Roman"/>
        </w:rPr>
        <w:t xml:space="preserve"> We want to be transparent about what the paper does not do. The baseline pricing stage is static, so it has no price cycles. In the dynamic extension, price cycles are a numerical finding that depends on the demand process, and we do not prove them. That extension is solved only at moderate payoff noise, and some scenarios did not converge, which the manuscript flags. The analytical results for dynamic pricing are for a two-price benchmark with explicit equilibrium selection. Parameters are illustrative, and only one price ratio is disciplined by public data. An exploratory test of the repricing prediction on public list prices found a sign opposite to the prediction, statistically insignificant and based on a noisy measure; we report it as inconclusive.</w:t>
      </w:r>
    </w:p>
    <w:p>
      <w:pPr>
        <w:spacing w:after="160" w:line="259" w:lineRule="auto"/>
      </w:pPr>
      <w:r>
        <w:rPr>
          <w:rFonts w:ascii="Times New Roman" w:hAnsi="Times New Roman"/>
          <w:b/>
        </w:rPr>
        <w:t>Fit with the journal.</w:t>
      </w:r>
      <w:r>
        <w:rPr>
          <w:rFonts w:ascii="Times New Roman" w:hAnsi="Times New Roman"/>
        </w:rPr>
        <w:t xml:space="preserve"> The paper contributes to the economics of information technology and digital markets, using analytical modeling and computation. We believe it is of interest to readers who study IT infrastructure, platform competition, and the governance of digital markets.</w:t>
      </w:r>
    </w:p>
    <w:p>
      <w:pPr>
        <w:spacing w:after="160" w:line="259" w:lineRule="auto"/>
      </w:pPr>
      <w:r>
        <w:rPr>
          <w:rFonts w:ascii="Times New Roman" w:hAnsi="Times New Roman"/>
          <w:b/>
        </w:rPr>
        <w:t>Originality and compliance.</w:t>
      </w:r>
      <w:r>
        <w:rPr>
          <w:rFonts w:ascii="Times New Roman" w:hAnsi="Times New Roman"/>
        </w:rPr>
        <w:t xml:space="preserve"> The manuscript has not been published and is not under consideration elsewhere. The submission has been approved by all authors. </w:t>
      </w:r>
      <w:r>
        <w:rPr>
          <w:rFonts w:ascii="Times New Roman" w:hAnsi="Times New Roman"/>
          <w:highlight w:val="yellow"/>
        </w:rPr>
        <w:t>[We have no conflicts of interest to declare. / Describe any conflicts.]</w:t>
      </w:r>
      <w:r>
        <w:rPr>
          <w:rFonts w:ascii="Times New Roman" w:hAnsi="Times New Roman"/>
        </w:rPr>
        <w:t xml:space="preserve"> The title page is provided as a separate file and the manuscript file contains no author information. The code, parameter files, and result files are provided as an anonymized supplementary archive; </w:t>
      </w:r>
      <w:r>
        <w:rPr>
          <w:rFonts w:ascii="Times New Roman" w:hAnsi="Times New Roman"/>
          <w:highlight w:val="yellow"/>
        </w:rPr>
        <w:t>[we will make them public on acceptance – confirm]</w:t>
      </w:r>
      <w:r>
        <w:rPr>
          <w:rFonts w:ascii="Times New Roman" w:hAnsi="Times New Roman"/>
        </w:rPr>
        <w:t xml:space="preserve">. </w:t>
      </w:r>
      <w:r>
        <w:rPr>
          <w:rFonts w:ascii="Times New Roman" w:hAnsi="Times New Roman"/>
          <w:highlight w:val="yellow"/>
        </w:rPr>
        <w:t>[If applicable, insert a statement on the use of AI-assisted tools in preparing the manuscript, code, or analysis, in line with INFORMS policy.]</w:t>
      </w:r>
    </w:p>
    <w:p>
      <w:pPr>
        <w:spacing w:after="160" w:line="259" w:lineRule="auto"/>
      </w:pPr>
      <w:r>
        <w:rPr>
          <w:rFonts w:ascii="Times New Roman" w:hAnsi="Times New Roman"/>
          <w:highlight w:val="yellow"/>
        </w:rPr>
        <w:t>[Optional: suggested reviewers and any reviewers to exclude, with affiliations and e-mail addresses.]</w:t>
      </w:r>
    </w:p>
    <w:p>
      <w:pPr>
        <w:spacing w:after="240" w:line="259" w:lineRule="auto"/>
      </w:pPr>
      <w:r>
        <w:rPr>
          <w:rFonts w:ascii="Times New Roman" w:hAnsi="Times New Roman"/>
        </w:rPr>
        <w:t>Thank you for considering our submission. We look forward to hearing from you.</w:t>
      </w:r>
    </w:p>
    <w:p>
      <w:pPr>
        <w:spacing w:after="360" w:line="259" w:lineRule="auto"/>
      </w:pPr>
      <w:r>
        <w:rPr>
          <w:rFonts w:ascii="Times New Roman" w:hAnsi="Times New Roman"/>
        </w:rPr>
        <w:t>Sincerely,</w:t>
      </w:r>
    </w:p>
    <w:p>
      <w:pPr>
        <w:spacing w:after="0" w:line="259" w:lineRule="auto"/>
      </w:pPr>
      <w:r>
        <w:rPr>
          <w:rFonts w:ascii="Times New Roman" w:hAnsi="Times New Roman"/>
        </w:rPr>
        <w:t>Ook Lee</w:t>
      </w:r>
    </w:p>
    <w:p>
      <w:pPr>
        <w:spacing w:after="0" w:line="259" w:lineRule="auto"/>
      </w:pPr>
      <w:r>
        <w:rPr>
          <w:rFonts w:ascii="Times New Roman" w:hAnsi="Times New Roman"/>
        </w:rPr>
        <w:t>Department of Information Systems, Hanyang University, Seoul, Korea</w:t>
      </w:r>
    </w:p>
    <w:p>
      <w:pPr>
        <w:spacing w:after="0" w:line="259" w:lineRule="auto"/>
      </w:pPr>
      <w:r>
        <w:rPr>
          <w:rFonts w:ascii="Times New Roman" w:hAnsi="Times New Roman"/>
        </w:rP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