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59" w:lineRule="auto"/>
        <w:jc w:val="center"/>
      </w:pPr>
      <w:r>
        <w:rPr>
          <w:rFonts w:ascii="Times New Roman" w:hAnsi="Times New Roman"/>
          <w:b/>
          <w:sz w:val="22"/>
        </w:rPr>
        <w:t>Title Page (not shared with reviewers)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Title</w:t>
      </w:r>
    </w:p>
    <w:p>
      <w:pPr>
        <w:spacing w:after="240" w:line="259" w:lineRule="auto"/>
      </w:pPr>
      <w:r>
        <w:rPr>
          <w:rFonts w:ascii="Times New Roman" w:hAnsi="Times New Roman"/>
        </w:rPr>
        <w:t>Price Competition and Capacity Investment in LLM Inference Markets: A Dynamic Bertrand–Edgeworth Game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Authors and affiliations</w:t>
      </w:r>
    </w:p>
    <w:p>
      <w:pPr>
        <w:spacing w:after="40" w:line="259" w:lineRule="auto"/>
      </w:pPr>
      <w:r>
        <w:rPr>
          <w:rFonts w:ascii="Times New Roman" w:hAnsi="Times New Roman"/>
        </w:rPr>
        <w:t xml:space="preserve">Ook Lee, Department of Information Systems, Hanyang University, Seoul, Korea. </w:t>
      </w:r>
      <w:r>
        <w:rPr>
          <w:rFonts w:ascii="Times New Roman" w:hAnsi="Times New Roman"/>
          <w:highlight w:val="yellow"/>
        </w:rPr>
        <w:t>[ORCID, optional]</w:t>
      </w:r>
    </w:p>
    <w:p>
      <w:pPr>
        <w:spacing w:after="240" w:line="259" w:lineRule="auto"/>
      </w:pPr>
      <w:r>
        <w:rPr>
          <w:rFonts w:ascii="Times New Roman" w:hAnsi="Times New Roman"/>
          <w:highlight w:val="yellow"/>
        </w:rPr>
        <w:t>[Add further authors here, or delete this line]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Corresponding author</w:t>
      </w:r>
    </w:p>
    <w:p>
      <w:pPr>
        <w:spacing w:after="240" w:line="259" w:lineRule="auto"/>
      </w:pPr>
      <w:r>
        <w:rPr>
          <w:rFonts w:ascii="Times New Roman" w:hAnsi="Times New Roman"/>
        </w:rPr>
        <w:t xml:space="preserve">Ook Lee, Department of Information Systems, Hanyang University, Seoul, Korea. E-mail: ooklee@hanyang.ac.kr. </w:t>
      </w:r>
      <w:r>
        <w:rPr>
          <w:rFonts w:ascii="Times New Roman" w:hAnsi="Times New Roman"/>
          <w:highlight w:val="yellow"/>
        </w:rPr>
        <w:t>[Postal address]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highlight w:val="yellow"/>
        </w:rPr>
        <w:t>[Telephone]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Manuscript type</w:t>
      </w:r>
    </w:p>
    <w:p>
      <w:pPr>
        <w:spacing w:after="240" w:line="259" w:lineRule="auto"/>
      </w:pPr>
      <w:r>
        <w:rPr>
          <w:rFonts w:ascii="Times New Roman" w:hAnsi="Times New Roman"/>
        </w:rPr>
        <w:t>Research article (analytical modeling with numerical analysis)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Keywords</w:t>
      </w:r>
    </w:p>
    <w:p>
      <w:pPr>
        <w:spacing w:after="240" w:line="259" w:lineRule="auto"/>
      </w:pPr>
      <w:r>
        <w:rPr>
          <w:rFonts w:ascii="Times New Roman" w:hAnsi="Times New Roman"/>
        </w:rPr>
        <w:t>cloud computing; generative AI; capacity investment; Bertrand–Edgeworth competition; Markov perfect equilibrium; dynamic oligopoly; IT infrastructure markets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Manuscript length</w:t>
      </w:r>
    </w:p>
    <w:p>
      <w:pPr>
        <w:spacing w:after="240" w:line="259" w:lineRule="auto"/>
      </w:pPr>
      <w:r>
        <w:rPr>
          <w:rFonts w:ascii="Times New Roman" w:hAnsi="Times New Roman"/>
        </w:rPr>
        <w:t>Abstract: 178 words. Main text including appendices, excluding tables, figures, and references: approximately 11,500 words. 9 tables and 3 figures.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Acknowledgments</w:t>
      </w:r>
    </w:p>
    <w:p>
      <w:pPr>
        <w:spacing w:after="240" w:line="259" w:lineRule="auto"/>
      </w:pPr>
      <w:r>
        <w:rPr>
          <w:rFonts w:ascii="Times New Roman" w:hAnsi="Times New Roman"/>
          <w:highlight w:val="yellow"/>
        </w:rPr>
        <w:t>[Thank colleagues, seminar participants, and anonymous reviewers of earlier versions, if any. Leave blank if none.]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Funding</w:t>
      </w:r>
    </w:p>
    <w:p>
      <w:pPr>
        <w:spacing w:after="240" w:line="259" w:lineRule="auto"/>
      </w:pPr>
      <w:r>
        <w:rPr>
          <w:rFonts w:ascii="Times New Roman" w:hAnsi="Times New Roman"/>
          <w:highlight w:val="yellow"/>
        </w:rPr>
        <w:t>[State funding sources and grant numbers, or “This research received no specific funding.”]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Conflicts of interest</w:t>
      </w:r>
    </w:p>
    <w:p>
      <w:pPr>
        <w:spacing w:after="240" w:line="259" w:lineRule="auto"/>
      </w:pPr>
      <w:r>
        <w:rPr>
          <w:rFonts w:ascii="Times New Roman" w:hAnsi="Times New Roman"/>
          <w:highlight w:val="yellow"/>
        </w:rPr>
        <w:t>[None declared. / Describe.]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Data and code availability</w:t>
      </w:r>
    </w:p>
    <w:p>
      <w:pPr>
        <w:spacing w:after="240" w:line="259" w:lineRule="auto"/>
      </w:pPr>
      <w:r>
        <w:rPr>
          <w:rFonts w:ascii="Times New Roman" w:hAnsi="Times New Roman"/>
        </w:rPr>
        <w:t xml:space="preserve">The analysis uses simulated equilibria of the model described in the paper and publicly available price and capital-expenditure information cited in the text. The code, parameter files, and result files are provided as an anonymized supplementary archive. </w:t>
      </w:r>
      <w:r>
        <w:rPr>
          <w:rFonts w:ascii="Times New Roman" w:hAnsi="Times New Roman"/>
          <w:highlight w:val="yellow"/>
        </w:rPr>
        <w:t>[State whether and where they will be made public.]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Use of AI-assisted tools</w:t>
      </w:r>
    </w:p>
    <w:p>
      <w:pPr>
        <w:spacing w:after="240" w:line="259" w:lineRule="auto"/>
      </w:pPr>
      <w:r>
        <w:rPr>
          <w:rFonts w:ascii="Times New Roman" w:hAnsi="Times New Roman"/>
          <w:highlight w:val="yellow"/>
        </w:rPr>
        <w:t>[Describe, in line with INFORMS policy, any AI-assisted tools used in preparing the manuscript, code, or analysis, and the authors’ responsibility for the content.]</w:t>
      </w:r>
    </w:p>
    <w:p>
      <w:pPr>
        <w:spacing w:after="40" w:line="259" w:lineRule="auto"/>
      </w:pPr>
      <w:r>
        <w:rPr>
          <w:rFonts w:ascii="Times New Roman" w:hAnsi="Times New Roman"/>
          <w:b/>
        </w:rPr>
        <w:t>Prior versions and presentations</w:t>
      </w:r>
    </w:p>
    <w:p>
      <w:pPr>
        <w:spacing w:after="0" w:line="259" w:lineRule="auto"/>
      </w:pPr>
      <w:r>
        <w:rPr>
          <w:rFonts w:ascii="Times New Roman" w:hAnsi="Times New Roman"/>
          <w:highlight w:val="yellow"/>
        </w:rPr>
        <w:t>[None. / List.]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