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rPr>
        <w:t>Statistics showing that firms use generative visual AI are increasingly read as evidence that creative work is being displaced. Information systems research separates acquiring an innovation from assimilating it into work. We model a firm that reassigns a visual task to a generator only when output acceptance exceeds a threshold set by generation, review, and human production costs. Review cost depends on organizational complements, so near-free acquisition can run ahead of assimilation. Eurostat data show that 9.6 percent of EU firms use AI that generates pictures, video, or audio, and that firms which considered AI cite missing expertise (70 percent) and legal uncertainty (54 percent) far more than lack of usefulness (18 percent). A detectability bound shows that European and Canadian job-advert designs could not detect even complete assimilation at platform-sized effects; the small gradients they find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rPr>
        <w:t xml:space="preserve">Generative systems that produce images from text, widely available since 2022, and video, available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A natural reading of these numbers is that the people who used to produce such content are being redeployed, and a growing body of exposure-based labor-market research looks for that redeployment in hiring data.</w:t>
      </w:r>
    </w:p>
    <w:p>
      <w:pPr>
        <w:spacing w:after="160" w:line="276"/>
        <w:jc w:val="both"/>
      </w:pPr>
      <w:r>
        <w:rPr>
          <w:rFonts w:ascii="Times New Roman" w:cs="Times New Roman" w:eastAsia="Times New Roman" w:hAnsi="Times New Roman"/>
        </w:rPr>
        <w:t xml:space="preserve">Information systems research offers a reason to be cautious about this reading. Implementation research has long treated adoption as one stage in a sequence that runs through adaptation, acceptance, routinization, and infusion (Cooper and Zmud 1990). Fichman and Kemerer (1999) showed that organizations can acquire an innovation well before they deploy it, so that diffusion statistics overstate use; they called the wedge an assimilation gap and found it widest where knowledge barriers were high. Work on IT business value adds that returns to information technology depend on complementary organizational investments (Brynjolfsson and Hitt 2000; Melville, Kraemer, and Gurbaxani 2004; Aral and Weill 2007). The question for generative visual AI is therefore not only whether it substitutes for creative labor. It is whether reported use reflects assimilation into tasks at all, and whether the evidence that researchers currently use could tell the difference.</w:t>
      </w:r>
    </w:p>
    <w:p>
      <w:pPr>
        <w:spacing w:after="160" w:line="276"/>
        <w:jc w:val="both"/>
      </w:pPr>
      <w:r>
        <w:rPr>
          <w:rFonts w:ascii="Times New Roman" w:cs="Times New Roman" w:eastAsia="Times New Roman" w:hAnsi="Times New Roman"/>
        </w:rPr>
        <w:t xml:space="preserve">We make three moves. First, we develop a task-level theory in which a firm reassigns a visual task to a generator only when the acceptance rate of output exceeds a threshold set by generation cost, review cost, and the cost of human production. The theory locates the complementary assets inside review cost: expertise to specify and check output, capacity to run review as a routine, and procedures that make copyright and personal-data exposure manageable. It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simple detectability bound that compares the hiring response implied by complete assimilation with the minimum detectable effect of standard exposure designs. Third, we assemble the descriptive evidence that does exist on the acquisition margin and on the barriers that firms report.</w:t>
      </w:r>
    </w:p>
    <w:p>
      <w:pPr>
        <w:spacing w:after="160" w:line="276"/>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describe missing expertise, legal uncertainty, and data-protection concerns far more often than a tool that is not useful, which is the pattern a complementary-asset account predicts and a capability-failure account does not. But the hiring data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for that occupation.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276"/>
        <w:jc w:val="both"/>
      </w:pPr>
      <w:r>
        <w:rPr>
          <w:rFonts w:ascii="Times New Roman" w:cs="Times New Roman" w:eastAsia="Times New Roman" w:hAnsi="Times New Roman"/>
        </w:rPr>
        <w:t xml:space="preserve">We are explicit about what this paper does not claim. We do not observe assimilation inside firms, and we do not treat small or fragile hiring responses as evidence of a gap. We show instead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account at the acquisition margin. Separating the remaining three requires firm-level data that link use, complementary assets, task reassignment, and hiring, and we specify what such data would have to show.</w:t>
      </w:r>
    </w:p>
    <w:p>
      <w:pPr>
        <w:spacing w:after="160" w:line="276"/>
        <w:jc w:val="both"/>
      </w:pPr>
      <w:r>
        <w:rPr>
          <w:rFonts w:ascii="Times New Roman" w:cs="Times New Roman" w:eastAsia="Times New Roman" w:hAnsi="Times New Roman"/>
        </w:rPr>
        <w:t>The paper contributes to information systems research in three ways.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It provides a detectability bound that tells researchers when occupation-level hiring designs can and cannot be informative about generative-AI assimilation, and it shows how the bound changes the reading of exposure gradients: the 2023 European gradient is no larger than the trend that preceded the technology, and the 2024 gradient is too imprecise to separate the scenarios. And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276"/>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276"/>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276"/>
        <w:jc w:val="both"/>
      </w:pPr>
      <w:r>
        <w:rPr>
          <w:rFonts w:ascii="Times New Roman" w:cs="Times New Roman" w:eastAsia="Times New Roman" w:hAnsi="Times New Roman"/>
        </w:rPr>
        <w:t xml:space="preserve">A large literature maps AI capabilities onto occupational tasks (Webb 2020; Felten, Raj, and Seamans 2021; Eloundou et al. 2023). Exposure measures describe where a technology could matter, not where it has been acquired or assimilated.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276"/>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276"/>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276"/>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276"/>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276"/>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276"/>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276"/>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276"/>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
          <w:bCs/>
          <w:color w:val="000000"/>
          <w:sz w:val="24"/>
          <w:szCs w:val="24"/>
        </w:rPr>
        <w:t xml:space="preserve">3.4 Competing Accounts</w:t>
      </w:r>
    </w:p>
    <w:p>
      <w:pPr>
        <w:spacing w:after="160" w:line="276"/>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276"/>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276"/>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 xml:space="preserve">γ*  ≈  Aᵘ · β / k.          (3)</w:t>
      </w:r>
    </w:p>
    <w:p>
      <w:pPr>
        <w:spacing w:after="160" w:line="276"/>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276"/>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276"/>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276"/>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276"/>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276"/>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276"/>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276"/>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276"/>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276"/>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276"/>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276"/>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276"/>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(3)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276"/>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276"/>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276"/>
        <w:jc w:val="both"/>
      </w:pPr>
      <w:r>
        <w:rPr>
          <w:rFonts w:ascii="Times New Roman" w:cs="Times New Roman" w:eastAsia="Times New Roman" w:hAnsi="Times New Roman"/>
        </w:rPr>
        <w:t>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276"/>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276"/>
        <w:jc w:val="both"/>
      </w:pPr>
      <w:r>
        <w:rPr>
          <w:rFonts w:ascii="Times New Roman" w:cs="Times New Roman" w:eastAsia="Times New Roman" w:hAnsi="Times New Roman"/>
        </w:rPr>
        <w:t xml:space="preserve">Equation (3)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276"/>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276"/>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276"/>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276"/>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276"/>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276"/>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
          <w:bCs/>
          <w:color w:val="000000"/>
          <w:sz w:val="24"/>
          <w:szCs w:val="24"/>
        </w:rPr>
        <w:t xml:space="preserve">10.2 Implications</w:t>
      </w:r>
    </w:p>
    <w:p>
      <w:pPr>
        <w:spacing w:after="160" w:line="276"/>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
          <w:bCs/>
          <w:color w:val="000000"/>
          <w:sz w:val="24"/>
          <w:szCs w:val="24"/>
        </w:rPr>
        <w:t xml:space="preserve">10.3 Limitations</w:t>
      </w:r>
    </w:p>
    <w:p>
      <w:pPr>
        <w:spacing w:after="160" w:line="276"/>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276"/>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276"/>
        <w:jc w:val="both"/>
      </w:pPr>
      <w:r>
        <w:rPr>
          <w:rFonts w:ascii="Times New Roman" w:cs="Times New Roman" w:eastAsia="Times New Roman" w:hAnsi="Times New Roman"/>
        </w:rPr>
        <w:t>All data are public (Eurostat, Statistics Canada,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276"/>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276"/>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276"/>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