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Title page</w:t>
      </w:r>
    </w:p>
    <w:p>
      <w:pPr>
        <w:keepNext w:val="0"/>
        <w:spacing w:after="40" w:line="312" w:lineRule="auto"/>
        <w:jc w:val="left"/>
      </w:pPr>
      <w:r>
        <w:rPr>
          <w:rFonts w:ascii="Times New Roman" w:hAnsi="Times New Roman" w:eastAsia="Times New Roman"/>
          <w:b/>
          <w:i w:val="0"/>
        </w:rPr>
        <w:t>Title</w:t>
      </w:r>
    </w:p>
    <w:p>
      <w:pPr>
        <w:keepNext w:val="0"/>
        <w:spacing w:after="240" w:line="312" w:lineRule="auto"/>
        <w:jc w:val="left"/>
      </w:pPr>
      <w:r>
        <w:rPr>
          <w:rFonts w:ascii="Times New Roman" w:hAnsi="Times New Roman" w:eastAsia="Times New Roman"/>
          <w:b w:val="0"/>
          <w:i w:val="0"/>
        </w:rPr>
        <w:t>Is the sampling temperature the agent's decision state? A reference-based indicator and its comparison with entropy, calibration and semantic entropy</w:t>
      </w:r>
    </w:p>
    <w:p>
      <w:pPr>
        <w:keepNext w:val="0"/>
        <w:spacing w:after="40" w:line="312" w:lineRule="auto"/>
        <w:jc w:val="left"/>
      </w:pPr>
      <w:r>
        <w:rPr>
          <w:rFonts w:ascii="Times New Roman" w:hAnsi="Times New Roman" w:eastAsia="Times New Roman"/>
          <w:b/>
          <w:i w:val="0"/>
        </w:rPr>
        <w:t>Author</w:t>
      </w:r>
    </w:p>
    <w:p>
      <w:pPr>
        <w:keepNext w:val="0"/>
        <w:spacing w:after="240" w:line="312" w:lineRule="auto"/>
        <w:jc w:val="left"/>
      </w:pPr>
      <w:r>
        <w:rPr>
          <w:rFonts w:ascii="Times New Roman" w:hAnsi="Times New Roman" w:eastAsia="Times New Roman"/>
          <w:b w:val="0"/>
          <w:i w:val="0"/>
        </w:rPr>
        <w:t>Ook Lee</w:t>
      </w:r>
    </w:p>
    <w:p>
      <w:pPr>
        <w:keepNext w:val="0"/>
        <w:spacing w:after="40" w:line="312" w:lineRule="auto"/>
        <w:jc w:val="left"/>
      </w:pPr>
      <w:r>
        <w:rPr>
          <w:rFonts w:ascii="Times New Roman" w:hAnsi="Times New Roman" w:eastAsia="Times New Roman"/>
          <w:b/>
          <w:i w:val="0"/>
        </w:rPr>
        <w:t>Affiliation</w:t>
      </w:r>
    </w:p>
    <w:p>
      <w:pPr>
        <w:keepNext w:val="0"/>
        <w:spacing w:after="240" w:line="312" w:lineRule="auto"/>
        <w:jc w:val="left"/>
      </w:pPr>
      <w:r>
        <w:rPr>
          <w:rFonts w:ascii="Times New Roman" w:hAnsi="Times New Roman" w:eastAsia="Times New Roman"/>
          <w:b w:val="0"/>
          <w:i w:val="0"/>
        </w:rPr>
        <w:t>Department of Information System, Hanyang University, Seoul, Korea</w:t>
      </w:r>
    </w:p>
    <w:p>
      <w:pPr>
        <w:keepNext w:val="0"/>
        <w:spacing w:after="40" w:line="312" w:lineRule="auto"/>
        <w:jc w:val="left"/>
      </w:pPr>
      <w:r>
        <w:rPr>
          <w:rFonts w:ascii="Times New Roman" w:hAnsi="Times New Roman" w:eastAsia="Times New Roman"/>
          <w:b/>
          <w:i w:val="0"/>
        </w:rPr>
        <w:t>Corresponding author</w:t>
      </w:r>
    </w:p>
    <w:p>
      <w:pPr>
        <w:keepNext w:val="0"/>
        <w:spacing w:after="240" w:line="312" w:lineRule="auto"/>
        <w:jc w:val="left"/>
      </w:pPr>
      <w:r>
        <w:rPr>
          <w:rFonts w:ascii="Times New Roman" w:hAnsi="Times New Roman" w:eastAsia="Times New Roman"/>
          <w:b w:val="0"/>
          <w:i w:val="0"/>
        </w:rPr>
        <w:t>Ook Lee, Department of Information System, Hanyang University, Seoul, Korea. E-mail: ooklee@hanyang.ac.kr</w:t>
      </w:r>
    </w:p>
    <w:p>
      <w:pPr>
        <w:keepNext w:val="0"/>
        <w:spacing w:after="40" w:line="312" w:lineRule="auto"/>
        <w:jc w:val="left"/>
      </w:pPr>
      <w:r>
        <w:rPr>
          <w:rFonts w:ascii="Times New Roman" w:hAnsi="Times New Roman" w:eastAsia="Times New Roman"/>
          <w:b/>
          <w:i w:val="0"/>
        </w:rPr>
        <w:t>Keywords</w:t>
      </w:r>
    </w:p>
    <w:p>
      <w:pPr>
        <w:keepNext w:val="0"/>
        <w:spacing w:after="120" w:line="312" w:lineRule="auto"/>
        <w:jc w:val="left"/>
      </w:pPr>
      <w:r>
        <w:rPr>
          <w:rFonts w:ascii="Times New Roman" w:hAnsi="Times New Roman" w:eastAsia="Times New Roman"/>
          <w:b w:val="0"/>
          <w:i w:val="0"/>
        </w:rPr>
        <w:t>large language models; LLM agents; sampling temperature; effective decision temperature; quantal response; uncertainty estimation; calibration; semantic entropy; reliability monitoring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