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20" w:line="312" w:lineRule="auto"/>
        <w:jc w:val="left"/>
      </w:pPr>
      <w:r>
        <w:rPr>
          <w:rFonts w:ascii="Times New Roman" w:hAnsi="Times New Roman" w:eastAsia="Times New Roman"/>
          <w:b w:val="0"/>
          <w:i w:val="0"/>
        </w:rPr>
        <w:t>[Date]</w:t>
      </w:r>
    </w:p>
    <w:p>
      <w:pPr>
        <w:keepNext w:val="0"/>
        <w:spacing w:after="0" w:line="312" w:lineRule="auto"/>
        <w:jc w:val="left"/>
      </w:pPr>
      <w:r>
        <w:rPr>
          <w:rFonts w:ascii="Times New Roman" w:hAnsi="Times New Roman" w:eastAsia="Times New Roman"/>
          <w:b w:val="0"/>
          <w:i w:val="0"/>
        </w:rPr>
        <w:t>The Editor-in-Chief</w:t>
      </w:r>
    </w:p>
    <w:p>
      <w:pPr>
        <w:keepNext w:val="0"/>
        <w:spacing w:after="120" w:line="312" w:lineRule="auto"/>
        <w:jc w:val="left"/>
      </w:pPr>
      <w:r>
        <w:rPr>
          <w:rFonts w:ascii="Times New Roman" w:hAnsi="Times New Roman" w:eastAsia="Times New Roman"/>
          <w:b w:val="0"/>
          <w:i w:val="0"/>
        </w:rPr>
        <w:t>Expert Systems with Applications</w:t>
      </w:r>
    </w:p>
    <w:p>
      <w:pPr>
        <w:keepNext w:val="0"/>
        <w:spacing w:after="120" w:line="312" w:lineRule="auto"/>
        <w:jc w:val="left"/>
      </w:pPr>
      <w:r>
        <w:rPr>
          <w:rFonts w:ascii="Times New Roman" w:hAnsi="Times New Roman" w:eastAsia="Times New Roman"/>
          <w:b w:val="0"/>
          <w:i w:val="0"/>
        </w:rPr>
        <w:t>Dear Editor-in-Chief,</w:t>
      </w:r>
    </w:p>
    <w:p>
      <w:pPr>
        <w:keepNext w:val="0"/>
        <w:spacing w:after="120" w:line="312" w:lineRule="auto"/>
        <w:jc w:val="both"/>
      </w:pPr>
      <w:r>
        <w:rPr>
          <w:rFonts w:ascii="Times New Roman" w:hAnsi="Times New Roman" w:eastAsia="Times New Roman"/>
          <w:b w:val="0"/>
          <w:i w:val="0"/>
        </w:rPr>
        <w:t>Please find enclosed our manuscript, “Is the sampling temperature the agent's decision state? A reference-based indicator and its comparison with entropy, calibration and semantic entropy”, which we submit for consideration as a research article in Expert Systems with Applications.</w:t>
      </w:r>
    </w:p>
    <w:p>
      <w:pPr>
        <w:keepNext w:val="0"/>
        <w:spacing w:after="120" w:line="312" w:lineRule="auto"/>
        <w:jc w:val="both"/>
      </w:pPr>
      <w:r>
        <w:rPr>
          <w:rFonts w:ascii="Times New Roman" w:hAnsi="Times New Roman" w:eastAsia="Times New Roman"/>
          <w:b w:val="0"/>
          <w:i w:val="0"/>
        </w:rPr>
        <w:t>Large language model (LLM) agents are increasingly built into intelligent systems, and their reliability is usually managed through the decoding temperature and through accuracy testing. The manuscript asks whether the temperature set by the operator describes the state in which the agent actually makes its choices. We define a reference-based indicator, the effective decision temperature, state the conditions under which it is and is not identified, and test it on a synthetic agent and on open-weight models from three families. The tests use ordered-list tasks in which an off-path attractor of graded strength is planted in the context. We compare the indicator with token entropy, confidence, expected calibration error and a discrete semantic entropy.</w:t>
      </w:r>
    </w:p>
    <w:p>
      <w:pPr>
        <w:keepNext w:val="0"/>
        <w:spacing w:after="120" w:line="312" w:lineRule="auto"/>
        <w:jc w:val="both"/>
      </w:pPr>
      <w:r>
        <w:rPr>
          <w:rFonts w:ascii="Times New Roman" w:hAnsi="Times New Roman" w:eastAsia="Times New Roman"/>
          <w:b w:val="0"/>
          <w:i w:val="0"/>
        </w:rPr>
        <w:t>We believe the work fits the scope of the journal, which covers the design, testing and management of expert and intelligent systems, because it concerns the monitoring of LLM components that now form part of such systems. The findings are mixed, and we have reported them as such. An interior accuracy peak appears for attractors of intermediate strength. Pressure raises the indicator in the Qwen models but not in Llama-3.2-3B. The indicator does not outperform simpler detectors, and all label-free indicators miss fully locked-in agents. We think this model-dependent and partly negative evidence is useful to practitioners who plan to rely on such indicators.</w:t>
      </w:r>
    </w:p>
    <w:p>
      <w:pPr>
        <w:keepNext w:val="0"/>
        <w:spacing w:after="120" w:line="312" w:lineRule="auto"/>
        <w:jc w:val="both"/>
      </w:pPr>
      <w:r>
        <w:rPr>
          <w:rFonts w:ascii="Times New Roman" w:hAnsi="Times New Roman" w:eastAsia="Times New Roman"/>
          <w:b w:val="0"/>
          <w:i w:val="0"/>
        </w:rPr>
        <w:t>The manuscript is original, has not been published previously, and is not under consideration elsewhere. A declaration on the use of generative AI is included in the manuscript, in line with the journal's policy. [Authors: confirm that all authors have approved the submission, and complete the declarations of interest and funding.]</w:t>
      </w:r>
    </w:p>
    <w:p>
      <w:pPr>
        <w:keepNext w:val="0"/>
        <w:spacing w:after="120" w:line="312" w:lineRule="auto"/>
        <w:jc w:val="both"/>
      </w:pPr>
      <w:r>
        <w:rPr>
          <w:rFonts w:ascii="Times New Roman" w:hAnsi="Times New Roman" w:eastAsia="Times New Roman"/>
          <w:b w:val="0"/>
          <w:i w:val="0"/>
        </w:rPr>
        <w:t>Suggested reviewers: [name, affiliation, e-mail] (three to five, none from the authors' institutions).</w:t>
      </w:r>
    </w:p>
    <w:p>
      <w:pPr>
        <w:keepNext w:val="0"/>
        <w:spacing w:after="120" w:line="312" w:lineRule="auto"/>
        <w:jc w:val="both"/>
      </w:pPr>
      <w:r>
        <w:rPr>
          <w:rFonts w:ascii="Times New Roman" w:hAnsi="Times New Roman" w:eastAsia="Times New Roman"/>
          <w:b w:val="0"/>
          <w:i w:val="0"/>
        </w:rPr>
        <w:t>Thank you for considering our work.</w:t>
      </w:r>
    </w:p>
    <w:p>
      <w:pPr>
        <w:keepNext w:val="0"/>
        <w:spacing w:after="0" w:line="312" w:lineRule="auto"/>
        <w:jc w:val="left"/>
      </w:pPr>
      <w:r>
        <w:rPr>
          <w:rFonts w:ascii="Times New Roman" w:hAnsi="Times New Roman" w:eastAsia="Times New Roman"/>
          <w:b w:val="0"/>
          <w:i w:val="0"/>
        </w:rPr>
        <w:t>Sincerely,</w:t>
      </w:r>
    </w:p>
    <w:p>
      <w:pPr>
        <w:keepNext w:val="0"/>
        <w:spacing w:after="120" w:line="312" w:lineRule="auto"/>
        <w:jc w:val="left"/>
      </w:pPr>
      <w:r>
        <w:rPr>
          <w:rFonts w:ascii="Times New Roman" w:hAnsi="Times New Roman" w:eastAsia="Times New Roman"/>
          <w:b w:val="0"/>
          <w:i w:val="0"/>
        </w:rPr>
        <w:t>[Corresponding author name, affiliation, e-mail]</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