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Override PartName="/word/media/rId24.jpg" ContentType="image/jpeg"/>
  <Override PartName="/word/media/rId34.jpg" ContentType="image/jpeg"/>
  <Override PartName="/word/media/rId38.jpg" ContentType="image/jpe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the</w:t>
      </w:r>
      <w:r>
        <w:t xml:space="preserve"> </w:t>
      </w:r>
      <w:r>
        <w:t xml:space="preserve">Platform</w:t>
      </w:r>
      <w:r>
        <w:t xml:space="preserve"> </w:t>
      </w:r>
      <w:r>
        <w:t xml:space="preserve">Moves</w:t>
      </w:r>
      <w:r>
        <w:t xml:space="preserve"> </w:t>
      </w:r>
      <w:r>
        <w:t xml:space="preserve">Underneath:</w:t>
      </w:r>
      <w:r>
        <w:t xml:space="preserve"> </w:t>
      </w:r>
      <w:r>
        <w:t xml:space="preserve">Maintaining</w:t>
      </w:r>
      <w:r>
        <w:t xml:space="preserve"> </w:t>
      </w:r>
      <w:r>
        <w:t xml:space="preserve">Complementary</w:t>
      </w:r>
      <w:r>
        <w:t xml:space="preserve"> </w:t>
      </w:r>
      <w:r>
        <w:t xml:space="preserve">IT</w:t>
      </w:r>
      <w:r>
        <w:t xml:space="preserve"> </w:t>
      </w:r>
      <w:r>
        <w:t xml:space="preserve">Assets</w:t>
      </w:r>
      <w:r>
        <w:t xml:space="preserve"> </w:t>
      </w:r>
      <w:r>
        <w:t xml:space="preserve">under</w:t>
      </w:r>
      <w:r>
        <w:t xml:space="preserve"> </w:t>
      </w:r>
      <w:r>
        <w:t xml:space="preserve">Endogenous</w:t>
      </w:r>
      <w:r>
        <w:t xml:space="preserve"> </w:t>
      </w:r>
      <w:r>
        <w:t xml:space="preserve">Release</w:t>
      </w:r>
      <w:r>
        <w:t xml:space="preserve"> </w:t>
      </w:r>
      <w:r>
        <w:t xml:space="preserve">Cadence</w:t>
      </w:r>
    </w:p>
    <w:p>
      <w:pPr>
        <w:pStyle w:val="FirstParagraph"/>
      </w:pPr>
      <w:r>
        <w:rPr>
          <w:bCs/>
          <w:b/>
        </w:rPr>
        <w:t xml:space="preserve">Target journal:</w:t>
      </w:r>
      <w:r>
        <w:t xml:space="preserve"> </w:t>
      </w:r>
      <w:r>
        <w:rPr>
          <w:iCs/>
          <w:i/>
        </w:rPr>
        <w:t xml:space="preserve">Information Systems Research</w:t>
      </w:r>
      <w:r>
        <w:t xml:space="preserve"> </w:t>
      </w:r>
      <w:r>
        <w:t xml:space="preserve">(anonymized manuscript; no author information)</w:t>
      </w:r>
    </w:p>
    <w:p>
      <w:pPr>
        <w:pStyle w:val="BodyText"/>
      </w:pPr>
      <w:r>
        <w:rPr>
          <w:bCs/>
          <w:b/>
        </w:rPr>
        <w:t xml:space="preserve">Keywords:</w:t>
      </w:r>
      <w:r>
        <w:t xml:space="preserve"> </w:t>
      </w:r>
      <w:r>
        <w:t xml:space="preserve">platform evolution; post-adoption maintenance; real options; compatibility; foundation models; release cadence; complementary assets; platform competition</w:t>
      </w:r>
    </w:p>
    <w:bookmarkStart w:id="20" w:name="abstract"/>
    <w:p>
      <w:pPr>
        <w:pStyle w:val="Heading2"/>
      </w:pPr>
      <w:r>
        <w:t xml:space="preserve">Abstract</w:t>
      </w:r>
    </w:p>
    <w:p>
      <w:pPr>
        <w:pStyle w:val="FirstParagraph"/>
      </w:pPr>
      <w:r>
        <w:t xml:space="preserve">Firms increasingly build complementary IT assets, such as fine-tuned adapters, on foundation-model platforms that they do not control, and every platform upgrade destroys some or all of that value. We study this post-adoption maintenance problem as an interaction between the adopter’s real-option decision and the platform owner’s choice of release cadence and compatibility support. At each upgrade a firm can copy its asset, which is free but imperfect, transfer it with a costly compatibility tool that recovers a share</w:t>
      </w:r>
      <w:r>
        <w:t xml:space="preserve"> </w:t>
      </w:r>
      <m:oMath>
        <m:r>
          <m:t>R</m:t>
        </m:r>
      </m:oMath>
      <w:r>
        <w:t xml:space="preserve"> </w:t>
      </w:r>
      <w:r>
        <w:t xml:space="preserve">of its value, or retrain it, an irreversible investment that expires at the next upgrade. The retraining threshold rises with the recovery rate as</w:t>
      </w:r>
      <w:r>
        <w:t xml:space="preserve"> </w:t>
      </w:r>
      <m:oMath>
        <m:r>
          <m:t>1</m:t>
        </m:r>
        <m:r>
          <m:rPr>
            <m:sty m:val="p"/>
          </m:rPr>
          <m:t>/</m:t>
        </m:r>
        <m:d>
          <m:dPr>
            <m:begChr m:val="("/>
            <m:endChr m:val=")"/>
            <m:sepChr m:val=""/>
            <m:grow/>
          </m:dPr>
          <m:e>
            <m:r>
              <m:t>1</m:t>
            </m:r>
            <m:r>
              <m:rPr>
                <m:sty m:val="p"/>
              </m:rPr>
              <m:t>−</m:t>
            </m:r>
            <m:r>
              <m:t>R</m:t>
            </m:r>
          </m:e>
        </m:d>
      </m:oMath>
      <w:r>
        <w:t xml:space="preserve"> </w:t>
      </w:r>
      <w:r>
        <w:t xml:space="preserve">and also with upgrade intensity and value volatility. A free copy weakly dominates immediate retraining, and a costly tool is optimal only for assets of intermediate value and only when its cost falls below a bound</w:t>
      </w:r>
      <w:r>
        <w:t xml:space="preserve"> </w:t>
      </w:r>
      <m:oMath>
        <m:r>
          <m:t>Γ</m:t>
        </m:r>
      </m:oMath>
      <w:r>
        <w:t xml:space="preserve">. When the platform owner chooses how often to release, an owner that captures part of enterprise surplus over-releases if and only if the average customer is harmed at the margin by a faster clock. Compatibility tools and release speed are strategic complements for any distribution of asset values, so better tools invite faster release and can leave firms that retrain anyway worse off. Under logit duopoly with a release race, each owner internalizes exactly one-third of the marginal change in customer surplus, and numerical analysis shows that an intermediate race separates owners into a fast, compatible frontier platform and a slow, stable one. Release histories of six open-weight model families imply about two main-line versions per year. Recovery measured on open model pairs of 160M to 3B parameters, on three tasks, falls with the size of the upgrade, and a costly transfer method has room to pay in only two of 24 pair-task combinations. The practical rule that follows is to copy by default, to buy a transfer tool only when its measured cost is below</w:t>
      </w:r>
      <w:r>
        <w:t xml:space="preserve"> </w:t>
      </w:r>
      <m:oMath>
        <m:r>
          <m:t>Γ</m:t>
        </m:r>
      </m:oMath>
      <w:r>
        <w:t xml:space="preserve">, and to read the arrival of owner-provided compatibility tooling as a signal of faster release. Compatibility tooling is thus a governance variable that the platform owner sets jointly with the pace of change.</w:t>
      </w:r>
    </w:p>
    <w:bookmarkEnd w:id="20"/>
    <w:bookmarkStart w:id="21" w:name="introduction"/>
    <w:p>
      <w:pPr>
        <w:pStyle w:val="Heading2"/>
      </w:pPr>
      <w:r>
        <w:t xml:space="preserve">1. Introduction</w:t>
      </w:r>
    </w:p>
    <w:p>
      <w:pPr>
        <w:pStyle w:val="FirstParagraph"/>
      </w:pPr>
      <w:r>
        <w:t xml:space="preserve">Information systems research has long treated platforms as bundles of options for the firms that build on them (Fichman 2004), and it has examined how platform owners govern architecture and the boundary between the platform and its complements (Tiwana et al. 2010, Ghazawneh and Henfridsson 2013). Less attention has gone to what happens</w:t>
      </w:r>
      <w:r>
        <w:t xml:space="preserve"> </w:t>
      </w:r>
      <w:r>
        <w:rPr>
          <w:iCs/>
          <w:i/>
        </w:rPr>
        <w:t xml:space="preserve">after</w:t>
      </w:r>
      <w:r>
        <w:t xml:space="preserve"> </w:t>
      </w:r>
      <w:r>
        <w:t xml:space="preserve">adoption, when the platform is replaced beneath assets that the adopter has already built. Foundation models make the question concrete. A fine-tuned low-rank adapter is cheap to train on a given base model, yet as a weight file it is worthless on the next one, and open-weight families ship roughly two main-line versions a year. The usual engineering response is to retrain every adapter at every upgrade. That response takes the platform’s clock as a fact of nature and the firm’s cost as a sunk operating expense, and both assumptions are questionable. The problem belongs to information systems research because it concerns the maintenance of IT assets that depend on a platform someone else controls.</w:t>
      </w:r>
    </w:p>
    <w:p>
      <w:pPr>
        <w:pStyle w:val="BodyText"/>
      </w:pPr>
      <w:r>
        <w:t xml:space="preserve">Retraining is an irreversible investment with an uncertain payoff, and its useful life ends when the platform owner ships again. This is the textbook setting for real options (McDonald and Siegel 1986, Dixit and Pindyck 1994): the right to wait has value. Tools that move an adapter to a new base model without the original training data alter the option. They buy a recovery rate</w:t>
      </w:r>
      <w:r>
        <w:t xml:space="preserve"> </w:t>
      </w:r>
      <m:oMath>
        <m:r>
          <m:t>R</m:t>
        </m:r>
      </m:oMath>
      <w:r>
        <w:t xml:space="preserve"> </w:t>
      </w:r>
      <w:r>
        <w:t xml:space="preserve">at a cost</w:t>
      </w:r>
      <w:r>
        <w:t xml:space="preserve"> </w:t>
      </w:r>
      <m:oMath>
        <m:r>
          <m:t>C</m:t>
        </m:r>
      </m:oMath>
      <w:r>
        <w:t xml:space="preserve"> </w:t>
      </w:r>
      <w:r>
        <w:t xml:space="preserve">and shift the exercise threshold. A free, naive copy of the adapter weights is itself such a tool, with</w:t>
      </w:r>
      <w:r>
        <w:t xml:space="preserve"> </w:t>
      </w:r>
      <m:oMath>
        <m:r>
          <m:t>C</m:t>
        </m:r>
        <m:r>
          <m:rPr>
            <m:sty m:val="p"/>
          </m:rPr>
          <m:t>=</m:t>
        </m:r>
        <m:r>
          <m:t>0</m:t>
        </m:r>
      </m:oMath>
      <w:r>
        <w:t xml:space="preserve">.</w:t>
      </w:r>
    </w:p>
    <w:p>
      <w:pPr>
        <w:pStyle w:val="BodyText"/>
      </w:pPr>
      <w:r>
        <w:t xml:space="preserve">The clock, however, is chosen by someone. Platform owners release to win benchmarks, developers, and publicity, and much of the cost of each release falls on enterprise customers. Compatibility tools restore part of the option that a release destroys, and for that very reason they change the owner’s incentive to destroy it. Better compatibility is therefore a mixed blessing for the firms that use it. It invites faster release, and firms that would have retrained anyway then face a higher cadence and can end up worse off.</w:t>
      </w:r>
    </w:p>
    <w:p>
      <w:pPr>
        <w:pStyle w:val="BodyText"/>
      </w:pPr>
      <w:r>
        <w:t xml:space="preserve">We ask three questions. First, given an exogenous release intensity, when should a firm copy, transfer, or retrain a complementary asset that expires at the next upgrade? Second, when the platform owner chooses the intensity, and possibly compatibility as well, does it release too often, and how does transfer technology feed back into that choice? Third, if owners compete for enterprise customers and for a general-market prize tied to release speed, how much of the change in customer surplus do they internalize, and can they differentiate on a speed–compatibility bundle?</w:t>
      </w:r>
    </w:p>
    <w:p>
      <w:pPr>
        <w:pStyle w:val="BodyText"/>
      </w:pPr>
      <w:r>
        <w:rPr>
          <w:bCs/>
          <w:b/>
        </w:rPr>
        <w:t xml:space="preserve">Summary of results.</w:t>
      </w:r>
      <w:r>
        <w:t xml:space="preserve"> </w:t>
      </w:r>
      <w:r>
        <w:t xml:space="preserve">Table 1 lists the results, the intuition behind each, and what each implies for information systems research and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Intuition</w:t>
            </w:r>
          </w:p>
        </w:tc>
        <w:tc>
          <w:tcPr/>
          <w:p>
            <w:pPr>
              <w:pStyle w:val="Compact"/>
              <w:jc w:val="left"/>
            </w:pPr>
            <w:r>
              <w:t xml:space="preserve">Implication for IS</w:t>
            </w:r>
          </w:p>
        </w:tc>
      </w:tr>
      <w:tr>
        <w:tc>
          <w:tcPr/>
          <w:p>
            <w:pPr>
              <w:pStyle w:val="Compact"/>
              <w:jc w:val="left"/>
            </w:pPr>
            <w:r>
              <w:t xml:space="preserve">The retraining threshold is proportional to</w:t>
            </w:r>
            <w:r>
              <w:t xml:space="preserve"> </w:t>
            </w:r>
            <m:oMath>
              <m:r>
                <m:t>1</m:t>
              </m:r>
              <m:r>
                <m:rPr>
                  <m:sty m:val="p"/>
                </m:rPr>
                <m:t>/</m:t>
              </m:r>
              <m:d>
                <m:dPr>
                  <m:begChr m:val="("/>
                  <m:endChr m:val=")"/>
                  <m:sepChr m:val=""/>
                  <m:grow/>
                </m:dPr>
                <m:e>
                  <m:r>
                    <m:t>1</m:t>
                  </m:r>
                  <m:r>
                    <m:rPr>
                      <m:sty m:val="p"/>
                    </m:rPr>
                    <m:t>−</m:t>
                  </m:r>
                  <m:r>
                    <m:t>R</m:t>
                  </m:r>
                </m:e>
              </m:d>
            </m:oMath>
            <w:r>
              <w:t xml:space="preserve"> </w:t>
            </w:r>
            <w:r>
              <w:t xml:space="preserve">and rises with upgrade intensity and volatility; a free copy weakly dominates immediate retraining (Props. 1–2)</w:t>
            </w:r>
          </w:p>
        </w:tc>
        <w:tc>
          <w:tcPr/>
          <w:p>
            <w:pPr>
              <w:pStyle w:val="Compact"/>
              <w:jc w:val="left"/>
            </w:pPr>
            <w:r>
              <w:t xml:space="preserve">Waiting is valuable when the asset can be partly rescued and may be rescued again</w:t>
            </w:r>
          </w:p>
        </w:tc>
        <w:tc>
          <w:tcPr/>
          <w:p>
            <w:pPr>
              <w:pStyle w:val="Compact"/>
              <w:jc w:val="left"/>
            </w:pPr>
            <w:r>
              <w:t xml:space="preserve">Copy first; do not retrain by default, and triage assets by value relative to retraining cost</w:t>
            </w:r>
          </w:p>
        </w:tc>
      </w:tr>
      <w:tr>
        <w:tc>
          <w:tcPr/>
          <w:p>
            <w:pPr>
              <w:pStyle w:val="Compact"/>
              <w:jc w:val="left"/>
            </w:pPr>
            <w:r>
              <w:t xml:space="preserve">A costly tool is optimal only in an intermediate band of values and only if its cost is below</w:t>
            </w:r>
            <w:r>
              <w:t xml:space="preserve"> </w:t>
            </w:r>
            <m:oMath>
              <m:r>
                <m:t>Γ</m:t>
              </m:r>
            </m:oMath>
            <w:r>
              <w:t xml:space="preserve"> </w:t>
            </w:r>
            <w:r>
              <w:t xml:space="preserve">(Prop. 2b)</w:t>
            </w:r>
          </w:p>
        </w:tc>
        <w:tc>
          <w:tcPr/>
          <w:p>
            <w:pPr>
              <w:pStyle w:val="Compact"/>
              <w:jc w:val="left"/>
            </w:pPr>
            <w:r>
              <w:t xml:space="preserve">Low-value assets are served by copy and high-value assets are retrained anyway</w:t>
            </w:r>
          </w:p>
        </w:tc>
        <w:tc>
          <w:tcPr/>
          <w:p>
            <w:pPr>
              <w:pStyle w:val="Compact"/>
              <w:jc w:val="left"/>
            </w:pPr>
            <w:r>
              <w:t xml:space="preserve">Default to free copy; buy a compatibility tool only if its measured cost is below</w:t>
            </w:r>
            <w:r>
              <w:t xml:space="preserve"> </w:t>
            </w:r>
            <m:oMath>
              <m:r>
                <m:t>Γ</m:t>
              </m:r>
            </m:oMath>
          </w:p>
        </w:tc>
      </w:tr>
      <w:tr>
        <w:tc>
          <w:tcPr/>
          <w:p>
            <w:pPr>
              <w:pStyle w:val="Compact"/>
              <w:jc w:val="left"/>
            </w:pPr>
            <w:r>
              <w:t xml:space="preserve">A revenue-sharing owner over-releases iff the average customer is harmed at the margin (Prop. 3)</w:t>
            </w:r>
          </w:p>
        </w:tc>
        <w:tc>
          <w:tcPr/>
          <w:p>
            <w:pPr>
              <w:pStyle w:val="Compact"/>
              <w:jc w:val="left"/>
            </w:pPr>
            <w:r>
              <w:t xml:space="preserve">The owner internalizes only share</w:t>
            </w:r>
            <w:r>
              <w:t xml:space="preserve"> </w:t>
            </w:r>
            <m:oMath>
              <m:r>
                <m:t>θ</m:t>
              </m:r>
            </m:oMath>
            <w:r>
              <w:t xml:space="preserve"> </w:t>
            </w:r>
            <w:r>
              <w:t xml:space="preserve">of the burden it imposes</w:t>
            </w:r>
          </w:p>
        </w:tc>
        <w:tc>
          <w:tcPr/>
          <w:p>
            <w:pPr>
              <w:pStyle w:val="Compact"/>
              <w:jc w:val="left"/>
            </w:pPr>
            <w:r>
              <w:t xml:space="preserve">Release cadence is a governance variable with welfare consequences</w:t>
            </w:r>
          </w:p>
        </w:tc>
      </w:tr>
      <w:tr>
        <w:tc>
          <w:tcPr/>
          <w:p>
            <w:pPr>
              <w:pStyle w:val="Compact"/>
              <w:jc w:val="left"/>
            </w:pPr>
            <w:r>
              <w:t xml:space="preserve">Compatibility and cadence are strategic complements for any distribution of values (Props. 4a, 6)</w:t>
            </w:r>
          </w:p>
        </w:tc>
        <w:tc>
          <w:tcPr/>
          <w:p>
            <w:pPr>
              <w:pStyle w:val="Compact"/>
              <w:jc w:val="left"/>
            </w:pPr>
            <w:r>
              <w:t xml:space="preserve">Easier transfer lowers the marginal burden of a release</w:t>
            </w:r>
          </w:p>
        </w:tc>
        <w:tc>
          <w:tcPr/>
          <w:p>
            <w:pPr>
              <w:pStyle w:val="Compact"/>
              <w:jc w:val="left"/>
            </w:pPr>
            <w:r>
              <w:t xml:space="preserve">Owner-provided migration tools should be read as a signal of faster release</w:t>
            </w:r>
          </w:p>
        </w:tc>
      </w:tr>
      <w:tr>
        <w:tc>
          <w:tcPr/>
          <w:p>
            <w:pPr>
              <w:pStyle w:val="Compact"/>
              <w:jc w:val="left"/>
            </w:pPr>
            <w:r>
              <w:t xml:space="preserve">Better transfer helps mid-value transferring firms and hurts firms that retrain anyway (Prop. 4b)</w:t>
            </w:r>
          </w:p>
        </w:tc>
        <w:tc>
          <w:tcPr/>
          <w:p>
            <w:pPr>
              <w:pStyle w:val="Compact"/>
              <w:jc w:val="left"/>
            </w:pPr>
            <w:r>
              <w:t xml:space="preserve">The cadence effect dominates for firms that cannot use the tool</w:t>
            </w:r>
          </w:p>
        </w:tc>
        <w:tc>
          <w:tcPr/>
          <w:p>
            <w:pPr>
              <w:pStyle w:val="Compact"/>
              <w:jc w:val="left"/>
            </w:pPr>
            <w:r>
              <w:t xml:space="preserve">Contractual release caps or long-term-support lines can be worth more than a better converter for high-value assets</w:t>
            </w:r>
          </w:p>
        </w:tc>
      </w:tr>
      <w:tr>
        <w:tc>
          <w:tcPr/>
          <w:p>
            <w:pPr>
              <w:pStyle w:val="Compact"/>
              <w:jc w:val="left"/>
            </w:pPr>
            <w:r>
              <w:t xml:space="preserve">Under logit duopoly each owner internalizes exactly one-third of the marginal change in customer surplus (Prop. 5)</w:t>
            </w:r>
          </w:p>
        </w:tc>
        <w:tc>
          <w:tcPr/>
          <w:p>
            <w:pPr>
              <w:pStyle w:val="Compact"/>
              <w:jc w:val="left"/>
            </w:pPr>
            <w:r>
              <w:t xml:space="preserve">A logit price response splits a quality shock one-third to price and one-third to share</w:t>
            </w:r>
          </w:p>
        </w:tc>
        <w:tc>
          <w:tcPr/>
          <w:p>
            <w:pPr>
              <w:pStyle w:val="Compact"/>
              <w:jc w:val="left"/>
            </w:pPr>
            <w:r>
              <w:t xml:space="preserve">Competition does not remove over-release; it caps internalization</w:t>
            </w:r>
          </w:p>
        </w:tc>
      </w:tr>
      <w:tr>
        <w:tc>
          <w:tcPr/>
          <w:p>
            <w:pPr>
              <w:pStyle w:val="Compact"/>
              <w:jc w:val="left"/>
            </w:pPr>
            <w:r>
              <w:t xml:space="preserve">A numerical intermediate race yields a fast, compatible frontier owner and a slow, stable one (Numerical Finding 1)</w:t>
            </w:r>
          </w:p>
        </w:tc>
        <w:tc>
          <w:tcPr/>
          <w:p>
            <w:pPr>
              <w:pStyle w:val="Compact"/>
              <w:jc w:val="left"/>
            </w:pPr>
            <w:r>
              <w:t xml:space="preserve">Cadence and compatibility are a bundle along which owners can separate</w:t>
            </w:r>
          </w:p>
        </w:tc>
        <w:tc>
          <w:tcPr/>
          <w:p>
            <w:pPr>
              <w:pStyle w:val="Compact"/>
              <w:jc w:val="left"/>
            </w:pPr>
            <w:r>
              <w:t xml:space="preserve">Segment assets across frontier and stable platforms</w:t>
            </w:r>
          </w:p>
        </w:tc>
      </w:tr>
    </w:tbl>
    <w:p>
      <w:pPr>
        <w:pStyle w:val="BodyText"/>
      </w:pPr>
      <w:r>
        <w:rPr>
          <w:iCs/>
          <w:i/>
        </w:rPr>
        <w:t xml:space="preserve">Table 1. Summary of results.</w:t>
      </w:r>
    </w:p>
    <w:p>
      <w:pPr>
        <w:pStyle w:val="BodyText"/>
      </w:pPr>
      <w:r>
        <w:rPr>
          <w:bCs/>
          <w:b/>
        </w:rPr>
        <w:t xml:space="preserve">The practical message.</w:t>
      </w:r>
      <w:r>
        <w:t xml:space="preserve"> </w:t>
      </w:r>
      <w:r>
        <w:t xml:space="preserve">The model’s central prescription is a default: when free copy recovers most of the value, copy. Retraining is warranted only for assets whose value exceeds a threshold that lies well above the NPV threshold, and a costly transfer tool pays only in a bounded intermediate band and only if its cost is below</w:t>
      </w:r>
      <w:r>
        <w:t xml:space="preserve"> </w:t>
      </w:r>
      <m:oMath>
        <m:r>
          <m:t>Γ</m:t>
        </m:r>
      </m:oMath>
      <w:r>
        <w:t xml:space="preserve">. Our measurements are consistent with this default. In 22 of the 24 pair-task combinations we tested, free copy leaves too little to gain for any costly method with a plausible cost to pay off. The exceptions are large upgrades of a 160M-parameter model on two tasks, where copy recovered 40 and 67 percent of the retraining gain, and a third task is borderline. Where copy recovers little and no tool helps, as with summarization and instruction-tuned targets, the model says to retrain. The default is thus a first step to be checked on a sample, not an unconditional rule. It argues against two habits that look prudent, retraining at every upgrade and buying compatibility tools by default.</w:t>
      </w:r>
    </w:p>
    <w:p>
      <w:pPr>
        <w:pStyle w:val="BodyText"/>
      </w:pPr>
      <w:r>
        <w:t xml:space="preserve">Two empirical inputs discipline the model, though neither is a contribution in itself. Public release dates for Llama, Gemma, Phi, Qwen, Mistral, and DeepSeek through 28 September 2026 imply a pooled primary-definition intensity of 1.97 main-line versions per year. Recovery rates measured on open model pairs, on math reasoning, summarization, and text-to-SQL, show that the size of the upgrade and the task, rather than the brand of transfer method, are the first-order determinants of</w:t>
      </w:r>
      <w:r>
        <w:t xml:space="preserve"> </w:t>
      </w:r>
      <m:oMath>
        <m:r>
          <m:t>R</m:t>
        </m:r>
      </m:oMath>
      <w:r>
        <w:t xml:space="preserve">. After small continued-training upgrades of a 160M-parameter model, a naive copy recovered 91 to 97 percent of the retraining gain on all three tasks; after a large upgrade it recovered 35 to 67 percent, depending on the task. In the larger models, copy recovered 79 to 99 percent after the large upgrade on two tasks but only 12 percent on summarization, and a costly transfer method added little beyond copy except on summarization (means over three to five seeds). We use these facts as</w:t>
      </w:r>
      <w:r>
        <w:t xml:space="preserve"> </w:t>
      </w:r>
      <m:oMath>
        <m:d>
          <m:dPr>
            <m:begChr m:val="("/>
            <m:endChr m:val=")"/>
            <m:sepChr m:val=""/>
            <m:grow/>
          </m:dPr>
          <m:e>
            <m:r>
              <m:t>R</m:t>
            </m:r>
            <m:r>
              <m:rPr>
                <m:sty m:val="p"/>
              </m:rPr>
              <m:t>,</m:t>
            </m:r>
            <m:r>
              <m:t>C</m:t>
            </m:r>
            <m:r>
              <m:rPr>
                <m:sty m:val="p"/>
              </m:rPr>
              <m:t>,</m:t>
            </m:r>
            <m:r>
              <m:t>μ</m:t>
            </m:r>
          </m:e>
        </m:d>
      </m:oMath>
      <w:r>
        <w:t xml:space="preserve"> </w:t>
      </w:r>
      <w:r>
        <w:t xml:space="preserve">inputs. The converter we used to measure one</w:t>
      </w:r>
      <w:r>
        <w:t xml:space="preserve"> </w:t>
      </w:r>
      <m:oMath>
        <m:d>
          <m:dPr>
            <m:begChr m:val="("/>
            <m:endChr m:val=")"/>
            <m:sepChr m:val=""/>
            <m:grow/>
          </m:dPr>
          <m:e>
            <m:r>
              <m:t>R</m:t>
            </m:r>
            <m:r>
              <m:rPr>
                <m:sty m:val="p"/>
              </m:rPr>
              <m:t>,</m:t>
            </m:r>
            <m:r>
              <m:t>C</m:t>
            </m:r>
          </m:e>
        </m:d>
      </m:oMath>
      <w:r>
        <w:t xml:space="preserve"> </w:t>
      </w:r>
      <w:r>
        <w:t xml:space="preserve">pair is described in the online appendix and is not a contribution of the paper.</w:t>
      </w:r>
    </w:p>
    <w:p>
      <w:pPr>
        <w:pStyle w:val="BodyText"/>
      </w:pPr>
      <w:r>
        <w:rPr>
          <w:bCs/>
          <w:b/>
        </w:rPr>
        <w:t xml:space="preserve">Contribution.</w:t>
      </w:r>
      <w:r>
        <w:t xml:space="preserve"> </w:t>
      </w:r>
      <w:r>
        <w:t xml:space="preserve">The paper makes three contributions to information systems research. First, it moves the real-options view of IT platforms (Fichman 2004, Taudes et al. 2000, Benaroch and Kauffman 1999) from the adoption decision to the post-adoption maintenance of complementary assets, and it characterizes the resulting policy regions without reference to any named algorithm. Second, it treats the platform owner as the agent that sets the rate at which the adopter’s options are destroyed. Doing so reveals a complementarity between compatibility support and release speed, with a sharp distributional implication: tools that help some customers hurt others through the cadence they induce. This extends research on platform evolution (Tiwana et al. 2010) with an explicit maintenance channel. Third, it shows how much of the change in customer surplus competing owners internalize, and that the speed–compatibility bundle is a dimension along which platforms can separate, which links platform governance to platform competition (Parker and Van Alstyne 2018, Rochet and Tirole 2003). For managers, the paper offers a maintenance policy whose qualitative regions do not depend on any particular algorithm and whose default is free copy.</w:t>
      </w:r>
    </w:p>
    <w:p>
      <w:pPr>
        <w:pStyle w:val="BodyText"/>
      </w:pPr>
      <w:r>
        <w:t xml:space="preserve">The paper proceeds as follows. Section 2 places it in the literature, and Section 3 sets up the model and presents two stylized facts. Section 4 solves the firm’s maintenance option. Sections 5 and 6 turn to a monopoly owner and to competing owners, Section 7 reports robustness checks and extensions, Section 8 draws implications for research and practice, and Section 9 concludes.</w:t>
      </w:r>
    </w:p>
    <w:bookmarkEnd w:id="21"/>
    <w:bookmarkStart w:id="22" w:name="related-literature-and-positioning"/>
    <w:p>
      <w:pPr>
        <w:pStyle w:val="Heading2"/>
      </w:pPr>
      <w:r>
        <w:t xml:space="preserve">2. Related Literature and Positioning</w:t>
      </w:r>
    </w:p>
    <w:p>
      <w:pPr>
        <w:pStyle w:val="FirstParagraph"/>
      </w:pPr>
      <w:r>
        <w:rPr>
          <w:iCs/>
          <w:i/>
        </w:rPr>
        <w:t xml:space="preserve">Real options and IT investment.</w:t>
      </w:r>
      <w:r>
        <w:t xml:space="preserve"> </w:t>
      </w:r>
      <w:r>
        <w:t xml:space="preserve">McDonald and Siegel (1986) and Dixit and Pindyck (1994) established that the right to delay an irreversible investment has value. The logic fits technology investment well, because implementation costs are partly sunk while standards keep moving (Dos Santos 1991, Grenadier and Weiss 1997, Benaroch and Kauffman 1999, Taudes et al. 2000, Benaroch 2001, Fichman 2004, Kauffman and Li 2005, Santiago and Bifano 2005). The closest models in structure study adoption when a further innovation is anticipated (Rajagopalan 1999) and modular upgradeability as insurance against technological change (Kamrad et al. 2013). More recent work applies the same lens to enterprise AI adoption (Tewari 2026). We shift the question from whether to adopt to how to renew an asset that is already deployed, when the platform underneath it is replaced at a rate the asset owner does not choose, and we make that rate endogenous.</w:t>
      </w:r>
    </w:p>
    <w:p>
      <w:pPr>
        <w:pStyle w:val="BodyText"/>
      </w:pPr>
      <w:r>
        <w:rPr>
          <w:iCs/>
          <w:i/>
        </w:rPr>
        <w:t xml:space="preserve">Platform evolution, compatibility, and planned obsolescence.</w:t>
      </w:r>
      <w:r>
        <w:t xml:space="preserve"> </w:t>
      </w:r>
      <w:r>
        <w:t xml:space="preserve">Compatibility choices shape adoption and competition (Katz and Shapiro 1985, Farrell and Saloner 1985). Platform owners trade openness off against control over complements (Parker and Van Alstyne 2018), and platform architecture and governance coevolve with the environment (Tiwana et al. 2010, Ghazawneh and Henfridsson 2013, Yoo et al. 2010). Competing platforms can soften price competition through differentiation (Shaked and Sutton 1982) and compete in two-sided markets (Rochet and Tirole 2003, Armstrong 2006). We add a maintenance channel. The platform’s release cadence destroys options held by complementors, compatibility tools partly restore them, and the restoration in turn feeds back into the cadence. The resulting speed–compatibility bundle is a dimension along which competing platforms can separate.</w:t>
      </w:r>
    </w:p>
    <w:p>
      <w:pPr>
        <w:pStyle w:val="BodyText"/>
      </w:pPr>
      <w:r>
        <w:rPr>
          <w:iCs/>
          <w:i/>
        </w:rPr>
        <w:t xml:space="preserve">What the paper changes in IS theory.</w:t>
      </w:r>
      <w:r>
        <w:t xml:space="preserve"> </w:t>
      </w:r>
      <w:r>
        <w:t xml:space="preserve">The model connects to three established IS constructs. Digital options (Sambamurthy et al. 2003, Fichman 2004) are usually treated as assets that the adopter accumulates; here they are assets the platform owner can extinguish, so the life of the option is a choice variable of the owner. Compatibility tools such as migration kits, converters, and long-term-support promises are boundary resources in the sense of Ghazawneh and Henfridsson (2013). The literature treats them as instruments for attracting third-party development, whereas we show that they also change the owner’s incentive to change the platform, so resource provision and platform evolution (Tiwana et al. 2010) cannot be analyzed separately. Finally, generativity (Yoo et al. 2010) refers to a platform’s capacity to be changed by many uncoordinated actors. Our model shows its cost side: a platform that its owner changes often imposes a maintenance burden that falls unevenly on the actors who build on it.</w:t>
      </w:r>
    </w:p>
    <w:p>
      <w:pPr>
        <w:pStyle w:val="BodyText"/>
      </w:pPr>
      <w:r>
        <w:rPr>
          <w:iCs/>
          <w:i/>
        </w:rPr>
        <w:t xml:space="preserve">Maintenance of IT and learning systems.</w:t>
      </w:r>
      <w:r>
        <w:t xml:space="preserve"> </w:t>
      </w:r>
      <w:r>
        <w:t xml:space="preserve">Maintenance has long been recognized as a central cost of IT assets (Swanson 1976). Work on when to retrain a machine-learning model attributes the need to data drift and considers two actions, retrain or keep (Mahadevan and Mathioudakis 2023, Regol et al. 2025). We attribute the need to platform replacement and add transfer as an intermediate action.</w:t>
      </w:r>
    </w:p>
    <w:p>
      <w:pPr>
        <w:pStyle w:val="BodyText"/>
      </w:pPr>
      <w:r>
        <w:rPr>
          <w:iCs/>
          <w:i/>
        </w:rPr>
        <w:t xml:space="preserve">Adapter transfer.</w:t>
      </w:r>
      <w:r>
        <w:t xml:space="preserve"> </w:t>
      </w:r>
      <w:r>
        <w:t xml:space="preserve">Methods for moving adapters without retraining include distillation, subspace projection, and light remapping (Wang et al. 2024, Farhadzadeh et al. 2025a,b, Li et al. 2025, Xia et al. 2025). Hochlehnert et al. (2026) find that naive copy is a strong baseline between related models. In our model every method is simply a pair</w:t>
      </w:r>
      <w:r>
        <w:t xml:space="preserve"> </w:t>
      </w:r>
      <m:oMath>
        <m:d>
          <m:dPr>
            <m:begChr m:val="("/>
            <m:endChr m:val=")"/>
            <m:sepChr m:val=""/>
            <m:grow/>
          </m:dPr>
          <m:e>
            <m:r>
              <m:t>R</m:t>
            </m:r>
            <m:r>
              <m:rPr>
                <m:sty m:val="p"/>
              </m:rPr>
              <m:t>,</m:t>
            </m:r>
            <m:r>
              <m:t>C</m:t>
            </m:r>
          </m:e>
        </m:d>
      </m:oMath>
      <w:r>
        <w:t xml:space="preserve">, which lets us study the economics without taking a position on the algorithm.</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pPr>
          </w:p>
        </w:tc>
        <w:tc>
          <w:tcPr/>
          <w:p>
            <w:pPr>
              <w:pStyle w:val="Compact"/>
              <w:jc w:val="center"/>
            </w:pPr>
            <w:r>
              <w:t xml:space="preserve">Adoption timing</w:t>
            </w:r>
          </w:p>
        </w:tc>
        <w:tc>
          <w:tcPr/>
          <w:p>
            <w:pPr>
              <w:pStyle w:val="Compact"/>
              <w:jc w:val="center"/>
            </w:pPr>
            <w:r>
              <w:t xml:space="preserve">Maintenance after adoption</w:t>
            </w:r>
          </w:p>
        </w:tc>
        <w:tc>
          <w:tcPr/>
          <w:p>
            <w:pPr>
              <w:pStyle w:val="Compact"/>
              <w:jc w:val="center"/>
            </w:pPr>
            <w:r>
              <w:t xml:space="preserve">Platform owner endogenous</w:t>
            </w:r>
          </w:p>
        </w:tc>
        <w:tc>
          <w:tcPr/>
          <w:p>
            <w:pPr>
              <w:pStyle w:val="Compact"/>
              <w:jc w:val="center"/>
            </w:pPr>
            <w:r>
              <w:t xml:space="preserve">Competition between owners</w:t>
            </w:r>
          </w:p>
        </w:tc>
      </w:tr>
      <w:tr>
        <w:tc>
          <w:tcPr/>
          <w:p>
            <w:pPr>
              <w:pStyle w:val="Compact"/>
              <w:jc w:val="left"/>
            </w:pPr>
            <w:r>
              <w:t xml:space="preserve">Real options in IT (Benaroch and Kauffman 1999, Fichman 2004)</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Anticipated innovation (Rajagopalan 1999, Kamrad et al. 2013)</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Platform evolution and governance (Tiwana et al. 2010, Parker and Van Alstyne 2018)</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partly</w:t>
            </w:r>
          </w:p>
        </w:tc>
      </w:tr>
      <w:tr>
        <w:tc>
          <w:tcPr/>
          <w:p>
            <w:pPr>
              <w:pStyle w:val="Compact"/>
              <w:jc w:val="left"/>
            </w:pPr>
            <w:r>
              <w:t xml:space="preserve">Model retraining (Mahadevan and Mathioudakis 2023, Regol et al. 2025)</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rPr>
                <w:bCs/>
                <w:b/>
              </w:rPr>
              <w:t xml:space="preserve">This paper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Cs/>
          <w:i/>
        </w:rPr>
        <w:t xml:space="preserve">Table 2. Positioning.</w:t>
      </w:r>
    </w:p>
    <w:bookmarkEnd w:id="22"/>
    <w:bookmarkStart w:id="29" w:name="setting-and-stylized-facts"/>
    <w:p>
      <w:pPr>
        <w:pStyle w:val="Heading2"/>
      </w:pPr>
      <w:r>
        <w:t xml:space="preserve">3. Setting and Stylized Facts</w:t>
      </w:r>
    </w:p>
    <w:bookmarkStart w:id="23" w:name="X8e19f3ae16ed5a04f899e6fdc41f011b16f3145"/>
    <w:p>
      <w:pPr>
        <w:pStyle w:val="Heading3"/>
      </w:pPr>
      <w:r>
        <w:t xml:space="preserve">3.1 Complementary assets on a foundation-model platform</w:t>
      </w:r>
    </w:p>
    <w:p>
      <w:pPr>
        <w:pStyle w:val="FirstParagraph"/>
      </w:pPr>
      <w:r>
        <w:t xml:space="preserve">The unit of analysis on the demand side is a firm that operates one task-specific adapter on a named base model. An</w:t>
      </w:r>
      <w:r>
        <w:t xml:space="preserve"> </w:t>
      </w:r>
      <w:r>
        <w:rPr>
          <w:iCs/>
          <w:i/>
        </w:rPr>
        <w:t xml:space="preserve">epoch</w:t>
      </w:r>
      <w:r>
        <w:t xml:space="preserve"> </w:t>
      </w:r>
      <w:r>
        <w:t xml:space="preserve">is the interval between two successive upgrades. At the start of an epoch the firm chooses a transfer method, and during the epoch it may retrain. When the next upgrade arrives, the current adapter and any retraining investment lose their value and a new epoch begins.</w:t>
      </w:r>
    </w:p>
    <w:p>
      <w:pPr>
        <w:pStyle w:val="BodyText"/>
      </w:pPr>
      <w:r>
        <w:t xml:space="preserve">A transfer method</w:t>
      </w:r>
      <w:r>
        <w:t xml:space="preserve"> </w:t>
      </w:r>
      <m:oMath>
        <m:r>
          <m:t>j</m:t>
        </m:r>
      </m:oMath>
      <w:r>
        <w:t xml:space="preserve"> </w:t>
      </w:r>
      <w:r>
        <w:t xml:space="preserve">is summarized by a recovery rate</w:t>
      </w:r>
      <w:r>
        <w:t xml:space="preserve"> </w:t>
      </w:r>
      <m:oMath>
        <m:sSub>
          <m:e>
            <m:r>
              <m:t>R</m:t>
            </m:r>
          </m:e>
          <m:sub>
            <m:r>
              <m:t>j</m:t>
            </m:r>
          </m:sub>
        </m:sSub>
        <m:r>
          <m:rPr>
            <m:sty m:val="p"/>
          </m:rPr>
          <m:t>∈</m:t>
        </m:r>
        <m:d>
          <m:dPr>
            <m:begChr m:val="["/>
            <m:endChr m:val="]"/>
            <m:sepChr m:val=""/>
            <m:grow/>
          </m:dPr>
          <m:e>
            <m:r>
              <m:t>0</m:t>
            </m:r>
            <m:r>
              <m:rPr>
                <m:sty m:val="p"/>
              </m:rPr>
              <m:t>,</m:t>
            </m:r>
            <m:r>
              <m:t>1</m:t>
            </m:r>
          </m:e>
        </m:d>
      </m:oMath>
      <w:r>
        <w:t xml:space="preserve"> </w:t>
      </w:r>
      <w:r>
        <w:t xml:space="preserve">and a cost</w:t>
      </w:r>
      <w:r>
        <w:t xml:space="preserve"> </w:t>
      </w:r>
      <m:oMath>
        <m:sSub>
          <m:e>
            <m:r>
              <m:t>C</m:t>
            </m:r>
          </m:e>
          <m:sub>
            <m:r>
              <m:t>j</m:t>
            </m:r>
          </m:sub>
        </m:sSub>
        <m:r>
          <m:rPr>
            <m:sty m:val="p"/>
          </m:rPr>
          <m:t>≥</m:t>
        </m:r>
        <m:r>
          <m:t>0</m:t>
        </m:r>
      </m:oMath>
      <w:r>
        <w:t xml:space="preserve">. Running the target model without the adapter is always feasible and corresponds to</w:t>
      </w:r>
      <w:r>
        <w:t xml:space="preserve"> </w:t>
      </w:r>
      <m:oMath>
        <m:r>
          <m:t>R</m:t>
        </m:r>
        <m:r>
          <m:rPr>
            <m:sty m:val="p"/>
          </m:rPr>
          <m:t>=</m:t>
        </m:r>
        <m:r>
          <m:t>0</m:t>
        </m:r>
      </m:oMath>
      <w:r>
        <w:t xml:space="preserve">, so a method whose measured recovery is negative is treated as having</w:t>
      </w:r>
      <w:r>
        <w:t xml:space="preserve"> </w:t>
      </w:r>
      <m:oMath>
        <m:r>
          <m:t>R</m:t>
        </m:r>
        <m:r>
          <m:rPr>
            <m:sty m:val="p"/>
          </m:rPr>
          <m:t>=</m:t>
        </m:r>
        <m:r>
          <m:t>0</m:t>
        </m:r>
      </m:oMath>
      <w:r>
        <w:t xml:space="preserve">. A naive copy of the adapter weights is</w:t>
      </w:r>
      <w:r>
        <w:t xml:space="preserve"> </w:t>
      </w:r>
      <m:oMath>
        <m:d>
          <m:dPr>
            <m:begChr m:val="("/>
            <m:endChr m:val=")"/>
            <m:sepChr m:val=""/>
            <m:grow/>
          </m:dPr>
          <m:e>
            <m:sSub>
              <m:e>
                <m:r>
                  <m:t>R</m:t>
                </m:r>
              </m:e>
              <m:sub>
                <m:r>
                  <m:t>C</m:t>
                </m:r>
              </m:sub>
            </m:sSub>
            <m:r>
              <m:rPr>
                <m:sty m:val="p"/>
              </m:rPr>
              <m:t>,</m:t>
            </m:r>
            <m:r>
              <m:t>0</m:t>
            </m:r>
          </m:e>
        </m:d>
      </m:oMath>
      <w:r>
        <w:t xml:space="preserve">, and retraining costs</w:t>
      </w:r>
      <w:r>
        <w:t xml:space="preserve"> </w:t>
      </w:r>
      <m:oMath>
        <m:sSub>
          <m:e>
            <m:r>
              <m:t>C</m:t>
            </m:r>
          </m:e>
          <m:sub>
            <m:r>
              <m:t>N</m:t>
            </m:r>
          </m:sub>
        </m:sSub>
      </m:oMath>
      <w:r>
        <w:t xml:space="preserve"> </w:t>
      </w:r>
      <w:r>
        <w:t xml:space="preserve">and restores</w:t>
      </w:r>
      <w:r>
        <w:t xml:space="preserve"> </w:t>
      </w:r>
      <m:oMath>
        <m:r>
          <m:t>R</m:t>
        </m:r>
        <m:r>
          <m:rPr>
            <m:sty m:val="p"/>
          </m:rPr>
          <m:t>=</m:t>
        </m:r>
        <m:r>
          <m:t>1</m:t>
        </m:r>
      </m:oMath>
      <w:r>
        <w:t xml:space="preserve">. The value flow</w:t>
      </w:r>
      <w:r>
        <w:t xml:space="preserve"> </w:t>
      </w:r>
      <m:oMath>
        <m:r>
          <m:t>v</m:t>
        </m:r>
      </m:oMath>
      <w:r>
        <w:t xml:space="preserve"> </w:t>
      </w:r>
      <w:r>
        <w:t xml:space="preserve">that the adapter yields at the retrained level follows a geometric Brownian motion,</w:t>
      </w:r>
      <w:r>
        <w:t xml:space="preserve"> </w:t>
      </w:r>
      <m:oMath>
        <m:r>
          <m:t>d</m:t>
        </m:r>
        <m:r>
          <m:t>v</m:t>
        </m:r>
        <m:r>
          <m:rPr>
            <m:sty m:val="p"/>
          </m:rPr>
          <m:t>=</m:t>
        </m:r>
        <m:r>
          <m:t>g</m:t>
        </m:r>
        <m:r>
          <m:t> </m:t>
        </m:r>
        <m:r>
          <m:t>v</m:t>
        </m:r>
        <m:r>
          <m:t> </m:t>
        </m:r>
        <m:r>
          <m:t>d</m:t>
        </m:r>
        <m:r>
          <m:t>t</m:t>
        </m:r>
        <m:r>
          <m:rPr>
            <m:sty m:val="p"/>
          </m:rPr>
          <m:t>+</m:t>
        </m:r>
        <m:r>
          <m:t>σ</m:t>
        </m:r>
        <m:r>
          <m:t>v</m:t>
        </m:r>
        <m:r>
          <m:t> </m:t>
        </m:r>
        <m:r>
          <m:t>d</m:t>
        </m:r>
        <m:r>
          <m:t>W</m:t>
        </m:r>
      </m:oMath>
      <w:r>
        <w:t xml:space="preserve">. After a transfer the firm loses a flow of</w:t>
      </w:r>
      <w:r>
        <w:t xml:space="preserve"> </w:t>
      </w:r>
      <m:oMath>
        <m:r>
          <m:t>v</m:t>
        </m:r>
        <m:d>
          <m:dPr>
            <m:begChr m:val="("/>
            <m:endChr m:val=")"/>
            <m:sepChr m:val=""/>
            <m:grow/>
          </m:dPr>
          <m:e>
            <m:r>
              <m:t>1</m:t>
            </m:r>
            <m:r>
              <m:rPr>
                <m:sty m:val="p"/>
              </m:rPr>
              <m:t>−</m:t>
            </m:r>
            <m:r>
              <m:t>R</m:t>
            </m:r>
          </m:e>
        </m:d>
      </m:oMath>
      <w:r>
        <w:t xml:space="preserve"> </w:t>
      </w:r>
      <w:r>
        <w:t xml:space="preserve">until it retrains or the epoch ends. The discount rate is</w:t>
      </w:r>
      <w:r>
        <w:t xml:space="preserve"> </w:t>
      </w:r>
      <m:oMath>
        <m:r>
          <m:t>ρ</m:t>
        </m:r>
      </m:oMath>
      <w:r>
        <w:t xml:space="preserve">, with</w:t>
      </w:r>
      <w:r>
        <w:t xml:space="preserve"> </w:t>
      </w:r>
      <m:oMath>
        <m:r>
          <m:t>ρ</m:t>
        </m:r>
        <m:r>
          <m:rPr>
            <m:sty m:val="p"/>
          </m:rPr>
          <m:t>+</m:t>
        </m:r>
        <m:r>
          <m:t>μ</m:t>
        </m:r>
        <m:r>
          <m:rPr>
            <m:sty m:val="p"/>
          </m:rPr>
          <m:t>&gt;</m:t>
        </m:r>
        <m:r>
          <m:t>g</m:t>
        </m:r>
      </m:oMath>
      <w:r>
        <w:t xml:space="preserve">, and upgrades arrive as a Poisson process with intensity</w:t>
      </w:r>
      <w:r>
        <w:t xml:space="preserve"> </w:t>
      </w:r>
      <m:oMath>
        <m:r>
          <m:t>μ</m:t>
        </m:r>
      </m:oMath>
      <w:r>
        <w:t xml:space="preserve"> </w:t>
      </w:r>
      <w:r>
        <w:t xml:space="preserve">when</w:t>
      </w:r>
      <w:r>
        <w:t xml:space="preserve"> </w:t>
      </w:r>
      <m:oMath>
        <m:r>
          <m:t>μ</m:t>
        </m:r>
      </m:oMath>
      <w:r>
        <w:t xml:space="preserve"> </w:t>
      </w:r>
      <w:r>
        <w:t xml:space="preserve">is taken as given. Section 5 endogenizes</w:t>
      </w:r>
      <w:r>
        <w:t xml:space="preserve"> </w:t>
      </w:r>
      <m:oMath>
        <m:r>
          <m:t>μ</m:t>
        </m:r>
      </m:oMath>
      <w:r>
        <w:t xml:space="preserve">.</w:t>
      </w:r>
    </w:p>
    <w:bookmarkEnd w:id="23"/>
    <w:bookmarkStart w:id="27" w:name="X305557e15931e06461f3853afde83ddf2bb0a60"/>
    <w:p>
      <w:pPr>
        <w:pStyle w:val="Heading3"/>
      </w:pPr>
      <w:r>
        <w:t xml:space="preserve">3.2 Stylized fact 1: release intensity is about two per year and more regular than Poisson</w:t>
      </w:r>
    </w:p>
    <w:p>
      <w:pPr>
        <w:pStyle w:val="FirstParagraph"/>
      </w:pPr>
      <w:r>
        <w:t xml:space="preserve">We recorded the date on which the weights of each new main-line version of six open-weight families first became publicly available, from each family’s first release through 28 September 2026. The primary definition counts a new version of the family’s main general-purpose text model; a broad definition adds refreshed checkpoints and reasoning variants. The replication package lists every date. We re-checked selected dates against vendor announcements (Llama 3.3 on 6 December 2024, Gemma 4 on 2 April 2026, and DeepSeek-V4.1-Flash on 10 September 2026); see Appendix D.</w:t>
      </w:r>
    </w:p>
    <w:tbl>
      <w:tblPr>
        <w:tblStyle w:val="Table"/>
        <w:tblW w:type="pct" w:w="5000"/>
        <w:tblLook w:firstRow="1" w:lastRow="0" w:firstColumn="0" w:lastColumn="0" w:noHBand="0" w:noVBand="0" w:val="0020"/>
        <w:jc w:val="start"/>
      </w:tblPr>
      <w:tblGrid>
        <w:gridCol w:w="1092"/>
        <w:gridCol w:w="1092"/>
        <w:gridCol w:w="1092"/>
        <w:gridCol w:w="1092"/>
        <w:gridCol w:w="1365"/>
        <w:gridCol w:w="1092"/>
        <w:gridCol w:w="1092"/>
      </w:tblGrid>
      <w:tr>
        <w:trPr>
          <w:tblHeader w:val="true"/>
        </w:trPr>
        <w:tc>
          <w:tcPr/>
          <w:p>
            <w:pPr>
              <w:pStyle w:val="Compact"/>
              <w:jc w:val="left"/>
            </w:pPr>
            <w:r>
              <w:t xml:space="preserve">Family</w:t>
            </w:r>
          </w:p>
        </w:tc>
        <w:tc>
          <w:tcPr/>
          <w:p>
            <w:pPr>
              <w:pStyle w:val="Compact"/>
              <w:jc w:val="right"/>
            </w:pPr>
            <m:oMath>
              <m:r>
                <m:t>n</m:t>
              </m:r>
            </m:oMath>
          </w:p>
        </w:tc>
        <w:tc>
          <w:tcPr/>
          <w:p>
            <w:pPr>
              <w:pStyle w:val="Compact"/>
              <w:jc w:val="right"/>
            </w:pPr>
            <m:oMath>
              <m:r>
                <m:t>T</m:t>
              </m:r>
            </m:oMath>
            <w:r>
              <w:t xml:space="preserve"> </w:t>
            </w:r>
            <w:r>
              <w:t xml:space="preserve">(years)</w:t>
            </w:r>
          </w:p>
        </w:tc>
        <w:tc>
          <w:tcPr/>
          <w:p>
            <w:pPr>
              <w:pStyle w:val="Compact"/>
              <w:jc w:val="right"/>
            </w:pPr>
            <m:oMath>
              <m:acc>
                <m:accPr>
                  <m:chr m:val="̂"/>
                </m:accPr>
                <m:e>
                  <m:r>
                    <m:t>μ</m:t>
                  </m:r>
                </m:e>
              </m:acc>
            </m:oMath>
          </w:p>
        </w:tc>
        <w:tc>
          <w:tcPr/>
          <w:p>
            <w:pPr>
              <w:pStyle w:val="Compact"/>
              <w:jc w:val="center"/>
            </w:pPr>
            <w:r>
              <w:t xml:space="preserve">95% CI</w:t>
            </w:r>
          </w:p>
        </w:tc>
        <w:tc>
          <w:tcPr/>
          <w:p>
            <w:pPr>
              <w:pStyle w:val="Compact"/>
              <w:jc w:val="right"/>
            </w:pPr>
            <w:r>
              <w:t xml:space="preserve">Mean gap (months)</w:t>
            </w:r>
          </w:p>
        </w:tc>
        <w:tc>
          <w:tcPr/>
          <w:p>
            <w:pPr>
              <w:pStyle w:val="Compact"/>
              <w:jc w:val="right"/>
            </w:pPr>
            <w:r>
              <w:t xml:space="preserve">CV of gaps</w:t>
            </w:r>
          </w:p>
        </w:tc>
      </w:tr>
      <w:tr>
        <w:tc>
          <w:tcPr/>
          <w:p>
            <w:pPr>
              <w:pStyle w:val="Compact"/>
              <w:jc w:val="left"/>
            </w:pPr>
            <w:r>
              <w:t xml:space="preserve">Llama</w:t>
            </w:r>
          </w:p>
        </w:tc>
        <w:tc>
          <w:tcPr/>
          <w:p>
            <w:pPr>
              <w:pStyle w:val="Compact"/>
              <w:jc w:val="right"/>
            </w:pPr>
            <w:r>
              <w:t xml:space="preserve">6</w:t>
            </w:r>
          </w:p>
        </w:tc>
        <w:tc>
          <w:tcPr/>
          <w:p>
            <w:pPr>
              <w:pStyle w:val="Compact"/>
              <w:jc w:val="right"/>
            </w:pPr>
            <w:r>
              <w:t xml:space="preserve">3.59</w:t>
            </w:r>
          </w:p>
        </w:tc>
        <w:tc>
          <w:tcPr/>
          <w:p>
            <w:pPr>
              <w:pStyle w:val="Compact"/>
              <w:jc w:val="right"/>
            </w:pPr>
            <w:r>
              <w:t xml:space="preserve">1.67</w:t>
            </w:r>
          </w:p>
        </w:tc>
        <w:tc>
          <w:tcPr/>
          <w:p>
            <w:pPr>
              <w:pStyle w:val="Compact"/>
              <w:jc w:val="center"/>
            </w:pPr>
            <w:r>
              <w:t xml:space="preserve">[0.61, 3.64]</w:t>
            </w:r>
          </w:p>
        </w:tc>
        <w:tc>
          <w:tcPr/>
          <w:p>
            <w:pPr>
              <w:pStyle w:val="Compact"/>
              <w:jc w:val="right"/>
            </w:pPr>
            <w:r>
              <w:t xml:space="preserve">7.2</w:t>
            </w:r>
          </w:p>
        </w:tc>
        <w:tc>
          <w:tcPr/>
          <w:p>
            <w:pPr>
              <w:pStyle w:val="Compact"/>
              <w:jc w:val="right"/>
            </w:pPr>
            <w:r>
              <w:t xml:space="preserve">0.61</w:t>
            </w:r>
          </w:p>
        </w:tc>
      </w:tr>
      <w:tr>
        <w:tc>
          <w:tcPr/>
          <w:p>
            <w:pPr>
              <w:pStyle w:val="Compact"/>
              <w:jc w:val="left"/>
            </w:pPr>
            <w:r>
              <w:t xml:space="preserve">Gemma</w:t>
            </w:r>
          </w:p>
        </w:tc>
        <w:tc>
          <w:tcPr/>
          <w:p>
            <w:pPr>
              <w:pStyle w:val="Compact"/>
              <w:jc w:val="right"/>
            </w:pPr>
            <w:r>
              <w:t xml:space="preserve">3</w:t>
            </w:r>
          </w:p>
        </w:tc>
        <w:tc>
          <w:tcPr/>
          <w:p>
            <w:pPr>
              <w:pStyle w:val="Compact"/>
              <w:jc w:val="right"/>
            </w:pPr>
            <w:r>
              <w:t xml:space="preserve">2.60</w:t>
            </w:r>
          </w:p>
        </w:tc>
        <w:tc>
          <w:tcPr/>
          <w:p>
            <w:pPr>
              <w:pStyle w:val="Compact"/>
              <w:jc w:val="right"/>
            </w:pPr>
            <w:r>
              <w:t xml:space="preserve">1.15</w:t>
            </w:r>
          </w:p>
        </w:tc>
        <w:tc>
          <w:tcPr/>
          <w:p>
            <w:pPr>
              <w:pStyle w:val="Compact"/>
              <w:jc w:val="center"/>
            </w:pPr>
            <w:r>
              <w:t xml:space="preserve">[0.24, 3.37]</w:t>
            </w:r>
          </w:p>
        </w:tc>
        <w:tc>
          <w:tcPr/>
          <w:p>
            <w:pPr>
              <w:pStyle w:val="Compact"/>
              <w:jc w:val="right"/>
            </w:pPr>
            <w:r>
              <w:t xml:space="preserve">10.4</w:t>
            </w:r>
          </w:p>
        </w:tc>
        <w:tc>
          <w:tcPr/>
          <w:p>
            <w:pPr>
              <w:pStyle w:val="Compact"/>
              <w:jc w:val="right"/>
            </w:pPr>
            <w:r>
              <w:t xml:space="preserve">0.50</w:t>
            </w:r>
          </w:p>
        </w:tc>
      </w:tr>
      <w:tr>
        <w:tc>
          <w:tcPr/>
          <w:p>
            <w:pPr>
              <w:pStyle w:val="Compact"/>
              <w:jc w:val="left"/>
            </w:pPr>
            <w:r>
              <w:t xml:space="preserve">Phi</w:t>
            </w:r>
          </w:p>
        </w:tc>
        <w:tc>
          <w:tcPr/>
          <w:p>
            <w:pPr>
              <w:pStyle w:val="Compact"/>
              <w:jc w:val="right"/>
            </w:pPr>
            <w:r>
              <w:t xml:space="preserve">4</w:t>
            </w:r>
          </w:p>
        </w:tc>
        <w:tc>
          <w:tcPr/>
          <w:p>
            <w:pPr>
              <w:pStyle w:val="Compact"/>
              <w:jc w:val="right"/>
            </w:pPr>
            <w:r>
              <w:t xml:space="preserve">3.05</w:t>
            </w:r>
          </w:p>
        </w:tc>
        <w:tc>
          <w:tcPr/>
          <w:p>
            <w:pPr>
              <w:pStyle w:val="Compact"/>
              <w:jc w:val="right"/>
            </w:pPr>
            <w:r>
              <w:t xml:space="preserve">1.31</w:t>
            </w:r>
          </w:p>
        </w:tc>
        <w:tc>
          <w:tcPr/>
          <w:p>
            <w:pPr>
              <w:pStyle w:val="Compact"/>
              <w:jc w:val="center"/>
            </w:pPr>
            <w:r>
              <w:t xml:space="preserve">[0.36, 3.36]</w:t>
            </w:r>
          </w:p>
        </w:tc>
        <w:tc>
          <w:tcPr/>
          <w:p>
            <w:pPr>
              <w:pStyle w:val="Compact"/>
              <w:jc w:val="right"/>
            </w:pPr>
            <w:r>
              <w:t xml:space="preserve">9.1</w:t>
            </w:r>
          </w:p>
        </w:tc>
        <w:tc>
          <w:tcPr/>
          <w:p>
            <w:pPr>
              <w:pStyle w:val="Compact"/>
              <w:jc w:val="right"/>
            </w:pPr>
            <w:r>
              <w:t xml:space="preserve">0.18</w:t>
            </w:r>
          </w:p>
        </w:tc>
      </w:tr>
      <w:tr>
        <w:tc>
          <w:tcPr/>
          <w:p>
            <w:pPr>
              <w:pStyle w:val="Compact"/>
              <w:jc w:val="left"/>
            </w:pPr>
            <w:r>
              <w:t xml:space="preserve">Qwen</w:t>
            </w:r>
          </w:p>
        </w:tc>
        <w:tc>
          <w:tcPr/>
          <w:p>
            <w:pPr>
              <w:pStyle w:val="Compact"/>
              <w:jc w:val="right"/>
            </w:pPr>
            <w:r>
              <w:t xml:space="preserve">8</w:t>
            </w:r>
          </w:p>
        </w:tc>
        <w:tc>
          <w:tcPr/>
          <w:p>
            <w:pPr>
              <w:pStyle w:val="Compact"/>
              <w:jc w:val="right"/>
            </w:pPr>
            <w:r>
              <w:t xml:space="preserve">3.15</w:t>
            </w:r>
          </w:p>
        </w:tc>
        <w:tc>
          <w:tcPr/>
          <w:p>
            <w:pPr>
              <w:pStyle w:val="Compact"/>
              <w:jc w:val="right"/>
            </w:pPr>
            <w:r>
              <w:t xml:space="preserve">2.54</w:t>
            </w:r>
          </w:p>
        </w:tc>
        <w:tc>
          <w:tcPr/>
          <w:p>
            <w:pPr>
              <w:pStyle w:val="Compact"/>
              <w:jc w:val="center"/>
            </w:pPr>
            <w:r>
              <w:t xml:space="preserve">[1.10, 5.00]</w:t>
            </w:r>
          </w:p>
        </w:tc>
        <w:tc>
          <w:tcPr/>
          <w:p>
            <w:pPr>
              <w:pStyle w:val="Compact"/>
              <w:jc w:val="right"/>
            </w:pPr>
            <w:r>
              <w:t xml:space="preserve">4.7</w:t>
            </w:r>
          </w:p>
        </w:tc>
        <w:tc>
          <w:tcPr/>
          <w:p>
            <w:pPr>
              <w:pStyle w:val="Compact"/>
              <w:jc w:val="right"/>
            </w:pPr>
            <w:r>
              <w:t xml:space="preserve">0.44</w:t>
            </w:r>
          </w:p>
        </w:tc>
      </w:tr>
      <w:tr>
        <w:tc>
          <w:tcPr/>
          <w:p>
            <w:pPr>
              <w:pStyle w:val="Compact"/>
              <w:jc w:val="left"/>
            </w:pPr>
            <w:r>
              <w:t xml:space="preserve">Mistral</w:t>
            </w:r>
          </w:p>
        </w:tc>
        <w:tc>
          <w:tcPr/>
          <w:p>
            <w:pPr>
              <w:pStyle w:val="Compact"/>
              <w:jc w:val="right"/>
            </w:pPr>
            <w:r>
              <w:t xml:space="preserve">8</w:t>
            </w:r>
          </w:p>
        </w:tc>
        <w:tc>
          <w:tcPr/>
          <w:p>
            <w:pPr>
              <w:pStyle w:val="Compact"/>
              <w:jc w:val="right"/>
            </w:pPr>
            <w:r>
              <w:t xml:space="preserve">3.00</w:t>
            </w:r>
          </w:p>
        </w:tc>
        <w:tc>
          <w:tcPr/>
          <w:p>
            <w:pPr>
              <w:pStyle w:val="Compact"/>
              <w:jc w:val="right"/>
            </w:pPr>
            <w:r>
              <w:t xml:space="preserve">2.66</w:t>
            </w:r>
          </w:p>
        </w:tc>
        <w:tc>
          <w:tcPr/>
          <w:p>
            <w:pPr>
              <w:pStyle w:val="Compact"/>
              <w:jc w:val="center"/>
            </w:pPr>
            <w:r>
              <w:t xml:space="preserve">[1.15, 5.25]</w:t>
            </w:r>
          </w:p>
        </w:tc>
        <w:tc>
          <w:tcPr/>
          <w:p>
            <w:pPr>
              <w:pStyle w:val="Compact"/>
              <w:jc w:val="right"/>
            </w:pPr>
            <w:r>
              <w:t xml:space="preserve">4.5</w:t>
            </w:r>
          </w:p>
        </w:tc>
        <w:tc>
          <w:tcPr/>
          <w:p>
            <w:pPr>
              <w:pStyle w:val="Compact"/>
              <w:jc w:val="right"/>
            </w:pPr>
            <w:r>
              <w:t xml:space="preserve">0.70</w:t>
            </w:r>
          </w:p>
        </w:tc>
      </w:tr>
      <w:tr>
        <w:tc>
          <w:tcPr/>
          <w:p>
            <w:pPr>
              <w:pStyle w:val="Compact"/>
              <w:jc w:val="left"/>
            </w:pPr>
            <w:r>
              <w:t xml:space="preserve">DeepSeek</w:t>
            </w:r>
          </w:p>
        </w:tc>
        <w:tc>
          <w:tcPr/>
          <w:p>
            <w:pPr>
              <w:pStyle w:val="Compact"/>
              <w:jc w:val="right"/>
            </w:pPr>
            <w:r>
              <w:t xml:space="preserve">7</w:t>
            </w:r>
          </w:p>
        </w:tc>
        <w:tc>
          <w:tcPr/>
          <w:p>
            <w:pPr>
              <w:pStyle w:val="Compact"/>
              <w:jc w:val="right"/>
            </w:pPr>
            <w:r>
              <w:t xml:space="preserve">2.83</w:t>
            </w:r>
          </w:p>
        </w:tc>
        <w:tc>
          <w:tcPr/>
          <w:p>
            <w:pPr>
              <w:pStyle w:val="Compact"/>
              <w:jc w:val="right"/>
            </w:pPr>
            <w:r>
              <w:t xml:space="preserve">2.47</w:t>
            </w:r>
          </w:p>
        </w:tc>
        <w:tc>
          <w:tcPr/>
          <w:p>
            <w:pPr>
              <w:pStyle w:val="Compact"/>
              <w:jc w:val="center"/>
            </w:pPr>
            <w:r>
              <w:t xml:space="preserve">[0.99, 5.10]</w:t>
            </w:r>
          </w:p>
        </w:tc>
        <w:tc>
          <w:tcPr/>
          <w:p>
            <w:pPr>
              <w:pStyle w:val="Compact"/>
              <w:jc w:val="right"/>
            </w:pPr>
            <w:r>
              <w:t xml:space="preserve">4.9</w:t>
            </w:r>
          </w:p>
        </w:tc>
        <w:tc>
          <w:tcPr/>
          <w:p>
            <w:pPr>
              <w:pStyle w:val="Compact"/>
              <w:jc w:val="right"/>
            </w:pPr>
            <w:r>
              <w:t xml:space="preserve">0.31</w:t>
            </w:r>
          </w:p>
        </w:tc>
      </w:tr>
      <w:tr>
        <w:tc>
          <w:tcPr/>
          <w:p>
            <w:pPr>
              <w:pStyle w:val="Compact"/>
              <w:jc w:val="left"/>
            </w:pPr>
            <w:r>
              <w:t xml:space="preserve">Pooled</w:t>
            </w:r>
          </w:p>
        </w:tc>
        <w:tc>
          <w:tcPr/>
          <w:p>
            <w:pPr>
              <w:pStyle w:val="Compact"/>
              <w:jc w:val="right"/>
            </w:pPr>
            <w:r>
              <w:t xml:space="preserve">36</w:t>
            </w:r>
          </w:p>
        </w:tc>
        <w:tc>
          <w:tcPr/>
          <w:p>
            <w:pPr>
              <w:pStyle w:val="Compact"/>
              <w:jc w:val="right"/>
            </w:pPr>
            <w:r>
              <w:t xml:space="preserve">18.23</w:t>
            </w:r>
          </w:p>
        </w:tc>
        <w:tc>
          <w:tcPr/>
          <w:p>
            <w:pPr>
              <w:pStyle w:val="Compact"/>
              <w:jc w:val="right"/>
            </w:pPr>
            <w:r>
              <w:t xml:space="preserve">1.97</w:t>
            </w:r>
          </w:p>
        </w:tc>
        <w:tc>
          <w:tcPr/>
          <w:p>
            <w:pPr>
              <w:pStyle w:val="Compact"/>
              <w:jc w:val="center"/>
            </w:pPr>
            <w:r>
              <w:t xml:space="preserve">—</w:t>
            </w:r>
          </w:p>
        </w:tc>
        <w:tc>
          <w:tcPr/>
          <w:p>
            <w:pPr>
              <w:pStyle w:val="Compact"/>
              <w:jc w:val="right"/>
            </w:pPr>
            <w:r>
              <w:t xml:space="preserve">6.1</w:t>
            </w:r>
          </w:p>
        </w:tc>
        <w:tc>
          <w:tcPr/>
          <w:p>
            <w:pPr>
              <w:pStyle w:val="Compact"/>
              <w:jc w:val="right"/>
            </w:pPr>
            <w:r>
              <w:t xml:space="preserve">0.46</w:t>
            </w:r>
          </w:p>
        </w:tc>
      </w:tr>
    </w:tbl>
    <w:p>
      <w:pPr>
        <w:pStyle w:val="BodyText"/>
      </w:pPr>
      <w:r>
        <w:rPr>
          <w:iCs/>
          <w:i/>
        </w:rPr>
        <w:t xml:space="preserve">Table 3. Estimated upgrade intensity, primary definition (window to 28 September 2026).</w:t>
      </w:r>
    </w:p>
    <w:p>
      <w:pPr>
        <w:pStyle w:val="BodyText"/>
      </w:pPr>
      <w:r>
        <w:t xml:space="preserve">The pooled rate is 1.97 per year, and a likelihood-ratio test does not reject a common primary rate across families (</w:t>
      </w:r>
      <m:oMath>
        <m:sSup>
          <m:e>
            <m:r>
              <m:t>χ</m:t>
            </m:r>
          </m:e>
          <m:sup>
            <m:r>
              <m:t>2</m:t>
            </m:r>
          </m:sup>
        </m:sSup>
        <m:d>
          <m:dPr>
            <m:begChr m:val="("/>
            <m:endChr m:val=")"/>
            <m:sepChr m:val=""/>
            <m:grow/>
          </m:dPr>
          <m:e>
            <m:r>
              <m:t>5</m:t>
            </m:r>
          </m:e>
        </m:d>
        <m:r>
          <m:rPr>
            <m:sty m:val="p"/>
          </m:rPr>
          <m:t>=</m:t>
        </m:r>
        <m:r>
          <m:t>3.43</m:t>
        </m:r>
      </m:oMath>
      <w:r>
        <w:t xml:space="preserve">,</w:t>
      </w:r>
      <w:r>
        <w:t xml:space="preserve"> </w:t>
      </w:r>
      <m:oMath>
        <m:r>
          <m:t>p</m:t>
        </m:r>
        <m:r>
          <m:rPr>
            <m:sty m:val="p"/>
          </m:rPr>
          <m:t>=</m:t>
        </m:r>
        <m:r>
          <m:t>0.63</m:t>
        </m:r>
      </m:oMath>
      <w:r>
        <w:t xml:space="preserve">). The rate was 2.18 before 2025 and 1.82 afterwards (</w:t>
      </w:r>
      <m:oMath>
        <m:r>
          <m:t>p</m:t>
        </m:r>
        <m:r>
          <m:rPr>
            <m:sty m:val="p"/>
          </m:rPr>
          <m:t>=</m:t>
        </m:r>
        <m:r>
          <m:t>0.62</m:t>
        </m:r>
      </m:oMath>
      <w:r>
        <w:t xml:space="preserve">). Under the broad definition the pooled rate rises to 3.40 and family rates differ (</w:t>
      </w:r>
      <m:oMath>
        <m:r>
          <m:t>p</m:t>
        </m:r>
        <m:r>
          <m:rPr>
            <m:sty m:val="p"/>
          </m:rPr>
          <m:t>=</m:t>
        </m:r>
        <m:r>
          <m:t>0.04</m:t>
        </m:r>
      </m:oMath>
      <w:r>
        <w:t xml:space="preserve">). Gaps between releases are more regular than an exponential distribution would imply, with a mean coefficient of variation of 0.46. Platforms can also stop releasing: as of the end of the window, Llama had gone 17.8 months without a new open-weight main-line release.</w:t>
      </w:r>
    </w:p>
    <w:p>
      <w:pPr>
        <w:pStyle w:val="CaptionedFigure"/>
      </w:pPr>
      <w:r>
        <w:drawing>
          <wp:inline>
            <wp:extent cx="5334000" cy="2920999"/>
            <wp:effectExtent b="0" l="0" r="0" t="0"/>
            <wp:docPr descr="Figure 2. Open-weight release histories, 2023–September 2026. Filled circles are primary or origin releases; diamonds are counted only under the broad definition." title="" id="25" name="Picture"/>
            <a:graphic>
              <a:graphicData uri="http://schemas.openxmlformats.org/drawingml/2006/picture">
                <pic:pic>
                  <pic:nvPicPr>
                    <pic:cNvPr descr="figures/fig2.jpg" id="26" name="Picture"/>
                    <pic:cNvPicPr>
                      <a:picLocks noChangeArrowheads="1" noChangeAspect="1"/>
                    </pic:cNvPicPr>
                  </pic:nvPicPr>
                  <pic:blipFill>
                    <a:blip r:embed="rId24"/>
                    <a:stretch>
                      <a:fillRect/>
                    </a:stretch>
                  </pic:blipFill>
                  <pic:spPr bwMode="auto">
                    <a:xfrm>
                      <a:off x="0" y="0"/>
                      <a:ext cx="5334000" cy="2920999"/>
                    </a:xfrm>
                    <a:prstGeom prst="rect">
                      <a:avLst/>
                    </a:prstGeom>
                    <a:noFill/>
                    <a:ln w="9525">
                      <a:noFill/>
                      <a:headEnd/>
                      <a:tailEnd/>
                    </a:ln>
                  </pic:spPr>
                </pic:pic>
              </a:graphicData>
            </a:graphic>
          </wp:inline>
        </w:drawing>
      </w:r>
    </w:p>
    <w:p>
      <w:pPr>
        <w:pStyle w:val="ImageCaption"/>
      </w:pPr>
      <w:r>
        <w:t xml:space="preserve">Figure 2. Open-weight release histories, 2023–September 2026. Filled circles are primary or origin releases; diamonds are counted only under the broad definition.</w:t>
      </w:r>
    </w:p>
    <w:bookmarkEnd w:id="27"/>
    <w:bookmarkStart w:id="28" w:name="X0b009bb14b76d064ce3618c4464fd8bdc078eae"/>
    <w:p>
      <w:pPr>
        <w:pStyle w:val="Heading3"/>
      </w:pPr>
      <w:r>
        <w:t xml:space="preserve">3.3 Stylized fact 2: recovery falls sharply with upgrade size</w:t>
      </w:r>
    </w:p>
    <w:p>
      <w:pPr>
        <w:pStyle w:val="FirstParagraph"/>
      </w:pPr>
      <w:r>
        <w:t xml:space="preserve">We measured recovery on five open model pairs that share a tokenizer. For each pair, a rank-8 adapter was trained on the source model, retrained on the target, copied, and transferred with a calibration method that reduces to copy as its regularization diverges (Online Appendix C). Each pair was run with five seeds, which resample the training and calibration rows and the training order. After the two small Pythia continued-training upgrades, copy recovered 0.948 and 0.923 of the retraining gain (means of five seeds, with 95% intervals of [0.93, 0.97] and [0.90, 0.94]). After the large Pythia upgrade, copy recovered 0.404 (95% interval [0.31, 0.50]) and the calibration method 0.725 ([0.64, 0.81]), and the calibration method beat copy in all five seeds. Base-to-instruct upgrades fell in between, with copy at 0.73 to 0.75 and a gain from the calibration method of at most 0.04. The compute-only cost ratios of the calibration method were 0.35 to 0.61 of retraining; they overstate the economic ratio because they leave out data acquisition and revalidation. Small upgrades therefore look like high-</w:t>
      </w:r>
      <m:oMath>
        <m:r>
          <m:t>R</m:t>
        </m:r>
      </m:oMath>
      <w:r>
        <w:t xml:space="preserve"> </w:t>
      </w:r>
      <w:r>
        <w:t xml:space="preserve">free copy, whereas large upgrades open a gap that a costly method can fill if and only if its cost is below</w:t>
      </w:r>
      <w:r>
        <w:t xml:space="preserve"> </w:t>
      </w:r>
      <m:oMath>
        <m:r>
          <m:t>Γ</m:t>
        </m:r>
      </m:oMath>
      <w:r>
        <w:t xml:space="preserve">.</w:t>
      </w:r>
    </w:p>
    <w:p>
      <w:pPr>
        <w:pStyle w:val="BodyText"/>
      </w:pPr>
      <w:r>
        <w:t xml:space="preserve">We repeated the design on five pairs of larger models (1.4B to 3B parameters, with five seeds, or four for the 3B pair; Online Appendix C, Table C.2). Recovery still falls with the size of the upgrade, but much less. Copy recovered 0.987 [0.95, 1.03] after the small Pythia-1.4B upgrade and 0.786 [0.72, 0.85] after the large one, against 0.40 for the 160M model. The calibration method improved on copy by at most 0.03 in the Pythia pairs and by 0.01 for Qwen2.5-1.5B, and it did not improve on copy for Qwen2.5-3B. Base-to-instruct pairs varied widely: copy recovered 0.81 for Qwen2.5-1.5B and 0.65 for Qwen2.5-3B, while for SmolLM2-1.7B copying left the adapter</w:t>
      </w:r>
      <w:r>
        <w:t xml:space="preserve"> </w:t>
      </w:r>
      <w:r>
        <w:rPr>
          <w:iCs/>
          <w:i/>
        </w:rPr>
        <w:t xml:space="preserve">worse</w:t>
      </w:r>
      <w:r>
        <w:t xml:space="preserve"> </w:t>
      </w:r>
      <w:r>
        <w:t xml:space="preserve">than no adapter at all (negative recovery), because the instruct model already scores well without one and the retraining gain is small (0.08 nats). The room for cost savings thus depends on both the size of the upgrade and the scale of the model, and in our sample it is small for the larger models. That is the regime in which the model recommends free copy.</w:t>
      </w:r>
    </w:p>
    <w:p>
      <w:pPr>
        <w:pStyle w:val="BodyText"/>
      </w:pPr>
      <w:r>
        <w:rPr>
          <w:iCs/>
          <w:i/>
        </w:rPr>
        <w:t xml:space="preserve">Other tasks.</w:t>
      </w:r>
      <w:r>
        <w:t xml:space="preserve"> </w:t>
      </w:r>
      <w:r>
        <w:t xml:space="preserve">We repeated the design on two further tasks, summarization (DialogSum) and text-to-SQL (Online Appendix C, Table C.3). For the small continued-training upgrades of the 160M model, copy again recovered 91 to 97 percent on both tasks, so the default of copying holds across tasks. After the large upgrade, the recovery of copy varied with the task (0.40 for math reasoning, 0.35 for summarization, and 0.67 for SQL), while the calibration method added a similar 0.28 to 0.32 on each. That gain is large enough for</w:t>
      </w:r>
      <w:r>
        <w:t xml:space="preserve"> </w:t>
      </w:r>
      <m:oMath>
        <m:r>
          <m:t>Γ</m:t>
        </m:r>
      </m:oMath>
      <w:r>
        <w:t xml:space="preserve"> </w:t>
      </w:r>
      <w:r>
        <w:t xml:space="preserve">to exceed the reference cost ratio of 0.36 on two of the three tasks (0.45 and 0.82) and is borderline on the third (0.356). In the larger models the picture depends on the task. After the large Pythia-1.4B upgrade, copy recovered 0.99 on SQL and 0.79 on math reasoning but only 0.12 on summarization (three seeds, with an interval that spans zero), where the calibration method reached 0.28. For base-to-instruct pairs on summarization, copy recovered between</w:t>
      </w:r>
      <w:r>
        <w:t xml:space="preserve"> </w:t>
      </w:r>
      <m:oMath>
        <m:r>
          <m:rPr>
            <m:sty m:val="p"/>
          </m:rPr>
          <m:t>−</m:t>
        </m:r>
        <m:r>
          <m:t>0.06</m:t>
        </m:r>
      </m:oMath>
      <w:r>
        <w:t xml:space="preserve"> </w:t>
      </w:r>
      <w:r>
        <w:t xml:space="preserve">and 0.63, and the calibration method never improved on it reliably. These are the cases in which the model recommends retraining, since copy is of little use and no tool helps.</w:t>
      </w:r>
    </w:p>
    <w:bookmarkEnd w:id="28"/>
    <w:bookmarkEnd w:id="29"/>
    <w:bookmarkStart w:id="30" w:name="X495cb863876bbef3f6ffba70a9e73102f2d8a6f"/>
    <w:p>
      <w:pPr>
        <w:pStyle w:val="Heading2"/>
      </w:pPr>
      <w:r>
        <w:t xml:space="preserve">4. Microfoundation: The Firm’s Maintenance Option</w:t>
      </w:r>
    </w:p>
    <w:p>
      <w:pPr>
        <w:pStyle w:val="FirstParagraph"/>
      </w:pPr>
      <w:r>
        <w:t xml:space="preserve">Let</w:t>
      </w:r>
      <w:r>
        <w:t xml:space="preserve"> </w:t>
      </w:r>
      <m:oMath>
        <m:r>
          <m:t>k</m:t>
        </m:r>
        <m:d>
          <m:dPr>
            <m:begChr m:val="("/>
            <m:endChr m:val=")"/>
            <m:sepChr m:val=""/>
            <m:grow/>
          </m:dPr>
          <m:e>
            <m:r>
              <m:t>R</m:t>
            </m:r>
          </m:e>
        </m:d>
        <m:r>
          <m:rPr>
            <m:sty m:val="p"/>
          </m:rPr>
          <m:t>=</m:t>
        </m:r>
        <m:d>
          <m:dPr>
            <m:begChr m:val="("/>
            <m:endChr m:val=")"/>
            <m:sepChr m:val=""/>
            <m:grow/>
          </m:dPr>
          <m:e>
            <m:r>
              <m:t>1</m:t>
            </m:r>
            <m:r>
              <m:rPr>
                <m:sty m:val="p"/>
              </m:rPr>
              <m:t>−</m:t>
            </m:r>
            <m:r>
              <m:t>R</m:t>
            </m:r>
          </m:e>
        </m:d>
        <m:r>
          <m:rPr>
            <m:sty m:val="p"/>
          </m:rPr>
          <m:t>/</m:t>
        </m:r>
        <m:d>
          <m:dPr>
            <m:begChr m:val="("/>
            <m:endChr m:val=")"/>
            <m:sepChr m:val=""/>
            <m:grow/>
          </m:dPr>
          <m:e>
            <m:r>
              <m:t>ρ</m:t>
            </m:r>
            <m:r>
              <m:rPr>
                <m:sty m:val="p"/>
              </m:rPr>
              <m:t>+</m:t>
            </m:r>
            <m:r>
              <m:t>μ</m:t>
            </m:r>
            <m:r>
              <m:rPr>
                <m:sty m:val="p"/>
              </m:rPr>
              <m:t>−</m:t>
            </m:r>
            <m:r>
              <m:t>g</m:t>
            </m:r>
          </m:e>
        </m:d>
      </m:oMath>
      <w:r>
        <w:t xml:space="preserve"> </w:t>
      </w:r>
      <w:r>
        <w:t xml:space="preserve">be the expected present-value multiplier on the flow lost until Poisson expiry. The underlying asset of the retraining option is</w:t>
      </w:r>
      <w:r>
        <w:t xml:space="preserve"> </w:t>
      </w:r>
      <m:oMath>
        <m:r>
          <m:t>k</m:t>
        </m:r>
        <m:d>
          <m:dPr>
            <m:begChr m:val="("/>
            <m:endChr m:val=")"/>
            <m:sepChr m:val=""/>
            <m:grow/>
          </m:dPr>
          <m:e>
            <m:r>
              <m:t>R</m:t>
            </m:r>
          </m:e>
        </m:d>
        <m:r>
          <m:t>v</m:t>
        </m:r>
      </m:oMath>
      <w:r>
        <w:t xml:space="preserve">, its strike is</w:t>
      </w:r>
      <w:r>
        <w:t xml:space="preserve"> </w:t>
      </w:r>
      <m:oMath>
        <m:sSub>
          <m:e>
            <m:r>
              <m:t>C</m:t>
            </m:r>
          </m:e>
          <m:sub>
            <m:r>
              <m:t>N</m:t>
            </m:r>
          </m:sub>
        </m:sSub>
      </m:oMath>
      <w:r>
        <w:t xml:space="preserve">, and it expires at the next upgrade. Let</w:t>
      </w:r>
      <w:r>
        <w:t xml:space="preserve"> </w:t>
      </w:r>
      <m:oMath>
        <m:r>
          <m:t>β</m:t>
        </m:r>
        <m:r>
          <m:rPr>
            <m:sty m:val="p"/>
          </m:rPr>
          <m:t>&gt;</m:t>
        </m:r>
        <m:r>
          <m:t>1</m:t>
        </m:r>
      </m:oMath>
      <w:r>
        <w:t xml:space="preserve"> </w:t>
      </w:r>
      <w:r>
        <w:t xml:space="preserve">be the positive root of</w:t>
      </w:r>
      <w:r>
        <w:t xml:space="preserve"> </w:t>
      </w:r>
      <m:oMath>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w:t>
      </w:r>
    </w:p>
    <w:p>
      <w:pPr>
        <w:pStyle w:val="BodyText"/>
      </w:pPr>
      <w:r>
        <w:rPr>
          <w:bCs/>
          <w:b/>
        </w:rPr>
        <w:t xml:space="preserve">Proposition 1 (Maintenance option).</w:t>
      </w:r>
      <w:r>
        <w:t xml:space="preserve"> </w:t>
      </w:r>
      <w:r>
        <w:t xml:space="preserve">(a) For a firm operating at recovery</w:t>
      </w:r>
      <w:r>
        <w:t xml:space="preserve"> </w:t>
      </w:r>
      <m:oMath>
        <m:r>
          <m:t>R</m:t>
        </m:r>
        <m:r>
          <m:rPr>
            <m:sty m:val="p"/>
          </m:rPr>
          <m:t>&lt;</m:t>
        </m:r>
        <m:r>
          <m:t>1</m:t>
        </m:r>
      </m:oMath>
      <w:r>
        <w:t xml:space="preserve">, it is optimal to retrain the first time</w:t>
      </w:r>
      <w:r>
        <w:t xml:space="preserve"> </w:t>
      </w:r>
      <m:oMath>
        <m:r>
          <m:t>v</m:t>
        </m:r>
      </m:oMath>
      <w:r>
        <w:t xml:space="preserve"> </w:t>
      </w:r>
      <w:r>
        <w:t xml:space="preserve">reaches</w:t>
      </w:r>
    </w:p>
    <w:p>
      <w:pPr>
        <w:pStyle w:val="BodyText"/>
      </w:pPr>
      <m:oMathPara>
        <m:oMathParaPr>
          <m:jc m:val="center"/>
        </m:oMathParaPr>
        <m:oMath>
          <m:sSup>
            <m:e>
              <m:r>
                <m:t>v</m:t>
              </m:r>
            </m:e>
            <m:sup>
              <m:r>
                <m:rPr>
                  <m:sty m:val="p"/>
                </m:rPr>
                <m:t>*</m:t>
              </m:r>
            </m:sup>
          </m:sSup>
          <m:d>
            <m:dPr>
              <m:begChr m:val="("/>
              <m:endChr m:val=")"/>
              <m:sepChr m:val=""/>
              <m:grow/>
            </m:dPr>
            <m:e>
              <m:r>
                <m:t>R</m:t>
              </m:r>
            </m:e>
          </m:d>
          <m:r>
            <m:rPr>
              <m:sty m:val="p"/>
            </m:rPr>
            <m:t>=</m:t>
          </m:r>
          <m:f>
            <m:fPr>
              <m:type m:val="bar"/>
            </m:fPr>
            <m:num>
              <m:r>
                <m:t>β</m:t>
              </m:r>
            </m:num>
            <m:den>
              <m:r>
                <m:t>β</m:t>
              </m:r>
              <m:r>
                <m:rPr>
                  <m:sty m:val="p"/>
                </m:rPr>
                <m:t>−</m:t>
              </m:r>
              <m:r>
                <m:t>1</m:t>
              </m:r>
            </m:den>
          </m:f>
          <m:r>
            <m:t> </m:t>
          </m:r>
          <m:f>
            <m:fPr>
              <m:type m:val="bar"/>
            </m:fPr>
            <m:num>
              <m:sSub>
                <m:e>
                  <m:r>
                    <m:t>C</m:t>
                  </m:r>
                </m:e>
                <m:sub>
                  <m:r>
                    <m:t>N</m:t>
                  </m:r>
                </m:sub>
              </m:sSub>
            </m:num>
            <m:den>
              <m:r>
                <m:t>k</m:t>
              </m:r>
              <m:d>
                <m:dPr>
                  <m:begChr m:val="("/>
                  <m:endChr m:val=")"/>
                  <m:sepChr m:val=""/>
                  <m:grow/>
                </m:dPr>
                <m:e>
                  <m:r>
                    <m:t>R</m:t>
                  </m:r>
                </m:e>
              </m:d>
            </m:den>
          </m:f>
          <m:r>
            <m:rPr>
              <m:sty m:val="p"/>
            </m:rPr>
            <m:t>.</m:t>
          </m:r>
        </m:oMath>
      </m:oMathPara>
    </w:p>
    <w:p>
      <w:pPr>
        <w:pStyle w:val="FirstParagraph"/>
      </w:pPr>
      <w:r>
        <w:t xml:space="preserve">For</w:t>
      </w:r>
      <w:r>
        <w:t xml:space="preserve"> </w:t>
      </w:r>
      <m:oMath>
        <m:r>
          <m:t>v</m:t>
        </m:r>
        <m:r>
          <m:rPr>
            <m:sty m:val="p"/>
          </m:rPr>
          <m:t>&lt;</m:t>
        </m:r>
        <m:sSup>
          <m:e>
            <m:r>
              <m:t>v</m:t>
            </m:r>
          </m:e>
          <m:sup>
            <m:r>
              <m:rPr>
                <m:sty m:val="p"/>
              </m:rPr>
              <m:t>*</m:t>
            </m:r>
          </m:sup>
        </m:sSup>
      </m:oMath>
      <w:r>
        <w:t xml:space="preserve"> </w:t>
      </w:r>
      <w:r>
        <w:t xml:space="preserve">the option value is</w:t>
      </w:r>
      <w:r>
        <w:t xml:space="preserve"> </w:t>
      </w:r>
      <m:oMath>
        <m:r>
          <m:t>F</m:t>
        </m:r>
        <m:d>
          <m:dPr>
            <m:begChr m:val="("/>
            <m:endChr m:val=")"/>
            <m:sepChr m:val=""/>
            <m:grow/>
          </m:dPr>
          <m:e>
            <m:r>
              <m:t>v</m:t>
            </m:r>
          </m:e>
        </m:d>
        <m:r>
          <m:rPr>
            <m:sty m:val="p"/>
          </m:rPr>
          <m:t>=</m:t>
        </m:r>
        <m:d>
          <m:dPr>
            <m:begChr m:val="("/>
            <m:endChr m:val=")"/>
            <m:sepChr m:val=""/>
            <m:grow/>
          </m:dPr>
          <m:e>
            <m:r>
              <m:t>k</m:t>
            </m:r>
            <m:sSup>
              <m:e>
                <m:r>
                  <m:t>v</m:t>
                </m:r>
              </m:e>
              <m:sup>
                <m:r>
                  <m:rPr>
                    <m:sty m:val="p"/>
                  </m:rPr>
                  <m:t>*</m:t>
                </m:r>
              </m:sup>
            </m:sSup>
            <m:r>
              <m:rPr>
                <m:sty m:val="p"/>
              </m:rPr>
              <m:t>−</m:t>
            </m:r>
            <m:sSub>
              <m:e>
                <m:r>
                  <m:t>C</m:t>
                </m:r>
              </m:e>
              <m:sub>
                <m:r>
                  <m:t>N</m:t>
                </m:r>
              </m:sub>
            </m:sSub>
          </m:e>
        </m:d>
        <m:sSup>
          <m:e>
            <m:d>
              <m:dPr>
                <m:begChr m:val="("/>
                <m:endChr m:val=")"/>
                <m:sepChr m:val=""/>
                <m:grow/>
              </m:dPr>
              <m:e>
                <m:r>
                  <m:t>v</m:t>
                </m:r>
                <m:r>
                  <m:rPr>
                    <m:sty m:val="p"/>
                  </m:rPr>
                  <m:t>/</m:t>
                </m:r>
                <m:sSup>
                  <m:e>
                    <m:r>
                      <m:t>v</m:t>
                    </m:r>
                  </m:e>
                  <m:sup>
                    <m:r>
                      <m:rPr>
                        <m:sty m:val="p"/>
                      </m:rPr>
                      <m:t>*</m:t>
                    </m:r>
                  </m:sup>
                </m:sSup>
              </m:e>
            </m:d>
          </m:e>
          <m:sup>
            <m:r>
              <m:t>β</m:t>
            </m:r>
          </m:sup>
        </m:sSup>
      </m:oMath>
      <w:r>
        <w:t xml:space="preserve">. (b)</w:t>
      </w:r>
      <w:r>
        <w:t xml:space="preserve"> </w:t>
      </w:r>
      <m:oMath>
        <m:sSup>
          <m:e>
            <m:r>
              <m:t>v</m:t>
            </m:r>
          </m:e>
          <m:sup>
            <m:r>
              <m:rPr>
                <m:sty m:val="p"/>
              </m:rPr>
              <m:t>*</m:t>
            </m:r>
          </m:sup>
        </m:sSup>
        <m:d>
          <m:dPr>
            <m:begChr m:val="("/>
            <m:endChr m:val=")"/>
            <m:sepChr m:val=""/>
            <m:grow/>
          </m:dPr>
          <m:e>
            <m:r>
              <m:t>R</m:t>
            </m:r>
          </m:e>
        </m:d>
      </m:oMath>
      <w:r>
        <w:t xml:space="preserve"> </w:t>
      </w:r>
      <w:r>
        <w:t xml:space="preserve">is increasing in</w:t>
      </w:r>
      <w:r>
        <w:t xml:space="preserve"> </w:t>
      </w:r>
      <m:oMath>
        <m:r>
          <m:t>R</m:t>
        </m:r>
      </m:oMath>
      <w:r>
        <w:t xml:space="preserve">, in</w:t>
      </w:r>
      <w:r>
        <w:t xml:space="preserve"> </w:t>
      </w:r>
      <m:oMath>
        <m:r>
          <m:t>μ</m:t>
        </m:r>
      </m:oMath>
      <w:r>
        <w:t xml:space="preserve">, and in</w:t>
      </w:r>
      <w:r>
        <w:t xml:space="preserve"> </w:t>
      </w:r>
      <m:oMath>
        <m:r>
          <m:t>σ</m:t>
        </m:r>
      </m:oMath>
      <w:r>
        <w:t xml:space="preserve">, and strictly exceeds the NPV threshold</w:t>
      </w:r>
      <w:r>
        <w:t xml:space="preserve"> </w:t>
      </w:r>
      <m:oMath>
        <m:sSub>
          <m:e>
            <m:r>
              <m:t>C</m:t>
            </m:r>
          </m:e>
          <m:sub>
            <m:r>
              <m:t>N</m:t>
            </m:r>
          </m:sub>
        </m:sSub>
        <m:r>
          <m:rPr>
            <m:sty m:val="p"/>
          </m:rPr>
          <m:t>/</m:t>
        </m:r>
        <m:r>
          <m:t>k</m:t>
        </m:r>
        <m:d>
          <m:dPr>
            <m:begChr m:val="("/>
            <m:endChr m:val=")"/>
            <m:sepChr m:val=""/>
            <m:grow/>
          </m:dPr>
          <m:e>
            <m:r>
              <m:t>R</m:t>
            </m:r>
          </m:e>
        </m:d>
      </m:oMath>
      <w:r>
        <w:t xml:space="preserve">.</w:t>
      </w:r>
    </w:p>
    <w:p>
      <w:pPr>
        <w:pStyle w:val="BodyText"/>
      </w:pPr>
      <w:r>
        <w:t xml:space="preserve">At</w:t>
      </w:r>
      <w:r>
        <w:t xml:space="preserve"> </w:t>
      </w:r>
      <m:oMath>
        <m:r>
          <m:t>ρ</m:t>
        </m:r>
        <m:r>
          <m:rPr>
            <m:sty m:val="p"/>
          </m:rPr>
          <m:t>=</m:t>
        </m:r>
        <m:r>
          <m:t>0.10</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 and</w:t>
      </w:r>
      <w:r>
        <w:t xml:space="preserve"> </w:t>
      </w:r>
      <m:oMath>
        <m:r>
          <m:t>μ</m:t>
        </m:r>
        <m:r>
          <m:rPr>
            <m:sty m:val="p"/>
          </m:rPr>
          <m:t>=</m:t>
        </m:r>
        <m:r>
          <m:t>2</m:t>
        </m:r>
      </m:oMath>
      <w:r>
        <w:t xml:space="preserve">, one has</w:t>
      </w:r>
      <w:r>
        <w:t xml:space="preserve"> </w:t>
      </w:r>
      <m:oMath>
        <m:r>
          <m:t>β</m:t>
        </m:r>
        <m:r>
          <m:rPr>
            <m:sty m:val="p"/>
          </m:rPr>
          <m:t>≈</m:t>
        </m:r>
        <m:r>
          <m:t>4.43</m:t>
        </m:r>
      </m:oMath>
      <w:r>
        <w:t xml:space="preserve"> </w:t>
      </w:r>
      <w:r>
        <w:t xml:space="preserve">and</w:t>
      </w:r>
      <w:r>
        <w:t xml:space="preserve"> </w:t>
      </w:r>
      <m:oMath>
        <m:r>
          <m:t>β</m:t>
        </m:r>
        <m:r>
          <m:rPr>
            <m:sty m:val="p"/>
          </m:rPr>
          <m:t>/</m:t>
        </m:r>
        <m:d>
          <m:dPr>
            <m:begChr m:val="("/>
            <m:endChr m:val=")"/>
            <m:sepChr m:val=""/>
            <m:grow/>
          </m:dPr>
          <m:e>
            <m:r>
              <m:t>β</m:t>
            </m:r>
            <m:r>
              <m:rPr>
                <m:sty m:val="p"/>
              </m:rPr>
              <m:t>−</m:t>
            </m:r>
            <m:r>
              <m:t>1</m:t>
            </m:r>
          </m:e>
        </m:d>
        <m:r>
          <m:rPr>
            <m:sty m:val="p"/>
          </m:rPr>
          <m:t>≈</m:t>
        </m:r>
        <m:r>
          <m:t>1.29</m:t>
        </m:r>
      </m:oMath>
      <w:r>
        <w:t xml:space="preserve">. Write</w:t>
      </w:r>
      <w:r>
        <w:t xml:space="preserve"> </w:t>
      </w:r>
      <m:oMath>
        <m:sSub>
          <m:e>
            <m:r>
              <m:t>W</m:t>
            </m:r>
          </m:e>
          <m:sub>
            <m:r>
              <m:t>j</m:t>
            </m:r>
          </m:sub>
        </m:sSub>
        <m:d>
          <m:dPr>
            <m:begChr m:val="("/>
            <m:endChr m:val=")"/>
            <m:sepChr m:val=""/>
            <m:grow/>
          </m:dPr>
          <m:e>
            <m:r>
              <m:t>v</m:t>
            </m:r>
          </m:e>
        </m:d>
      </m:oMath>
      <w:r>
        <w:t xml:space="preserve"> </w:t>
      </w:r>
      <w:r>
        <w:t xml:space="preserve">for the expected total cost of transferring with method</w:t>
      </w:r>
      <w:r>
        <w:t xml:space="preserve"> </w:t>
      </w:r>
      <m:oMath>
        <m:r>
          <m:t>j</m:t>
        </m:r>
      </m:oMath>
      <w:r>
        <w:t xml:space="preserve"> </w:t>
      </w:r>
      <w:r>
        <w:t xml:space="preserve">and then following the optimal retraining rule. For</w:t>
      </w:r>
      <w:r>
        <w:t xml:space="preserve"> </w:t>
      </w:r>
      <m:oMath>
        <m:r>
          <m:t>v</m:t>
        </m:r>
        <m:r>
          <m:rPr>
            <m:sty m:val="p"/>
          </m:rPr>
          <m:t>&lt;</m:t>
        </m:r>
        <m:sSubSup>
          <m:e>
            <m:r>
              <m:t>v</m:t>
            </m:r>
          </m:e>
          <m:sub>
            <m:r>
              <m:t>j</m:t>
            </m:r>
          </m:sub>
          <m:sup>
            <m:r>
              <m:rPr>
                <m:sty m:val="p"/>
              </m:rPr>
              <m:t>*</m:t>
            </m:r>
          </m:sup>
        </m:sSubSup>
      </m:oMath>
      <w:r>
        <w:t xml:space="preserv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k</m:t>
            </m:r>
          </m:e>
          <m:sub>
            <m:r>
              <m:t>j</m:t>
            </m:r>
          </m:sub>
        </m:sSub>
        <m:r>
          <m:t>v</m:t>
        </m:r>
        <m:r>
          <m:rPr>
            <m:sty m:val="p"/>
          </m:rPr>
          <m:t>−</m:t>
        </m:r>
        <m:sSub>
          <m:e>
            <m:r>
              <m:t>F</m:t>
            </m:r>
          </m:e>
          <m:sub>
            <m:r>
              <m:t>j</m:t>
            </m:r>
          </m:sub>
        </m:sSub>
        <m:d>
          <m:dPr>
            <m:begChr m:val="("/>
            <m:endChr m:val=")"/>
            <m:sepChr m:val=""/>
            <m:grow/>
          </m:dPr>
          <m:e>
            <m:r>
              <m:t>v</m:t>
            </m:r>
          </m:e>
        </m:d>
      </m:oMath>
      <w:r>
        <w:t xml:space="preserve">; otherwise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C</m:t>
            </m:r>
          </m:e>
          <m:sub>
            <m:r>
              <m:t>N</m:t>
            </m:r>
          </m:sub>
        </m:sSub>
      </m:oMath>
      <w:r>
        <w:t xml:space="preserve">.</w:t>
      </w:r>
    </w:p>
    <w:p>
      <w:pPr>
        <w:pStyle w:val="BodyText"/>
      </w:pPr>
      <w:r>
        <w:rPr>
          <w:bCs/>
          <w:b/>
        </w:rPr>
        <w:t xml:space="preserve">Proposition 2 (Copy dominance and the costly-transfer band).</w:t>
      </w:r>
      <w:r>
        <w:t xml:space="preserve"> </w:t>
      </w:r>
      <w:r>
        <w:t xml:space="preserve">(a) For all</w:t>
      </w:r>
      <w:r>
        <w:t xml:space="preserve"> </w:t>
      </w:r>
      <m:oMath>
        <m:r>
          <m:t>v</m:t>
        </m:r>
      </m:oMath>
      <w:r>
        <w:t xml:space="preserve">,</w:t>
      </w:r>
      <w:r>
        <w:t xml:space="preserve"> </w:t>
      </w:r>
      <m:oMath>
        <m:sSub>
          <m:e>
            <m:r>
              <m:t>W</m:t>
            </m:r>
          </m:e>
          <m:sub>
            <m:r>
              <m:t>C</m:t>
            </m:r>
          </m:sub>
        </m:sSub>
        <m:d>
          <m:dPr>
            <m:begChr m:val="("/>
            <m:endChr m:val=")"/>
            <m:sepChr m:val=""/>
            <m:grow/>
          </m:dPr>
          <m:e>
            <m:r>
              <m:t>v</m:t>
            </m:r>
          </m:e>
        </m:d>
        <m:r>
          <m:rPr>
            <m:sty m:val="p"/>
          </m:rPr>
          <m:t>≤</m:t>
        </m:r>
        <m:sSub>
          <m:e>
            <m:r>
              <m:t>C</m:t>
            </m:r>
          </m:e>
          <m:sub>
            <m:r>
              <m:t>N</m:t>
            </m:r>
          </m:sub>
        </m:sSub>
      </m:oMath>
      <w:r>
        <w:t xml:space="preserve">, with equality only on</w:t>
      </w:r>
      <w:r>
        <w:t xml:space="preserve"> </w:t>
      </w:r>
      <m:oMath>
        <m:r>
          <m:t>v</m:t>
        </m:r>
        <m:r>
          <m:rPr>
            <m:sty m:val="p"/>
          </m:rPr>
          <m:t>≥</m:t>
        </m:r>
        <m:sSubSup>
          <m:e>
            <m:r>
              <m:t>v</m:t>
            </m:r>
          </m:e>
          <m:sub>
            <m:r>
              <m:t>C</m:t>
            </m:r>
          </m:sub>
          <m:sup>
            <m:r>
              <m:rPr>
                <m:sty m:val="p"/>
              </m:rPr>
              <m:t>*</m:t>
            </m:r>
          </m:sup>
        </m:sSubSup>
      </m:oMath>
      <w:r>
        <w:t xml:space="preserve">. Immediate retraining is therefore optimal only above the copy threshold. (b) A method</w:t>
      </w:r>
      <w:r>
        <w:t xml:space="preserve"> </w:t>
      </w:r>
      <m:oMath>
        <m:r>
          <m:t>A</m:t>
        </m:r>
      </m:oMath>
      <w:r>
        <w:t xml:space="preserve"> </w:t>
      </w:r>
      <w:r>
        <w:t xml:space="preserve">with</w:t>
      </w:r>
      <w:r>
        <w:t xml:space="preserve"> </w:t>
      </w:r>
      <m:oMath>
        <m:sSub>
          <m:e>
            <m:r>
              <m:t>R</m:t>
            </m:r>
          </m:e>
          <m:sub>
            <m:r>
              <m:t>A</m:t>
            </m:r>
          </m:sub>
        </m:sSub>
        <m:r>
          <m:rPr>
            <m:sty m:val="p"/>
          </m:rPr>
          <m:t>&gt;</m:t>
        </m:r>
        <m:sSub>
          <m:e>
            <m:r>
              <m:t>R</m:t>
            </m:r>
          </m:e>
          <m:sub>
            <m:r>
              <m:t>C</m:t>
            </m:r>
          </m:sub>
        </m:sSub>
      </m:oMath>
      <w:r>
        <w:t xml:space="preserve"> </w:t>
      </w:r>
      <w:r>
        <w:t xml:space="preserve">has a nonempty set of</w:t>
      </w:r>
      <w:r>
        <w:t xml:space="preserve"> </w:t>
      </w:r>
      <m:oMath>
        <m:r>
          <m:t>v</m:t>
        </m:r>
      </m:oMath>
      <w:r>
        <w:t xml:space="preserve"> </w:t>
      </w:r>
      <w:r>
        <w:t xml:space="preserve">at which it is uniquely optimal only if</w:t>
      </w:r>
      <w:r>
        <w:t xml:space="preserve"> </w:t>
      </w:r>
      <m:oMath>
        <m:sSub>
          <m:e>
            <m:r>
              <m:t>C</m:t>
            </m:r>
          </m:e>
          <m:sub>
            <m:r>
              <m:t>A</m:t>
            </m:r>
          </m:sub>
        </m:sSub>
        <m:r>
          <m:rPr>
            <m:sty m:val="p"/>
          </m:rPr>
          <m:t>&lt;</m:t>
        </m:r>
        <m:r>
          <m:t>Γ</m:t>
        </m:r>
        <m:d>
          <m:dPr>
            <m:begChr m:val="("/>
            <m:endChr m:val=")"/>
            <m:sepChr m:val=""/>
            <m:grow/>
          </m:dPr>
          <m:e>
            <m:sSub>
              <m:e>
                <m:r>
                  <m:t>R</m:t>
                </m:r>
              </m:e>
              <m:sub>
                <m:r>
                  <m:t>A</m:t>
                </m:r>
              </m:sub>
            </m:sSub>
            <m:r>
              <m:rPr>
                <m:sty m:val="p"/>
              </m:rPr>
              <m:t>,</m:t>
            </m:r>
            <m:sSub>
              <m:e>
                <m:r>
                  <m:t>R</m:t>
                </m:r>
              </m:e>
              <m:sub>
                <m:r>
                  <m:t>C</m:t>
                </m:r>
              </m:sub>
            </m:sSub>
          </m:e>
        </m:d>
      </m:oMath>
      <w:r>
        <w:t xml:space="preserve">, the maximum reduction in expected cost that</w:t>
      </w:r>
      <w:r>
        <w:t xml:space="preserve"> </w:t>
      </w:r>
      <m:oMath>
        <m:r>
          <m:t>A</m:t>
        </m:r>
      </m:oMath>
      <w:r>
        <w:t xml:space="preserve"> </w:t>
      </w:r>
      <w:r>
        <w:t xml:space="preserve">can deliver relative to copy and to immediate retraining. That set, when it exists, lies strictly between the copy region and the immediate-retraining region.</w:t>
      </w:r>
    </w:p>
    <w:tbl>
      <w:tblPr>
        <w:tblStyle w:val="Table"/>
        <w:tblW w:type="pct" w:w="5000"/>
        <w:tblLook w:firstRow="1" w:lastRow="0" w:firstColumn="0" w:lastColumn="0" w:noHBand="0" w:noVBand="0" w:val="0020"/>
        <w:jc w:val="start"/>
      </w:tblPr>
      <w:tblGrid>
        <w:gridCol w:w="1267"/>
        <w:gridCol w:w="1267"/>
        <w:gridCol w:w="1267"/>
        <w:gridCol w:w="1267"/>
        <w:gridCol w:w="1584"/>
        <w:gridCol w:w="1267"/>
      </w:tblGrid>
      <w:tr>
        <w:trPr>
          <w:tblHeader w:val="true"/>
        </w:trPr>
        <w:tc>
          <w:tcPr/>
          <w:p>
            <w:pPr>
              <w:pStyle w:val="Compact"/>
              <w:jc w:val="left"/>
            </w:pPr>
            <w:r>
              <w:t xml:space="preserve">Family</w:t>
            </w:r>
          </w:p>
        </w:tc>
        <w:tc>
          <w:tcPr/>
          <w:p>
            <w:pPr>
              <w:pStyle w:val="Compact"/>
              <w:jc w:val="right"/>
            </w:pPr>
            <m:oMath>
              <m:acc>
                <m:accPr>
                  <m:chr m:val="̂"/>
                </m:accPr>
                <m:e>
                  <m:r>
                    <m:t>μ</m:t>
                  </m:r>
                </m:e>
              </m:acc>
            </m:oMath>
          </w:p>
        </w:tc>
        <w:tc>
          <w:tcPr/>
          <w:p>
            <w:pPr>
              <w:pStyle w:val="Compact"/>
              <w:jc w:val="right"/>
            </w:pPr>
            <m:oMath>
              <m:sSup>
                <m:e>
                  <m:r>
                    <m:t>v</m:t>
                  </m:r>
                </m:e>
                <m:sup>
                  <m:r>
                    <m:rPr>
                      <m:sty m:val="p"/>
                    </m:rPr>
                    <m:t>*</m:t>
                  </m:r>
                </m:sup>
              </m:sSup>
            </m:oMath>
            <w:r>
              <w:t xml:space="preserve"> </w:t>
            </w:r>
            <w:r>
              <w:t xml:space="preserve">copy</w:t>
            </w:r>
          </w:p>
        </w:tc>
        <w:tc>
          <w:tcPr/>
          <w:p>
            <w:pPr>
              <w:pStyle w:val="Compact"/>
              <w:jc w:val="right"/>
            </w:pPr>
            <m:oMath>
              <m:sSup>
                <m:e>
                  <m:r>
                    <m:t>v</m:t>
                  </m:r>
                </m:e>
                <m:sup>
                  <m:r>
                    <m:rPr>
                      <m:sty m:val="p"/>
                    </m:rPr>
                    <m:t>*</m:t>
                  </m:r>
                </m:sup>
              </m:sSup>
            </m:oMath>
            <w:r>
              <w:t xml:space="preserve"> </w:t>
            </w:r>
            <w:r>
              <w:t xml:space="preserve">transfer</w:t>
            </w:r>
          </w:p>
        </w:tc>
        <w:tc>
          <w:tcPr/>
          <w:p>
            <w:pPr>
              <w:pStyle w:val="Compact"/>
              <w:jc w:val="center"/>
            </w:pPr>
            <w:r>
              <w:t xml:space="preserve">Transfer-optimal band</w:t>
            </w:r>
          </w:p>
        </w:tc>
        <w:tc>
          <w:tcPr/>
          <w:p>
            <w:pPr>
              <w:pStyle w:val="Compact"/>
              <w:jc w:val="right"/>
            </w:pPr>
            <m:oMath>
              <m:r>
                <m:t>Γ</m:t>
              </m:r>
            </m:oMath>
          </w:p>
        </w:tc>
      </w:tr>
      <w:tr>
        <w:tc>
          <w:tcPr/>
          <w:p>
            <w:pPr>
              <w:pStyle w:val="Compact"/>
              <w:jc w:val="left"/>
            </w:pPr>
            <w:r>
              <w:t xml:space="preserve">Gemma</w:t>
            </w:r>
          </w:p>
        </w:tc>
        <w:tc>
          <w:tcPr/>
          <w:p>
            <w:pPr>
              <w:pStyle w:val="Compact"/>
              <w:jc w:val="right"/>
            </w:pPr>
            <w:r>
              <w:t xml:space="preserve">1.15</w:t>
            </w:r>
          </w:p>
        </w:tc>
        <w:tc>
          <w:tcPr/>
          <w:p>
            <w:pPr>
              <w:pStyle w:val="Compact"/>
              <w:jc w:val="right"/>
            </w:pPr>
            <w:r>
              <w:t xml:space="preserve">3.50</w:t>
            </w:r>
          </w:p>
        </w:tc>
        <w:tc>
          <w:tcPr/>
          <w:p>
            <w:pPr>
              <w:pStyle w:val="Compact"/>
              <w:jc w:val="right"/>
            </w:pPr>
            <w:r>
              <w:t xml:space="preserve">6.90</w:t>
            </w:r>
          </w:p>
        </w:tc>
        <w:tc>
          <w:tcPr/>
          <w:p>
            <w:pPr>
              <w:pStyle w:val="Compact"/>
              <w:jc w:val="center"/>
            </w:pPr>
            <w:r>
              <w:t xml:space="preserve">0.25 to 5.66</w:t>
            </w:r>
          </w:p>
        </w:tc>
        <w:tc>
          <w:tcPr/>
          <w:p>
            <w:pPr>
              <w:pStyle w:val="Compact"/>
              <w:jc w:val="right"/>
            </w:pPr>
            <w:r>
              <w:t xml:space="preserve">0.38</w:t>
            </w:r>
          </w:p>
        </w:tc>
      </w:tr>
      <w:tr>
        <w:tc>
          <w:tcPr/>
          <w:p>
            <w:pPr>
              <w:pStyle w:val="Compact"/>
              <w:jc w:val="left"/>
            </w:pPr>
            <w:r>
              <w:t xml:space="preserve">Phi</w:t>
            </w:r>
          </w:p>
        </w:tc>
        <w:tc>
          <w:tcPr/>
          <w:p>
            <w:pPr>
              <w:pStyle w:val="Compact"/>
              <w:jc w:val="right"/>
            </w:pPr>
            <w:r>
              <w:t xml:space="preserve">1.31</w:t>
            </w:r>
          </w:p>
        </w:tc>
        <w:tc>
          <w:tcPr/>
          <w:p>
            <w:pPr>
              <w:pStyle w:val="Compact"/>
              <w:jc w:val="right"/>
            </w:pPr>
            <w:r>
              <w:t xml:space="preserve">3.91</w:t>
            </w:r>
          </w:p>
        </w:tc>
        <w:tc>
          <w:tcPr/>
          <w:p>
            <w:pPr>
              <w:pStyle w:val="Compact"/>
              <w:jc w:val="right"/>
            </w:pPr>
            <w:r>
              <w:t xml:space="preserve">7.72</w:t>
            </w:r>
          </w:p>
        </w:tc>
        <w:tc>
          <w:tcPr/>
          <w:p>
            <w:pPr>
              <w:pStyle w:val="Compact"/>
              <w:jc w:val="center"/>
            </w:pPr>
            <w:r>
              <w:t xml:space="preserve">0.29 to 6.37</w:t>
            </w:r>
          </w:p>
        </w:tc>
        <w:tc>
          <w:tcPr/>
          <w:p>
            <w:pPr>
              <w:pStyle w:val="Compact"/>
              <w:jc w:val="right"/>
            </w:pPr>
            <w:r>
              <w:t xml:space="preserve">0.39</w:t>
            </w:r>
          </w:p>
        </w:tc>
      </w:tr>
      <w:tr>
        <w:tc>
          <w:tcPr/>
          <w:p>
            <w:pPr>
              <w:pStyle w:val="Compact"/>
              <w:jc w:val="left"/>
            </w:pPr>
            <w:r>
              <w:t xml:space="preserve">Llama</w:t>
            </w:r>
          </w:p>
        </w:tc>
        <w:tc>
          <w:tcPr/>
          <w:p>
            <w:pPr>
              <w:pStyle w:val="Compact"/>
              <w:jc w:val="right"/>
            </w:pPr>
            <w:r>
              <w:t xml:space="preserve">1.67</w:t>
            </w:r>
          </w:p>
        </w:tc>
        <w:tc>
          <w:tcPr/>
          <w:p>
            <w:pPr>
              <w:pStyle w:val="Compact"/>
              <w:jc w:val="right"/>
            </w:pPr>
            <w:r>
              <w:t xml:space="preserve">4.84</w:t>
            </w:r>
          </w:p>
        </w:tc>
        <w:tc>
          <w:tcPr/>
          <w:p>
            <w:pPr>
              <w:pStyle w:val="Compact"/>
              <w:jc w:val="right"/>
            </w:pPr>
            <w:r>
              <w:t xml:space="preserve">9.55</w:t>
            </w:r>
          </w:p>
        </w:tc>
        <w:tc>
          <w:tcPr/>
          <w:p>
            <w:pPr>
              <w:pStyle w:val="Compact"/>
              <w:jc w:val="center"/>
            </w:pPr>
            <w:r>
              <w:t xml:space="preserve">0.37 to 7.95</w:t>
            </w:r>
          </w:p>
        </w:tc>
        <w:tc>
          <w:tcPr/>
          <w:p>
            <w:pPr>
              <w:pStyle w:val="Compact"/>
              <w:jc w:val="right"/>
            </w:pPr>
            <w:r>
              <w:t xml:space="preserve">0.40</w:t>
            </w:r>
          </w:p>
        </w:tc>
      </w:tr>
      <w:tr>
        <w:tc>
          <w:tcPr/>
          <w:p>
            <w:pPr>
              <w:pStyle w:val="Compact"/>
              <w:jc w:val="left"/>
            </w:pPr>
            <w:r>
              <w:t xml:space="preserve">DeepSeek</w:t>
            </w:r>
          </w:p>
        </w:tc>
        <w:tc>
          <w:tcPr/>
          <w:p>
            <w:pPr>
              <w:pStyle w:val="Compact"/>
              <w:jc w:val="right"/>
            </w:pPr>
            <w:r>
              <w:t xml:space="preserve">2.47</w:t>
            </w:r>
          </w:p>
        </w:tc>
        <w:tc>
          <w:tcPr/>
          <w:p>
            <w:pPr>
              <w:pStyle w:val="Compact"/>
              <w:jc w:val="right"/>
            </w:pPr>
            <w:r>
              <w:t xml:space="preserve">6.87</w:t>
            </w:r>
          </w:p>
        </w:tc>
        <w:tc>
          <w:tcPr/>
          <w:p>
            <w:pPr>
              <w:pStyle w:val="Compact"/>
              <w:jc w:val="right"/>
            </w:pPr>
            <w:r>
              <w:t xml:space="preserve">13.55</w:t>
            </w:r>
          </w:p>
        </w:tc>
        <w:tc>
          <w:tcPr/>
          <w:p>
            <w:pPr>
              <w:pStyle w:val="Compact"/>
              <w:jc w:val="center"/>
            </w:pPr>
            <w:r>
              <w:t xml:space="preserve">0.56 to 11.49</w:t>
            </w:r>
          </w:p>
        </w:tc>
        <w:tc>
          <w:tcPr/>
          <w:p>
            <w:pPr>
              <w:pStyle w:val="Compact"/>
              <w:jc w:val="right"/>
            </w:pPr>
            <w:r>
              <w:t xml:space="preserve">0.42</w:t>
            </w:r>
          </w:p>
        </w:tc>
      </w:tr>
      <w:tr>
        <w:tc>
          <w:tcPr/>
          <w:p>
            <w:pPr>
              <w:pStyle w:val="Compact"/>
              <w:jc w:val="left"/>
            </w:pPr>
            <w:r>
              <w:t xml:space="preserve">Qwen</w:t>
            </w:r>
          </w:p>
        </w:tc>
        <w:tc>
          <w:tcPr/>
          <w:p>
            <w:pPr>
              <w:pStyle w:val="Compact"/>
              <w:jc w:val="right"/>
            </w:pPr>
            <w:r>
              <w:t xml:space="preserve">2.54</w:t>
            </w:r>
          </w:p>
        </w:tc>
        <w:tc>
          <w:tcPr/>
          <w:p>
            <w:pPr>
              <w:pStyle w:val="Compact"/>
              <w:jc w:val="right"/>
            </w:pPr>
            <w:r>
              <w:t xml:space="preserve">7.05</w:t>
            </w:r>
          </w:p>
        </w:tc>
        <w:tc>
          <w:tcPr/>
          <w:p>
            <w:pPr>
              <w:pStyle w:val="Compact"/>
              <w:jc w:val="right"/>
            </w:pPr>
            <w:r>
              <w:t xml:space="preserve">13.90</w:t>
            </w:r>
          </w:p>
        </w:tc>
        <w:tc>
          <w:tcPr/>
          <w:p>
            <w:pPr>
              <w:pStyle w:val="Compact"/>
              <w:jc w:val="center"/>
            </w:pPr>
            <w:r>
              <w:t xml:space="preserve">0.57 to 11.77</w:t>
            </w:r>
          </w:p>
        </w:tc>
        <w:tc>
          <w:tcPr/>
          <w:p>
            <w:pPr>
              <w:pStyle w:val="Compact"/>
              <w:jc w:val="right"/>
            </w:pPr>
            <w:r>
              <w:t xml:space="preserve">0.42</w:t>
            </w:r>
          </w:p>
        </w:tc>
      </w:tr>
      <w:tr>
        <w:tc>
          <w:tcPr/>
          <w:p>
            <w:pPr>
              <w:pStyle w:val="Compact"/>
              <w:jc w:val="left"/>
            </w:pPr>
            <w:r>
              <w:t xml:space="preserve">Mistral</w:t>
            </w:r>
          </w:p>
        </w:tc>
        <w:tc>
          <w:tcPr/>
          <w:p>
            <w:pPr>
              <w:pStyle w:val="Compact"/>
              <w:jc w:val="right"/>
            </w:pPr>
            <w:r>
              <w:t xml:space="preserve">2.66</w:t>
            </w:r>
          </w:p>
        </w:tc>
        <w:tc>
          <w:tcPr/>
          <w:p>
            <w:pPr>
              <w:pStyle w:val="Compact"/>
              <w:jc w:val="right"/>
            </w:pPr>
            <w:r>
              <w:t xml:space="preserve">7.35</w:t>
            </w:r>
          </w:p>
        </w:tc>
        <w:tc>
          <w:tcPr/>
          <w:p>
            <w:pPr>
              <w:pStyle w:val="Compact"/>
              <w:jc w:val="right"/>
            </w:pPr>
            <w:r>
              <w:t xml:space="preserve">14.49</w:t>
            </w:r>
          </w:p>
        </w:tc>
        <w:tc>
          <w:tcPr/>
          <w:p>
            <w:pPr>
              <w:pStyle w:val="Compact"/>
              <w:jc w:val="center"/>
            </w:pPr>
            <w:r>
              <w:t xml:space="preserve">0.60 to 12.33</w:t>
            </w:r>
          </w:p>
        </w:tc>
        <w:tc>
          <w:tcPr/>
          <w:p>
            <w:pPr>
              <w:pStyle w:val="Compact"/>
              <w:jc w:val="right"/>
            </w:pPr>
            <w:r>
              <w:t xml:space="preserve">0.42</w:t>
            </w:r>
          </w:p>
        </w:tc>
      </w:tr>
    </w:tbl>
    <w:p>
      <w:pPr>
        <w:pStyle w:val="BodyText"/>
      </w:pPr>
      <w:r>
        <w:rPr>
          <w:iCs/>
          <w:i/>
        </w:rPr>
        <w:t xml:space="preserve">Table 4. Firm policy regions at family-specific</w:t>
      </w:r>
      <w:r>
        <w:rPr>
          <w:iCs/>
          <w:i/>
        </w:rPr>
        <w:t xml:space="preserve"> </w:t>
      </w:r>
      <m:oMath>
        <m:r>
          <m:t>μ</m:t>
        </m:r>
      </m:oMath>
      <w:r>
        <w:rPr>
          <w:iCs/>
          <w:i/>
        </w:rPr>
        <w:t xml:space="preserve"> </w:t>
      </w:r>
      <w:r>
        <w:rPr>
          <w:iCs/>
          <w:i/>
        </w:rPr>
        <w:t xml:space="preserve">(</w:t>
      </w:r>
      <m:oMath>
        <m:sSub>
          <m:e>
            <m:r>
              <m:t>R</m:t>
            </m:r>
          </m:e>
          <m:sub>
            <m:r>
              <m:rPr>
                <m:nor/>
                <m:sty m:val="p"/>
              </m:rPr>
              <m:t>copy</m:t>
            </m:r>
          </m:sub>
        </m:sSub>
        <m:r>
          <m:rPr>
            <m:sty m:val="p"/>
          </m:rPr>
          <m:t>=</m:t>
        </m:r>
        <m:r>
          <m:t>0.57</m:t>
        </m:r>
      </m:oMath>
      <w:r>
        <w:rPr>
          <w:iCs/>
          <w:i/>
        </w:rPr>
        <w:t xml:space="preserve">,</w:t>
      </w:r>
      <w:r>
        <w:rPr>
          <w:iCs/>
          <w:i/>
        </w:rPr>
        <w:t xml:space="preserve"> </w:t>
      </w:r>
      <m:oMath>
        <m:sSub>
          <m:e>
            <m:r>
              <m:t>R</m:t>
            </m:r>
          </m:e>
          <m:sub>
            <m:r>
              <m:rPr>
                <m:nor/>
                <m:sty m:val="p"/>
              </m:rPr>
              <m:t>transfer</m:t>
            </m:r>
          </m:sub>
        </m:sSub>
        <m:r>
          <m:rPr>
            <m:sty m:val="p"/>
          </m:rPr>
          <m:t>=</m:t>
        </m:r>
        <m:r>
          <m:t>0.78</m:t>
        </m:r>
      </m:oMath>
      <w:r>
        <w:rPr>
          <w:iCs/>
          <w:i/>
        </w:rPr>
        <w:t xml:space="preserve">,</w:t>
      </w:r>
      <w:r>
        <w:rPr>
          <w:iCs/>
          <w:i/>
        </w:rPr>
        <w:t xml:space="preserve"> </w:t>
      </w:r>
      <m:oMath>
        <m:sSub>
          <m:e>
            <m:r>
              <m:t>C</m:t>
            </m:r>
          </m:e>
          <m:sub>
            <m:r>
              <m:t>A</m:t>
            </m:r>
          </m:sub>
        </m:sSub>
        <m:r>
          <m:rPr>
            <m:sty m:val="p"/>
          </m:rPr>
          <m:t>=</m:t>
        </m:r>
        <m:r>
          <m:t>0.05</m:t>
        </m:r>
        <m:r>
          <m:t> </m:t>
        </m:r>
        <m:sSub>
          <m:e>
            <m:r>
              <m:t>C</m:t>
            </m:r>
          </m:e>
          <m:sub>
            <m:r>
              <m:t>N</m:t>
            </m:r>
          </m:sub>
        </m:sSub>
      </m:oMath>
      <w:r>
        <w:rPr>
          <w:iCs/>
          <w:i/>
        </w:rPr>
        <w:t xml:space="preserve">).</w:t>
      </w:r>
    </w:p>
    <w:p>
      <w:pPr>
        <w:pStyle w:val="BodyText"/>
      </w:pPr>
      <w:r>
        <w:t xml:space="preserve">The platform a firm has already chosen is itself an input to the maintenance rule. When we feed the measured</w:t>
      </w:r>
      <w:r>
        <w:t xml:space="preserve"> </w:t>
      </w:r>
      <m:oMath>
        <m:d>
          <m:dPr>
            <m:begChr m:val="("/>
            <m:endChr m:val=")"/>
            <m:sepChr m:val=""/>
            <m:grow/>
          </m:dPr>
          <m:e>
            <m:r>
              <m:t>R</m:t>
            </m:r>
            <m:r>
              <m:rPr>
                <m:sty m:val="p"/>
              </m:rPr>
              <m:t>,</m:t>
            </m:r>
            <m:r>
              <m:t>C</m:t>
            </m:r>
          </m:e>
        </m:d>
      </m:oMath>
      <w:r>
        <w:t xml:space="preserve"> </w:t>
      </w:r>
      <w:r>
        <w:t xml:space="preserve">pairs of the five smaller pairs into the same formulas, an actual transfer-optimal region appears only for the large Pythia upgrade. There the bound is</w:t>
      </w:r>
      <w:r>
        <w:t xml:space="preserve"> </w:t>
      </w:r>
      <m:oMath>
        <m:r>
          <m:t>Γ</m:t>
        </m:r>
        <m:r>
          <m:rPr>
            <m:sty m:val="p"/>
          </m:rPr>
          <m:t>=</m:t>
        </m:r>
        <m:r>
          <m:t>0.45</m:t>
        </m:r>
      </m:oMath>
      <w:r>
        <w:t xml:space="preserve"> </w:t>
      </w:r>
      <w:r>
        <w:t xml:space="preserve">at the seed-mean recovery rates, above the compute-only cost ratio of 0.36, and the transfer-optimal band is</w:t>
      </w:r>
      <w:r>
        <w:t xml:space="preserve"> </w:t>
      </w:r>
      <m:oMath>
        <m:r>
          <m:t>v</m:t>
        </m:r>
        <m:r>
          <m:rPr>
            <m:sty m:val="p"/>
          </m:rPr>
          <m:t>∈</m:t>
        </m:r>
        <m:d>
          <m:dPr>
            <m:begChr m:val="["/>
            <m:endChr m:val="]"/>
            <m:sepChr m:val=""/>
            <m:grow/>
          </m:dPr>
          <m:e>
            <m:r>
              <m:t>2.2</m:t>
            </m:r>
            <m:r>
              <m:rPr>
                <m:sty m:val="p"/>
              </m:rPr>
              <m:t>,</m:t>
            </m:r>
            <m:r>
              <m:t>4.5</m:t>
            </m:r>
          </m:e>
        </m:d>
      </m:oMath>
      <w:r>
        <w:t xml:space="preserve"> </w:t>
      </w:r>
      <w:r>
        <w:t xml:space="preserve">in units of retraining cost. The ordering is the same in each of the five seeds (</w:t>
      </w:r>
      <m:oMath>
        <m:r>
          <m:t>Γ</m:t>
        </m:r>
      </m:oMath>
      <w:r>
        <w:t xml:space="preserve"> </w:t>
      </w:r>
      <w:r>
        <w:t xml:space="preserve">between 0.37 and 0.50), but it is sensitive to measurement error: at the least favorable corner of the two 95% intervals,</w:t>
      </w:r>
      <w:r>
        <w:t xml:space="preserve"> </w:t>
      </w:r>
      <m:oMath>
        <m:r>
          <m:t>Γ</m:t>
        </m:r>
        <m:r>
          <m:rPr>
            <m:sty m:val="p"/>
          </m:rPr>
          <m:t>=</m:t>
        </m:r>
        <m:r>
          <m:t>0.22</m:t>
        </m:r>
      </m:oMath>
      <w:r>
        <w:t xml:space="preserve">, which is below the cost ratio. For the two small upgrades and the two base-to-instruct pairs,</w:t>
      </w:r>
      <w:r>
        <w:t xml:space="preserve"> </w:t>
      </w:r>
      <m:oMath>
        <m:r>
          <m:t>Γ</m:t>
        </m:r>
      </m:oMath>
      <w:r>
        <w:t xml:space="preserve"> </w:t>
      </w:r>
      <w:r>
        <w:t xml:space="preserve">lies between 0 and 0.12 and no costly method has a market. For the larger models,</w:t>
      </w:r>
      <w:r>
        <w:t xml:space="preserve"> </w:t>
      </w:r>
      <m:oMath>
        <m:r>
          <m:t>Γ</m:t>
        </m:r>
      </m:oMath>
      <w:r>
        <w:t xml:space="preserve"> </w:t>
      </w:r>
      <w:r>
        <w:t xml:space="preserve">is about 0.07 for Pythia-1.4B after the large upgrade, about 0.04 for Qwen2.5-1.5B, and zero for Qwen2.5-3B and SmolLM2-1.7B; after the small Pythia-1.4B upgrade both methods recover essentially everything and</w:t>
      </w:r>
      <w:r>
        <w:t xml:space="preserve"> </w:t>
      </w:r>
      <m:oMath>
        <m:r>
          <m:t>Γ</m:t>
        </m:r>
      </m:oMath>
      <w:r>
        <w:t xml:space="preserve"> </w:t>
      </w:r>
      <w:r>
        <w:t xml:space="preserve">is uninformative. With any plausible cost ratio, such as the 0.36 measured for the 160M models, no costly method pays in the larger models on math reasoning or SQL. Free copy suffices there, as Proposition 2(a) predicts. Across all 24 pair-task combinations, a costly method pays in two (the large upgrade of the 160M model on math reasoning and on SQL), and a third is borderline.</w:t>
      </w:r>
    </w:p>
    <w:bookmarkEnd w:id="30"/>
    <w:bookmarkStart w:id="37" w:name="Xc189d8903a9397e97f7593db8944646b3e85dca"/>
    <w:p>
      <w:pPr>
        <w:pStyle w:val="Heading2"/>
      </w:pPr>
      <w:r>
        <w:t xml:space="preserve">5. A Monopoly Platform Owner Chooses Cadence and Compatibility</w:t>
      </w:r>
    </w:p>
    <w:p>
      <w:pPr>
        <w:pStyle w:val="FirstParagraph"/>
      </w:pPr>
      <w:r>
        <w:t xml:space="preserve">To keep the owner’s problem tractable we use the static limit</w:t>
      </w:r>
      <w:r>
        <w:t xml:space="preserve"> </w:t>
      </w:r>
      <m:oMath>
        <m:r>
          <m:t>σ</m:t>
        </m:r>
        <m:r>
          <m:rPr>
            <m:sty m:val="p"/>
          </m:rPr>
          <m:t>=</m:t>
        </m:r>
        <m:r>
          <m:t>g</m:t>
        </m:r>
        <m:r>
          <m:rPr>
            <m:sty m:val="p"/>
          </m:rPr>
          <m:t>=</m:t>
        </m:r>
        <m:r>
          <m:t>0</m:t>
        </m:r>
      </m:oMath>
      <w:r>
        <w:t xml:space="preserve"> </w:t>
      </w:r>
      <w:r>
        <w:t xml:space="preserve">of Section 4, in which the retraining threshold collapses to</w:t>
      </w:r>
      <w:r>
        <w:t xml:space="preserve"> </w:t>
      </w:r>
      <m:oMath>
        <m:acc>
          <m:accPr>
            <m:chr m:val="̂"/>
          </m:accPr>
          <m:e>
            <m:r>
              <m:t>v</m:t>
            </m:r>
          </m:e>
        </m:acc>
        <m:r>
          <m:rPr>
            <m:sty m:val="p"/>
          </m:rPr>
          <m:t>=</m:t>
        </m:r>
        <m:sSub>
          <m:e>
            <m:r>
              <m:t>C</m:t>
            </m:r>
          </m:e>
          <m:sub>
            <m:r>
              <m:t>N</m:t>
            </m:r>
          </m:sub>
        </m:sSub>
        <m:d>
          <m:dPr>
            <m:begChr m:val="("/>
            <m:endChr m:val=")"/>
            <m:sepChr m:val=""/>
            <m:grow/>
          </m:dPr>
          <m:e>
            <m:r>
              <m:t>ρ</m:t>
            </m:r>
            <m:r>
              <m:rPr>
                <m:sty m:val="p"/>
              </m:rPr>
              <m:t>+</m:t>
            </m:r>
            <m:r>
              <m:t>μ</m:t>
            </m:r>
          </m:e>
        </m:d>
        <m:r>
          <m:rPr>
            <m:sty m:val="p"/>
          </m:rPr>
          <m:t>/</m:t>
        </m:r>
        <m:d>
          <m:dPr>
            <m:begChr m:val="("/>
            <m:endChr m:val=")"/>
            <m:sepChr m:val=""/>
            <m:grow/>
          </m:dPr>
          <m:e>
            <m:r>
              <m:t>1</m:t>
            </m:r>
            <m:r>
              <m:rPr>
                <m:sty m:val="p"/>
              </m:rPr>
              <m:t>−</m:t>
            </m:r>
            <m:r>
              <m:t>R</m:t>
            </m:r>
          </m:e>
        </m:d>
      </m:oMath>
      <w:r>
        <w:t xml:space="preserve">. Section 7.4 re-optimizes the owner’s problem with the dynamic threshold inside the burden function.</w:t>
      </w:r>
    </w:p>
    <w:p>
      <w:pPr>
        <w:pStyle w:val="BodyText"/>
      </w:pPr>
      <w:r>
        <w:t xml:space="preserve">A mass</w:t>
      </w:r>
      <w:r>
        <w:t xml:space="preserve"> </w:t>
      </w:r>
      <m:oMath>
        <m:r>
          <m:t>n</m:t>
        </m:r>
      </m:oMath>
      <w:r>
        <w:t xml:space="preserve"> </w:t>
      </w:r>
      <w:r>
        <w:t xml:space="preserve">of firms each operate one adapter. Their values</w:t>
      </w:r>
      <w:r>
        <w:t xml:space="preserve"> </w:t>
      </w:r>
      <m:oMath>
        <m:r>
          <m:t>v</m:t>
        </m:r>
      </m:oMath>
      <w:r>
        <w:t xml:space="preserve"> </w:t>
      </w:r>
      <w:r>
        <w:t xml:space="preserve">are constant and distributed with c.d.f.</w:t>
      </w:r>
      <w:r>
        <w:t xml:space="preserve"> </w:t>
      </w:r>
      <m:oMath>
        <m:r>
          <m:t>F</m:t>
        </m:r>
      </m:oMath>
      <w:r>
        <w:t xml:space="preserve">. Each upgrade permanently raises every firm’s flow by</w:t>
      </w:r>
      <w:r>
        <w:t xml:space="preserve"> </w:t>
      </w:r>
      <m:oMath>
        <m:r>
          <m:t>δ</m:t>
        </m:r>
      </m:oMath>
      <w:r>
        <w:t xml:space="preserve">, and we write</w:t>
      </w:r>
      <w:r>
        <w:t xml:space="preserve"> </w:t>
      </w:r>
      <m:oMath>
        <m:r>
          <m:t>b</m:t>
        </m:r>
        <m:r>
          <m:rPr>
            <m:sty m:val="p"/>
          </m:rPr>
          <m:t>=</m:t>
        </m:r>
        <m:r>
          <m:t>δ</m:t>
        </m:r>
        <m:r>
          <m:rPr>
            <m:sty m:val="p"/>
          </m:rPr>
          <m:t>/</m:t>
        </m:r>
        <m:sSup>
          <m:e>
            <m:r>
              <m:t>ρ</m:t>
            </m:r>
          </m:e>
          <m:sup>
            <m:r>
              <m:t>2</m:t>
            </m:r>
          </m:sup>
        </m:sSup>
      </m:oMath>
      <w:r>
        <w:t xml:space="preserve"> </w:t>
      </w:r>
      <w:r>
        <w:t xml:space="preserve">for the present value of a unit intensity of such gains. A firm retrains if and only if</w:t>
      </w:r>
      <w:r>
        <w:t xml:space="preserve"> </w:t>
      </w:r>
      <m:oMath>
        <m:r>
          <m:t>v</m:t>
        </m:r>
        <m:r>
          <m:rPr>
            <m:sty m:val="p"/>
          </m:rPr>
          <m:t>≥</m:t>
        </m:r>
        <m:acc>
          <m:accPr>
            <m:chr m:val="̂"/>
          </m:accPr>
          <m:e>
            <m:r>
              <m:t>v</m:t>
            </m:r>
          </m:e>
        </m:acc>
      </m:oMath>
      <w:r>
        <w:t xml:space="preserve">. The present value of a cost</w:t>
      </w:r>
      <w:r>
        <w:t xml:space="preserve"> </w:t>
      </w:r>
      <m:oMath>
        <m:r>
          <m:t>w</m:t>
        </m:r>
      </m:oMath>
      <w:r>
        <w:t xml:space="preserve"> </w:t>
      </w:r>
      <w:r>
        <w:t xml:space="preserve">incurred at every Poisson upgrade is</w:t>
      </w:r>
      <w:r>
        <w:t xml:space="preserve"> </w:t>
      </w:r>
      <m:oMath>
        <m:d>
          <m:dPr>
            <m:begChr m:val="("/>
            <m:endChr m:val=")"/>
            <m:sepChr m:val=""/>
            <m:grow/>
          </m:dPr>
          <m:e>
            <m:r>
              <m:t>μ</m:t>
            </m:r>
            <m:r>
              <m:rPr>
                <m:sty m:val="p"/>
              </m:rPr>
              <m:t>/</m:t>
            </m:r>
            <m:r>
              <m:t>ρ</m:t>
            </m:r>
          </m:e>
        </m:d>
        <m:r>
          <m:t>w</m:t>
        </m:r>
      </m:oMath>
      <w:r>
        <w:t xml:space="preserve">, so the maintenance burden</w:t>
      </w:r>
      <w:r>
        <w:t xml:space="preserve"> </w:t>
      </w:r>
      <m:oMath>
        <m:r>
          <m:t>m</m:t>
        </m:r>
        <m:d>
          <m:dPr>
            <m:begChr m:val="("/>
            <m:endChr m:val=")"/>
            <m:sepChr m:val=""/>
            <m:grow/>
          </m:dPr>
          <m:e>
            <m:r>
              <m:t>μ</m:t>
            </m:r>
            <m:r>
              <m:rPr>
                <m:sty m:val="p"/>
              </m:rPr>
              <m:t>,</m:t>
            </m:r>
            <m:r>
              <m:t>v</m:t>
            </m:r>
            <m:r>
              <m:rPr>
                <m:sty m:val="p"/>
              </m:rPr>
              <m:t>;</m:t>
            </m:r>
            <m:r>
              <m:t>R</m:t>
            </m:r>
          </m:e>
        </m:d>
      </m:oMath>
      <w:r>
        <w:t xml:space="preserve"> </w:t>
      </w:r>
      <w:r>
        <w:t xml:space="preserve">is</w:t>
      </w:r>
      <w:r>
        <w:t xml:space="preserve"> </w:t>
      </w:r>
      <m:oMath>
        <m:r>
          <m:t>μ</m:t>
        </m:r>
        <m:sSub>
          <m:e>
            <m:r>
              <m:t>C</m:t>
            </m:r>
          </m:e>
          <m:sub>
            <m:r>
              <m:t>N</m:t>
            </m:r>
          </m:sub>
        </m:sSub>
        <m:r>
          <m:rPr>
            <m:sty m:val="p"/>
          </m:rPr>
          <m:t>/</m:t>
        </m:r>
        <m:r>
          <m:t>ρ</m:t>
        </m:r>
      </m:oMath>
      <w:r>
        <w:t xml:space="preserve"> </w:t>
      </w:r>
      <w:r>
        <w:t xml:space="preserve">for retraining firms and</w:t>
      </w:r>
      <w:r>
        <w:t xml:space="preserve"> </w:t>
      </w:r>
      <m:oMath>
        <m:d>
          <m:dPr>
            <m:begChr m:val="("/>
            <m:endChr m:val=")"/>
            <m:sepChr m:val=""/>
            <m:grow/>
          </m:dPr>
          <m:e>
            <m:r>
              <m:t>1</m:t>
            </m:r>
            <m:r>
              <m:rPr>
                <m:sty m:val="p"/>
              </m:rPr>
              <m:t>−</m:t>
            </m:r>
            <m:r>
              <m:t>R</m:t>
            </m:r>
          </m:e>
        </m:d>
        <m:r>
          <m:t>v</m:t>
        </m:r>
        <m:r>
          <m:t>μ</m:t>
        </m:r>
        <m:r>
          <m:rPr>
            <m:sty m:val="p"/>
          </m:rPr>
          <m:t>/</m:t>
        </m:r>
        <m:d>
          <m:dPr>
            <m:begChr m:val="["/>
            <m:endChr m:val="]"/>
            <m:sepChr m:val=""/>
            <m:grow/>
          </m:dPr>
          <m:e>
            <m:r>
              <m:t>ρ</m:t>
            </m:r>
            <m:d>
              <m:dPr>
                <m:begChr m:val="("/>
                <m:endChr m:val=")"/>
                <m:sepChr m:val=""/>
                <m:grow/>
              </m:dPr>
              <m:e>
                <m:r>
                  <m:t>ρ</m:t>
                </m:r>
                <m:r>
                  <m:rPr>
                    <m:sty m:val="p"/>
                  </m:rPr>
                  <m:t>+</m:t>
                </m:r>
                <m:r>
                  <m:t>μ</m:t>
                </m:r>
              </m:e>
            </m:d>
          </m:e>
        </m:d>
      </m:oMath>
      <w:r>
        <w:t xml:space="preserve"> </w:t>
      </w:r>
      <w:r>
        <w:t xml:space="preserve">for transferring firms. Net surplus is</w:t>
      </w:r>
      <w:r>
        <w:t xml:space="preserve"> </w:t>
      </w:r>
      <m:oMath>
        <m:r>
          <m:t>s</m:t>
        </m:r>
        <m:d>
          <m:dPr>
            <m:begChr m:val="("/>
            <m:endChr m:val=")"/>
            <m:sepChr m:val=""/>
            <m:grow/>
          </m:dPr>
          <m:e>
            <m:r>
              <m:t>μ</m:t>
            </m:r>
            <m:r>
              <m:rPr>
                <m:sty m:val="p"/>
              </m:rPr>
              <m:t>,</m:t>
            </m:r>
            <m:r>
              <m:t>v</m:t>
            </m:r>
            <m:r>
              <m:rPr>
                <m:sty m:val="p"/>
              </m:rPr>
              <m:t>;</m:t>
            </m:r>
            <m:r>
              <m:t>R</m:t>
            </m:r>
          </m:e>
        </m:d>
        <m:r>
          <m:rPr>
            <m:sty m:val="p"/>
          </m:rPr>
          <m:t>=</m:t>
        </m:r>
        <m:r>
          <m:t>b</m:t>
        </m:r>
        <m:r>
          <m:t>μ</m:t>
        </m:r>
        <m:r>
          <m:rPr>
            <m:sty m:val="p"/>
          </m:rPr>
          <m:t>−</m:t>
        </m:r>
        <m:r>
          <m:t>m</m:t>
        </m:r>
        <m:d>
          <m:dPr>
            <m:begChr m:val="("/>
            <m:endChr m:val=")"/>
            <m:sepChr m:val=""/>
            <m:grow/>
          </m:dPr>
          <m:e>
            <m:r>
              <m:t>μ</m:t>
            </m:r>
            <m:r>
              <m:rPr>
                <m:sty m:val="p"/>
              </m:rPr>
              <m:t>,</m:t>
            </m:r>
            <m:r>
              <m:t>v</m:t>
            </m:r>
            <m:r>
              <m:rPr>
                <m:sty m:val="p"/>
              </m:rPr>
              <m:t>;</m:t>
            </m:r>
            <m:r>
              <m:t>R</m:t>
            </m:r>
          </m:e>
        </m:d>
      </m:oMath>
      <w:r>
        <w:t xml:space="preserve">.</w:t>
      </w:r>
    </w:p>
    <w:p>
      <w:pPr>
        <w:pStyle w:val="BodyText"/>
      </w:pPr>
      <w:r>
        <w:t xml:space="preserve">The burden of a transferring firm is concave in</w:t>
      </w:r>
      <w:r>
        <w:t xml:space="preserve"> </w:t>
      </w:r>
      <m:oMath>
        <m:r>
          <m:t>μ</m:t>
        </m:r>
      </m:oMath>
      <w:r>
        <w:t xml:space="preserve"> </w:t>
      </w:r>
      <w:r>
        <w:t xml:space="preserve">and saturates at</w:t>
      </w:r>
      <w:r>
        <w:t xml:space="preserve"> </w:t>
      </w:r>
      <m:oMath>
        <m:d>
          <m:dPr>
            <m:begChr m:val="("/>
            <m:endChr m:val=")"/>
            <m:sepChr m:val=""/>
            <m:grow/>
          </m:dPr>
          <m:e>
            <m:r>
              <m:t>1</m:t>
            </m:r>
            <m:r>
              <m:rPr>
                <m:sty m:val="p"/>
              </m:rPr>
              <m:t>−</m:t>
            </m:r>
            <m:r>
              <m:t>R</m:t>
            </m:r>
          </m:e>
        </m:d>
        <m:r>
          <m:t>v</m:t>
        </m:r>
        <m:r>
          <m:rPr>
            <m:sty m:val="p"/>
          </m:rPr>
          <m:t>/</m:t>
        </m:r>
        <m:r>
          <m:t>ρ</m:t>
        </m:r>
      </m:oMath>
      <w:r>
        <w:t xml:space="preserve">, whereas the burden of a retraining firm is linear and unbounded. A retraining firm is therefore harmed by more frequent releases whenever</w:t>
      </w:r>
      <w:r>
        <w:t xml:space="preserve"> </w:t>
      </w:r>
      <m:oMath>
        <m:r>
          <m:t>b</m:t>
        </m:r>
        <m:r>
          <m:rPr>
            <m:sty m:val="p"/>
          </m:rPr>
          <m:t>&lt;</m:t>
        </m:r>
        <m:sSub>
          <m:e>
            <m:r>
              <m:t>C</m:t>
            </m:r>
          </m:e>
          <m:sub>
            <m:r>
              <m:t>N</m:t>
            </m:r>
          </m:sub>
        </m:sSub>
        <m:r>
          <m:rPr>
            <m:sty m:val="p"/>
          </m:rPr>
          <m:t>/</m:t>
        </m:r>
        <m:r>
          <m:t>ρ</m:t>
        </m:r>
      </m:oMath>
      <w:r>
        <w:t xml:space="preserve">.</w:t>
      </w:r>
    </w:p>
    <w:p>
      <w:pPr>
        <w:pStyle w:val="BodyText"/>
      </w:pPr>
      <w:r>
        <w:t xml:space="preserve">The owner earns a direct return</w:t>
      </w:r>
      <w:r>
        <w:t xml:space="preserve"> </w:t>
      </w:r>
      <m:oMath>
        <m:r>
          <m:t>ψ</m:t>
        </m:r>
        <m:r>
          <m:t>μ</m:t>
        </m:r>
      </m:oMath>
      <w:r>
        <w:t xml:space="preserve"> </w:t>
      </w:r>
      <w:r>
        <w:t xml:space="preserve">from the general market, bears a development cost</w:t>
      </w:r>
      <w:r>
        <w:t xml:space="preserve"> </w:t>
      </w:r>
      <m:oMath>
        <m:f>
          <m:fPr>
            <m:type m:val="lin"/>
          </m:fPr>
          <m:num>
            <m:r>
              <m:t>1</m:t>
            </m:r>
          </m:num>
          <m:den>
            <m:r>
              <m:t>2</m:t>
            </m:r>
          </m:den>
        </m:f>
        <m:r>
          <m:t>c</m:t>
        </m:r>
        <m:sSup>
          <m:e>
            <m:r>
              <m:t>μ</m:t>
            </m:r>
          </m:e>
          <m:sup>
            <m:r>
              <m:t>2</m:t>
            </m:r>
          </m:sup>
        </m:sSup>
      </m:oMath>
      <w:r>
        <w:t xml:space="preserve">, and captures a share</w:t>
      </w:r>
      <w:r>
        <w:t xml:space="preserve"> </w:t>
      </w:r>
      <m:oMath>
        <m:r>
          <m:t>θ</m:t>
        </m:r>
        <m:r>
          <m:rPr>
            <m:sty m:val="p"/>
          </m:rPr>
          <m:t>∈</m:t>
        </m:r>
        <m:r>
          <m:rPr>
            <m:sty m:val="p"/>
          </m:rPr>
          <m:t>(</m:t>
        </m:r>
        <m:r>
          <m:t>0</m:t>
        </m:r>
        <m:r>
          <m:rPr>
            <m:sty m:val="p"/>
          </m:rPr>
          <m:t>,</m:t>
        </m:r>
        <m:r>
          <m:t>1</m:t>
        </m:r>
        <m:r>
          <m:rPr>
            <m:sty m:val="p"/>
          </m:rPr>
          <m:t>]</m:t>
        </m:r>
      </m:oMath>
      <w:r>
        <w:t xml:space="preserve"> </w:t>
      </w:r>
      <w:r>
        <w:t xml:space="preserve">of expected enterprise surplus. The planner has the same objective with</w:t>
      </w:r>
      <w:r>
        <w:t xml:space="preserve"> </w:t>
      </w:r>
      <m:oMath>
        <m:r>
          <m:t>θ</m:t>
        </m:r>
        <m:r>
          <m:rPr>
            <m:sty m:val="p"/>
          </m:rPr>
          <m:t>=</m:t>
        </m:r>
        <m:r>
          <m:t>1</m:t>
        </m:r>
      </m:oMath>
      <w:r>
        <w:t xml:space="preserve">.</w:t>
      </w:r>
    </w:p>
    <w:p>
      <w:pPr>
        <w:pStyle w:val="BodyText"/>
      </w:pPr>
      <w:r>
        <w:rPr>
          <w:bCs/>
          <w:b/>
        </w:rPr>
        <w:t xml:space="preserve">Proposition 3 (Cadence and over-release).</w:t>
      </w:r>
      <w:r>
        <w:t xml:space="preserve"> </w:t>
      </w:r>
      <w:r>
        <w:t xml:space="preserve">(a) The owner’s intensity</w:t>
      </w:r>
      <w:r>
        <w:t xml:space="preserve"> </w:t>
      </w:r>
      <m:oMath>
        <m:sSub>
          <m:e>
            <m:r>
              <m:t>μ</m:t>
            </m:r>
          </m:e>
          <m:sub>
            <m:r>
              <m:t>V</m:t>
            </m:r>
          </m:sub>
        </m:sSub>
      </m:oMath>
      <w:r>
        <w:t xml:space="preserve"> </w:t>
      </w:r>
      <w:r>
        <w:t xml:space="preserve">solves</w:t>
      </w:r>
      <w:r>
        <w:t xml:space="preserve"> </w:t>
      </w:r>
      <m:oMath>
        <m:r>
          <m:t>ψ</m:t>
        </m:r>
        <m:r>
          <m:rPr>
            <m:sty m:val="p"/>
          </m:rPr>
          <m:t>−</m:t>
        </m:r>
        <m:r>
          <m:t>c</m:t>
        </m:r>
        <m:r>
          <m:t>μ</m:t>
        </m:r>
        <m:r>
          <m:rPr>
            <m:sty m:val="p"/>
          </m:rPr>
          <m:t>+</m:t>
        </m:r>
        <m:r>
          <m:t>θ</m:t>
        </m:r>
        <m:r>
          <m:t>n</m:t>
        </m:r>
        <m:r>
          <m:t> </m:t>
        </m:r>
        <m:d>
          <m:dPr>
            <m:begChr m:val="("/>
            <m:endChr m:val=")"/>
            <m:sepChr m:val=""/>
            <m:grow/>
          </m:dPr>
          <m:e>
            <m:r>
              <m:t>b</m:t>
            </m:r>
            <m:r>
              <m:rPr>
                <m:sty m:val="p"/>
              </m:rPr>
              <m:t>−</m:t>
            </m:r>
            <m:r>
              <m:rPr>
                <m:sty m:val="p"/>
              </m:rPr>
              <m:t>∂</m:t>
            </m:r>
            <m:r>
              <m:t>E</m:t>
            </m:r>
            <m:d>
              <m:dPr>
                <m:begChr m:val="["/>
                <m:endChr m:val="]"/>
                <m:sepChr m:val=""/>
                <m:grow/>
              </m:dPr>
              <m:e>
                <m:r>
                  <m:t>m</m:t>
                </m:r>
              </m:e>
            </m:d>
            <m:r>
              <m:rPr>
                <m:sty m:val="p"/>
              </m:rPr>
              <m:t>/</m:t>
            </m:r>
            <m:r>
              <m:rPr>
                <m:sty m:val="p"/>
              </m:rPr>
              <m:t>∂</m:t>
            </m:r>
            <m:r>
              <m:t>μ</m:t>
            </m:r>
          </m:e>
        </m:d>
        <m:r>
          <m:rPr>
            <m:sty m:val="p"/>
          </m:rPr>
          <m:t>=</m:t>
        </m:r>
        <m:r>
          <m:t>0</m:t>
        </m:r>
      </m:oMath>
      <w:r>
        <w:t xml:space="preserve">. Movement of</w:t>
      </w:r>
      <w:r>
        <w:t xml:space="preserve"> </w:t>
      </w:r>
      <m:oMath>
        <m:acc>
          <m:accPr>
            <m:chr m:val="̂"/>
          </m:accPr>
          <m:e>
            <m:r>
              <m:t>v</m:t>
            </m:r>
          </m:e>
        </m:acc>
      </m:oMath>
      <w:r>
        <w:t xml:space="preserve"> </w:t>
      </w:r>
      <w:r>
        <w:t xml:space="preserve">has no first-order effect on</w:t>
      </w:r>
      <w:r>
        <w:t xml:space="preserve"> </w:t>
      </w:r>
      <m:oMath>
        <m:r>
          <m:t>E</m:t>
        </m:r>
        <m:d>
          <m:dPr>
            <m:begChr m:val="["/>
            <m:endChr m:val="]"/>
            <m:sepChr m:val=""/>
            <m:grow/>
          </m:dPr>
          <m:e>
            <m:r>
              <m:t>m</m:t>
            </m:r>
          </m:e>
        </m:d>
      </m:oMath>
      <w:r>
        <w:t xml:space="preserve"> </w:t>
      </w:r>
      <w:r>
        <w:t xml:space="preserve">because the two options have equal burden at</w:t>
      </w:r>
      <w:r>
        <w:t xml:space="preserve"> </w:t>
      </w:r>
      <m:oMath>
        <m:acc>
          <m:accPr>
            <m:chr m:val="̂"/>
          </m:accPr>
          <m:e>
            <m:r>
              <m:t>v</m:t>
            </m:r>
          </m:e>
        </m:acc>
      </m:oMath>
      <w:r>
        <w:t xml:space="preserve">. Under</w:t>
      </w:r>
      <w:r>
        <w:t xml:space="preserve"> </w:t>
      </w:r>
      <m:oMath>
        <m:r>
          <m:t>v</m:t>
        </m:r>
        <m:r>
          <m:rPr>
            <m:sty m:val="p"/>
          </m:rPr>
          <m:t>∼</m:t>
        </m:r>
        <m:r>
          <m:t>U</m:t>
        </m:r>
        <m:d>
          <m:dPr>
            <m:begChr m:val="["/>
            <m:endChr m:val="]"/>
            <m:sepChr m:val=""/>
            <m:grow/>
          </m:dPr>
          <m:e>
            <m:r>
              <m:t>0</m:t>
            </m:r>
            <m:r>
              <m:rPr>
                <m:sty m:val="p"/>
              </m:rPr>
              <m:t>,</m:t>
            </m:r>
            <m:acc>
              <m:accPr>
                <m:chr m:val="‾"/>
              </m:accPr>
              <m:e>
                <m:r>
                  <m:t>v</m:t>
                </m:r>
              </m:e>
            </m:acc>
          </m:e>
        </m:d>
      </m:oMath>
      <w:r>
        <w:t xml:space="preserve"> </w:t>
      </w:r>
      <w:r>
        <w:t xml:space="preserve">with some retraining and</w:t>
      </w:r>
      <w:r>
        <w:t xml:space="preserve"> </w:t>
      </w:r>
      <m:oMath>
        <m:r>
          <m:t>κ</m:t>
        </m:r>
        <m:d>
          <m:dPr>
            <m:begChr m:val="("/>
            <m:endChr m:val=")"/>
            <m:sepChr m:val=""/>
            <m:grow/>
          </m:dPr>
          <m:e>
            <m:r>
              <m:t>ρ</m:t>
            </m:r>
            <m:r>
              <m:rPr>
                <m:sty m:val="p"/>
              </m:rPr>
              <m:t>+</m:t>
            </m:r>
            <m:r>
              <m:t>μ</m:t>
            </m:r>
          </m:e>
        </m:d>
        <m:r>
          <m:rPr>
            <m:sty m:val="p"/>
          </m:rPr>
          <m:t>≤</m:t>
        </m:r>
        <m:r>
          <m:t>1</m:t>
        </m:r>
      </m:oMath>
      <w:r>
        <w:t xml:space="preserve">,</w:t>
      </w:r>
    </w:p>
    <w:p>
      <w:pPr>
        <w:pStyle w:val="BodyText"/>
      </w:pPr>
      <m:oMathPara>
        <m:oMathParaPr>
          <m:jc m:val="center"/>
        </m:oMathParaPr>
        <m:oMath>
          <m:r>
            <m:t>E</m:t>
          </m:r>
          <m:d>
            <m:dPr>
              <m:begChr m:val="["/>
              <m:endChr m:val="]"/>
              <m:sepChr m:val=""/>
              <m:grow/>
            </m:dPr>
            <m:e>
              <m:r>
                <m:t>m</m:t>
              </m:r>
            </m:e>
          </m:d>
          <m:r>
            <m:rPr>
              <m:sty m:val="p"/>
            </m:rPr>
            <m:t>=</m:t>
          </m:r>
          <m:f>
            <m:fPr>
              <m:type m:val="bar"/>
            </m:fPr>
            <m:num>
              <m:r>
                <m:t>μ</m:t>
              </m:r>
              <m:sSub>
                <m:e>
                  <m:r>
                    <m:t>C</m:t>
                  </m:r>
                </m:e>
                <m:sub>
                  <m:r>
                    <m:t>N</m:t>
                  </m:r>
                </m:sub>
              </m:sSub>
            </m:num>
            <m:den>
              <m:r>
                <m:t>ρ</m:t>
              </m:r>
            </m:den>
          </m:f>
          <m:d>
            <m:dPr>
              <m:begChr m:val="("/>
              <m:endChr m:val=")"/>
              <m:sepChr m:val=""/>
              <m:grow/>
            </m:dPr>
            <m:e>
              <m:r>
                <m:t>1</m:t>
              </m:r>
              <m:r>
                <m:rPr>
                  <m:sty m:val="p"/>
                </m:rPr>
                <m:t>−</m:t>
              </m:r>
              <m:f>
                <m:fPr>
                  <m:type m:val="bar"/>
                </m:fPr>
                <m:num>
                  <m:r>
                    <m:t>κ</m:t>
                  </m:r>
                  <m:d>
                    <m:dPr>
                      <m:begChr m:val="("/>
                      <m:endChr m:val=")"/>
                      <m:sepChr m:val=""/>
                      <m:grow/>
                    </m:dPr>
                    <m:e>
                      <m:r>
                        <m:t>ρ</m:t>
                      </m:r>
                      <m:r>
                        <m:rPr>
                          <m:sty m:val="p"/>
                        </m:rPr>
                        <m:t>+</m:t>
                      </m:r>
                      <m:r>
                        <m:t>μ</m:t>
                      </m:r>
                    </m:e>
                  </m:d>
                </m:num>
                <m:den>
                  <m:r>
                    <m:t>2</m:t>
                  </m:r>
                </m:den>
              </m:f>
            </m:e>
          </m:d>
          <m:r>
            <m:rPr>
              <m:sty m:val="p"/>
            </m:rPr>
            <m:t>,</m:t>
          </m:r>
          <m:r>
            <m:t>  </m:t>
          </m:r>
          <m:r>
            <m:t>κ</m:t>
          </m:r>
          <m:r>
            <m:rPr>
              <m:sty m:val="p"/>
            </m:rPr>
            <m:t>=</m:t>
          </m:r>
          <m:f>
            <m:fPr>
              <m:type m:val="bar"/>
            </m:fPr>
            <m:num>
              <m:sSub>
                <m:e>
                  <m:r>
                    <m:t>C</m:t>
                  </m:r>
                </m:e>
                <m:sub>
                  <m:r>
                    <m:t>N</m:t>
                  </m:r>
                </m:sub>
              </m:sSub>
            </m:num>
            <m:den>
              <m:d>
                <m:dPr>
                  <m:begChr m:val="("/>
                  <m:endChr m:val=")"/>
                  <m:sepChr m:val=""/>
                  <m:grow/>
                </m:dPr>
                <m:e>
                  <m:r>
                    <m:t>1</m:t>
                  </m:r>
                  <m:r>
                    <m:rPr>
                      <m:sty m:val="p"/>
                    </m:rPr>
                    <m:t>−</m:t>
                  </m:r>
                  <m:r>
                    <m:t>R</m:t>
                  </m:r>
                </m:e>
              </m:d>
              <m:acc>
                <m:accPr>
                  <m:chr m:val="‾"/>
                </m:accPr>
                <m:e>
                  <m:r>
                    <m:t>v</m:t>
                  </m:r>
                </m:e>
              </m:acc>
            </m:den>
          </m:f>
          <m:r>
            <m:rPr>
              <m:sty m:val="p"/>
            </m:rPr>
            <m:t>,</m:t>
          </m:r>
        </m:oMath>
      </m:oMathPara>
    </w:p>
    <w:p>
      <w:pPr>
        <w:pStyle w:val="FirstParagraph"/>
      </w:pPr>
      <w:r>
        <w:t xml:space="preserve">and</w:t>
      </w:r>
      <w:r>
        <w:t xml:space="preserve"> </w:t>
      </w:r>
      <m:oMath>
        <m:sSub>
          <m:e>
            <m:r>
              <m:t>μ</m:t>
            </m:r>
          </m:e>
          <m:sub>
            <m:r>
              <m:t>V</m:t>
            </m:r>
          </m:sub>
        </m:sSub>
        <m:r>
          <m:rPr>
            <m:sty m:val="p"/>
          </m:rPr>
          <m:t>=</m:t>
        </m:r>
        <m:d>
          <m:dPr>
            <m:begChr m:val="("/>
            <m:endChr m:val=")"/>
            <m:sepChr m:val=""/>
            <m:grow/>
          </m:dPr>
          <m:e>
            <m:r>
              <m:t>ψ</m:t>
            </m:r>
            <m:r>
              <m:rPr>
                <m:sty m:val="p"/>
              </m:rPr>
              <m:t>+</m:t>
            </m:r>
            <m:r>
              <m:t>θ</m:t>
            </m:r>
            <m:r>
              <m:t>X</m:t>
            </m:r>
          </m:e>
        </m:d>
        <m:r>
          <m:rPr>
            <m:sty m:val="p"/>
          </m:rPr>
          <m:t>/</m:t>
        </m:r>
        <m:d>
          <m:dPr>
            <m:begChr m:val="("/>
            <m:endChr m:val=")"/>
            <m:sepChr m:val=""/>
            <m:grow/>
          </m:dPr>
          <m:e>
            <m:r>
              <m:t>c</m:t>
            </m:r>
            <m:r>
              <m:rPr>
                <m:sty m:val="p"/>
              </m:rPr>
              <m:t>−</m:t>
            </m:r>
            <m:r>
              <m:t>θ</m:t>
            </m:r>
            <m:r>
              <m:t>Y</m:t>
            </m:r>
          </m:e>
        </m:d>
      </m:oMath>
      <w:r>
        <w:t xml:space="preserve"> </w:t>
      </w:r>
      <w:r>
        <w:t xml:space="preserve">with</w:t>
      </w:r>
      <w:r>
        <w:t xml:space="preserve"> </w:t>
      </w:r>
      <m:oMath>
        <m:r>
          <m:t>X</m:t>
        </m:r>
        <m:r>
          <m:rPr>
            <m:sty m:val="p"/>
          </m:rPr>
          <m:t>=</m:t>
        </m:r>
        <m:r>
          <m:t>n</m:t>
        </m:r>
        <m:d>
          <m:dPr>
            <m:begChr m:val="["/>
            <m:endChr m:val="]"/>
            <m:sepChr m:val=""/>
            <m:grow/>
          </m:dPr>
          <m:e>
            <m:r>
              <m:t>b</m:t>
            </m:r>
            <m:r>
              <m:rPr>
                <m:sty m:val="p"/>
              </m:rPr>
              <m:t>−</m:t>
            </m:r>
            <m:d>
              <m:dPr>
                <m:begChr m:val="("/>
                <m:endChr m:val=")"/>
                <m:sepChr m:val=""/>
                <m:grow/>
              </m:dPr>
              <m:e>
                <m:sSub>
                  <m:e>
                    <m:r>
                      <m:t>C</m:t>
                    </m:r>
                  </m:e>
                  <m:sub>
                    <m:r>
                      <m:t>N</m:t>
                    </m:r>
                  </m:sub>
                </m:sSub>
                <m:r>
                  <m:rPr>
                    <m:sty m:val="p"/>
                  </m:rPr>
                  <m:t>/</m:t>
                </m:r>
                <m:r>
                  <m:t>ρ</m:t>
                </m:r>
              </m:e>
            </m:d>
            <m:d>
              <m:dPr>
                <m:begChr m:val="("/>
                <m:endChr m:val=")"/>
                <m:sepChr m:val=""/>
                <m:grow/>
              </m:dPr>
              <m:e>
                <m:r>
                  <m:t>1</m:t>
                </m:r>
                <m:r>
                  <m:rPr>
                    <m:sty m:val="p"/>
                  </m:rPr>
                  <m:t>−</m:t>
                </m:r>
                <m:r>
                  <m:t>κ</m:t>
                </m:r>
                <m:r>
                  <m:t>ρ</m:t>
                </m:r>
                <m:r>
                  <m:rPr>
                    <m:sty m:val="p"/>
                  </m:rPr>
                  <m:t>/</m:t>
                </m:r>
                <m:r>
                  <m:t>2</m:t>
                </m:r>
              </m:e>
            </m:d>
          </m:e>
        </m:d>
      </m:oMath>
      <w:r>
        <w:t xml:space="preserve"> </w:t>
      </w:r>
      <w:r>
        <w:t xml:space="preserve">and</w:t>
      </w:r>
      <w:r>
        <w:t xml:space="preserve"> </w:t>
      </w:r>
      <m:oMath>
        <m:r>
          <m:t>Y</m:t>
        </m:r>
        <m:r>
          <m:rPr>
            <m:sty m:val="p"/>
          </m:rPr>
          <m:t>=</m:t>
        </m:r>
        <m:r>
          <m:t>n</m:t>
        </m:r>
        <m:sSub>
          <m:e>
            <m:r>
              <m:t>C</m:t>
            </m:r>
          </m:e>
          <m:sub>
            <m:r>
              <m:t>N</m:t>
            </m:r>
          </m:sub>
        </m:sSub>
        <m:r>
          <m:t>κ</m:t>
        </m:r>
        <m:r>
          <m:rPr>
            <m:sty m:val="p"/>
          </m:rPr>
          <m:t>/</m:t>
        </m:r>
        <m:r>
          <m:t>ρ</m:t>
        </m:r>
      </m:oMath>
      <w:r>
        <w:t xml:space="preserve">, provided</w:t>
      </w:r>
      <w:r>
        <w:t xml:space="preserve"> </w:t>
      </w:r>
      <m:oMath>
        <m:r>
          <m:t>c</m:t>
        </m:r>
        <m:r>
          <m:rPr>
            <m:sty m:val="p"/>
          </m:rPr>
          <m:t>&gt;</m:t>
        </m:r>
        <m:r>
          <m:t>θ</m:t>
        </m:r>
        <m:r>
          <m:t>Y</m:t>
        </m:r>
      </m:oMath>
      <w:r>
        <w:t xml:space="preserve">. (b) If the planner’s objective is concave,</w:t>
      </w:r>
      <w:r>
        <w:t xml:space="preserve"> </w:t>
      </w:r>
      <m:oMath>
        <m:sSub>
          <m:e>
            <m:r>
              <m:t>μ</m:t>
            </m:r>
          </m:e>
          <m:sub>
            <m:r>
              <m:t>V</m:t>
            </m:r>
          </m:sub>
        </m:sSub>
        <m:r>
          <m:rPr>
            <m:sty m:val="p"/>
          </m:rPr>
          <m:t>&gt;</m:t>
        </m:r>
        <m:sSub>
          <m:e>
            <m:r>
              <m:t>μ</m:t>
            </m:r>
          </m:e>
          <m:sub>
            <m:r>
              <m:t>P</m:t>
            </m:r>
          </m:sub>
        </m:sSub>
      </m:oMath>
      <w:r>
        <w:t xml:space="preserve"> </w:t>
      </w:r>
      <w:r>
        <w:t xml:space="preserve">if and only if</w:t>
      </w:r>
      <w:r>
        <w:t xml:space="preserve"> </w:t>
      </w:r>
      <m:oMath>
        <m:r>
          <m:t>E</m:t>
        </m:r>
        <m:d>
          <m:dPr>
            <m:begChr m:val="["/>
            <m:endChr m:val="]"/>
            <m:sepChr m:val=""/>
            <m:grow/>
          </m:dPr>
          <m:e>
            <m:sSub>
              <m:e>
                <m:r>
                  <m:t>s</m:t>
                </m:r>
              </m:e>
              <m:sub>
                <m:r>
                  <m:t>μ</m:t>
                </m:r>
              </m:sub>
            </m:sSub>
            <m:d>
              <m:dPr>
                <m:begChr m:val="("/>
                <m:endChr m:val=")"/>
                <m:sepChr m:val=""/>
                <m:grow/>
              </m:dPr>
              <m:e>
                <m:sSub>
                  <m:e>
                    <m:r>
                      <m:t>μ</m:t>
                    </m:r>
                  </m:e>
                  <m:sub>
                    <m:r>
                      <m:t>V</m:t>
                    </m:r>
                  </m:sub>
                </m:sSub>
                <m:r>
                  <m:rPr>
                    <m:sty m:val="p"/>
                  </m:rPr>
                  <m:t>,</m:t>
                </m:r>
                <m:r>
                  <m:t>v</m:t>
                </m:r>
              </m:e>
            </m:d>
          </m:e>
        </m:d>
        <m:r>
          <m:rPr>
            <m:sty m:val="p"/>
          </m:rPr>
          <m:t>&lt;</m:t>
        </m:r>
        <m:r>
          <m:t>0</m:t>
        </m:r>
      </m:oMath>
      <w:r>
        <w:t xml:space="preserve">, that is, if and only if the average customer is harmed at the margin. Under the uniform specification this is equivalent to</w:t>
      </w:r>
      <w:r>
        <w:t xml:space="preserve"> </w:t>
      </w:r>
      <m:oMath>
        <m:r>
          <m:t>c</m:t>
        </m:r>
        <m:r>
          <m:t>X</m:t>
        </m:r>
        <m:r>
          <m:rPr>
            <m:sty m:val="p"/>
          </m:rPr>
          <m:t>+</m:t>
        </m:r>
        <m:r>
          <m:t>ψ</m:t>
        </m:r>
        <m:r>
          <m:t>Y</m:t>
        </m:r>
        <m:r>
          <m:rPr>
            <m:sty m:val="p"/>
          </m:rPr>
          <m:t>&lt;</m:t>
        </m:r>
        <m:r>
          <m:t>0</m:t>
        </m:r>
      </m:oMath>
      <w:r>
        <w:t xml:space="preserve">. Because</w:t>
      </w:r>
      <w:r>
        <w:t xml:space="preserve"> </w:t>
      </w:r>
      <m:oMath>
        <m:r>
          <m:t>κ</m:t>
        </m:r>
      </m:oMath>
      <w:r>
        <w:t xml:space="preserve"> </w:t>
      </w:r>
      <w:r>
        <w:t xml:space="preserve">rises with</w:t>
      </w:r>
      <w:r>
        <w:t xml:space="preserve"> </w:t>
      </w:r>
      <m:oMath>
        <m:r>
          <m:t>R</m:t>
        </m:r>
      </m:oMath>
      <w:r>
        <w:t xml:space="preserve">, better transfer shrinks the region of over-release.</w:t>
      </w:r>
    </w:p>
    <w:p>
      <w:pPr>
        <w:pStyle w:val="BodyText"/>
      </w:pPr>
      <w:r>
        <w:rPr>
          <w:bCs/>
          <w:b/>
        </w:rPr>
        <w:t xml:space="preserve">Proposition 4 (Complementarity and distribution).</w:t>
      </w:r>
      <w:r>
        <w:t xml:space="preserve"> </w:t>
      </w:r>
      <w:r>
        <w:t xml:space="preserve">Suppose</w:t>
      </w:r>
      <w:r>
        <w:t xml:space="preserve"> </w:t>
      </w:r>
      <m:oMath>
        <m:r>
          <m:t>F</m:t>
        </m:r>
      </m:oMath>
      <w:r>
        <w:t xml:space="preserve"> </w:t>
      </w:r>
      <w:r>
        <w:t xml:space="preserve">puts positive mass on both sides of</w:t>
      </w:r>
      <w:r>
        <w:t xml:space="preserve"> </w:t>
      </w:r>
      <m:oMath>
        <m:acc>
          <m:accPr>
            <m:chr m:val="̂"/>
          </m:accPr>
          <m:e>
            <m:r>
              <m:t>v</m:t>
            </m:r>
          </m:e>
        </m:acc>
      </m:oMath>
      <w:r>
        <w:t xml:space="preserve">, so that some firms transfer and some retrain. (a)</w:t>
      </w:r>
      <w:r>
        <w:t xml:space="preserve"> </w:t>
      </w:r>
      <w:r>
        <w:rPr>
          <w:iCs/>
          <w:i/>
        </w:rPr>
        <w:t xml:space="preserve">Strategic complementarity:</w:t>
      </w:r>
      <w:r>
        <w:t xml:space="preserve"> </w:t>
      </w:r>
      <m:oMath>
        <m:r>
          <m:t>d</m:t>
        </m:r>
        <m:sSub>
          <m:e>
            <m:r>
              <m:t>μ</m:t>
            </m:r>
          </m:e>
          <m:sub>
            <m:r>
              <m:t>V</m:t>
            </m:r>
          </m:sub>
        </m:sSub>
        <m:r>
          <m:rPr>
            <m:sty m:val="p"/>
          </m:rPr>
          <m:t>/</m:t>
        </m:r>
        <m:r>
          <m:t>d</m:t>
        </m:r>
        <m:r>
          <m:t>R</m:t>
        </m:r>
        <m:r>
          <m:rPr>
            <m:sty m:val="p"/>
          </m:rPr>
          <m:t>&gt;</m:t>
        </m:r>
        <m:r>
          <m:t>0</m:t>
        </m:r>
      </m:oMath>
      <w:r>
        <w:t xml:space="preserve"> </w:t>
      </w:r>
      <w:r>
        <w:t xml:space="preserve">for any such</w:t>
      </w:r>
      <w:r>
        <w:t xml:space="preserve"> </w:t>
      </w:r>
      <m:oMath>
        <m:r>
          <m:t>F</m:t>
        </m:r>
      </m:oMath>
      <w:r>
        <w:t xml:space="preserve">. If all firms retrain or all transfer,</w:t>
      </w:r>
      <w:r>
        <w:t xml:space="preserve"> </w:t>
      </w:r>
      <m:oMath>
        <m:r>
          <m:t>R</m:t>
        </m:r>
      </m:oMath>
      <w:r>
        <w:t xml:space="preserve"> </w:t>
      </w:r>
      <w:r>
        <w:t xml:space="preserve">has no effect on the owner’s problem and</w:t>
      </w:r>
      <w:r>
        <w:t xml:space="preserve"> </w:t>
      </w:r>
      <m:oMath>
        <m:r>
          <m:t>d</m:t>
        </m:r>
        <m:sSub>
          <m:e>
            <m:r>
              <m:t>μ</m:t>
            </m:r>
          </m:e>
          <m:sub>
            <m:r>
              <m:t>V</m:t>
            </m:r>
          </m:sub>
        </m:sSub>
        <m:r>
          <m:rPr>
            <m:sty m:val="p"/>
          </m:rPr>
          <m:t>/</m:t>
        </m:r>
        <m:r>
          <m:t>d</m:t>
        </m:r>
        <m:r>
          <m:t>R</m:t>
        </m:r>
        <m:r>
          <m:rPr>
            <m:sty m:val="p"/>
          </m:rPr>
          <m:t>=</m:t>
        </m:r>
        <m:r>
          <m:t>0</m:t>
        </m:r>
      </m:oMath>
      <w:r>
        <w:t xml:space="preserve">. (b)</w:t>
      </w:r>
      <w:r>
        <w:t xml:space="preserve"> </w:t>
      </w:r>
      <w:r>
        <w:rPr>
          <w:iCs/>
          <w:i/>
        </w:rPr>
        <w:t xml:space="preserve">Distribution:</w:t>
      </w:r>
      <w:r>
        <w:t xml:space="preserve"> </w:t>
      </w:r>
      <w:r>
        <w:t xml:space="preserve">a small increase in</w:t>
      </w:r>
      <w:r>
        <w:t xml:space="preserve"> </w:t>
      </w:r>
      <m:oMath>
        <m:r>
          <m:t>R</m:t>
        </m:r>
      </m:oMath>
      <w:r>
        <w:t xml:space="preserve"> </w:t>
      </w:r>
      <w:r>
        <w:t xml:space="preserve">has a direct effect and a cadence effect. A firm that retrains before and after the change has no direct effect; if</w:t>
      </w:r>
      <w:r>
        <w:t xml:space="preserve"> </w:t>
      </w:r>
      <m:oMath>
        <m:r>
          <m:t>b</m:t>
        </m:r>
        <m:r>
          <m:rPr>
            <m:sty m:val="p"/>
          </m:rPr>
          <m:t>&lt;</m:t>
        </m:r>
        <m:sSub>
          <m:e>
            <m:r>
              <m:t>C</m:t>
            </m:r>
          </m:e>
          <m:sub>
            <m:r>
              <m:t>N</m:t>
            </m:r>
          </m:sub>
        </m:sSub>
        <m:r>
          <m:rPr>
            <m:sty m:val="p"/>
          </m:rPr>
          <m:t>/</m:t>
        </m:r>
        <m:r>
          <m:t>ρ</m:t>
        </m:r>
      </m:oMath>
      <w:r>
        <w:t xml:space="preserve"> </w:t>
      </w:r>
      <w:r>
        <w:t xml:space="preserve">it is made strictly worse off. A transferring firm with</w:t>
      </w:r>
      <w:r>
        <w:t xml:space="preserve"> </w:t>
      </w:r>
      <m:oMath>
        <m:r>
          <m:t>v</m:t>
        </m:r>
        <m:r>
          <m:rPr>
            <m:sty m:val="p"/>
          </m:rPr>
          <m:t>→</m:t>
        </m:r>
        <m:r>
          <m:t>0</m:t>
        </m:r>
      </m:oMath>
      <w:r>
        <w:t xml:space="preserve"> </w:t>
      </w:r>
      <w:r>
        <w:t xml:space="preserve">gains from both effects. In the over-release region the cadence effect is negative on average, so mean surplus can fall even as</w:t>
      </w:r>
      <w:r>
        <w:t xml:space="preserve"> </w:t>
      </w:r>
      <m:oMath>
        <m:r>
          <m:t>R</m:t>
        </m:r>
      </m:oMath>
      <w:r>
        <w:t xml:space="preserve"> </w:t>
      </w:r>
      <w:r>
        <w:t xml:space="preserve">improves.</w:t>
      </w:r>
    </w:p>
    <w:p>
      <w:pPr>
        <w:pStyle w:val="BodyText"/>
      </w:pPr>
      <w:r>
        <w:t xml:space="preserve">Easier transfer lowers the marginal burden of a release. The owner internalizes the share</w:t>
      </w:r>
      <w:r>
        <w:t xml:space="preserve"> </w:t>
      </w:r>
      <m:oMath>
        <m:r>
          <m:t>θ</m:t>
        </m:r>
      </m:oMath>
      <w:r>
        <w:t xml:space="preserve"> </w:t>
      </w:r>
      <w:r>
        <w:t xml:space="preserve">of that reduction and therefore releases more often, while the firms that cannot use the tool bear the faster clock.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r>
                <m:t>R</m:t>
              </m:r>
            </m:oMath>
          </w:p>
        </w:tc>
        <w:tc>
          <w:tcPr/>
          <w:p>
            <w:pPr>
              <w:pStyle w:val="Compact"/>
              <w:jc w:val="right"/>
            </w:pPr>
            <m:oMath>
              <m:sSub>
                <m:e>
                  <m:r>
                    <m:t>μ</m:t>
                  </m:r>
                </m:e>
                <m:sub>
                  <m:r>
                    <m:t>V</m:t>
                  </m:r>
                </m:sub>
              </m:sSub>
            </m:oMath>
          </w:p>
        </w:tc>
        <w:tc>
          <w:tcPr/>
          <w:p>
            <w:pPr>
              <w:pStyle w:val="Compact"/>
              <w:jc w:val="right"/>
            </w:pPr>
            <m:oMath>
              <m:sSub>
                <m:e>
                  <m:r>
                    <m:t>μ</m:t>
                  </m:r>
                </m:e>
                <m:sub>
                  <m:r>
                    <m:t>P</m:t>
                  </m:r>
                </m:sub>
              </m:sSub>
            </m:oMath>
          </w:p>
        </w:tc>
        <w:tc>
          <w:tcPr/>
          <w:p>
            <w:pPr>
              <w:pStyle w:val="Compact"/>
              <w:jc w:val="right"/>
            </w:pPr>
            <w:r>
              <w:t xml:space="preserve">Retrain boundary</w:t>
            </w:r>
          </w:p>
        </w:tc>
        <w:tc>
          <w:tcPr/>
          <w:p>
            <w:pPr>
              <w:pStyle w:val="Compact"/>
              <w:jc w:val="center"/>
            </w:pPr>
            <w:r>
              <w:t xml:space="preserve">Over-release?</w:t>
            </w:r>
          </w:p>
        </w:tc>
      </w:tr>
      <w:tr>
        <w:tc>
          <w:tcPr/>
          <w:p>
            <w:pPr>
              <w:pStyle w:val="Compact"/>
              <w:jc w:val="center"/>
            </w:pPr>
            <w:r>
              <w:t xml:space="preserve">0.3</w:t>
            </w:r>
          </w:p>
        </w:tc>
        <w:tc>
          <w:tcPr/>
          <w:p>
            <w:pPr>
              <w:pStyle w:val="Compact"/>
              <w:jc w:val="right"/>
            </w:pPr>
            <w:r>
              <w:t xml:space="preserve">2.48</w:t>
            </w:r>
          </w:p>
        </w:tc>
        <w:tc>
          <w:tcPr/>
          <w:p>
            <w:pPr>
              <w:pStyle w:val="Compact"/>
              <w:jc w:val="right"/>
            </w:pPr>
            <w:r>
              <w:t xml:space="preserve">1.84</w:t>
            </w:r>
          </w:p>
        </w:tc>
        <w:tc>
          <w:tcPr/>
          <w:p>
            <w:pPr>
              <w:pStyle w:val="Compact"/>
              <w:jc w:val="right"/>
            </w:pPr>
            <w:r>
              <w:t xml:space="preserve">3.68</w:t>
            </w:r>
          </w:p>
        </w:tc>
        <w:tc>
          <w:tcPr/>
          <w:p>
            <w:pPr>
              <w:pStyle w:val="Compact"/>
              <w:jc w:val="center"/>
            </w:pPr>
            <w:r>
              <w:t xml:space="preserve">Yes</w:t>
            </w:r>
          </w:p>
        </w:tc>
      </w:tr>
      <w:tr>
        <w:tc>
          <w:tcPr/>
          <w:p>
            <w:pPr>
              <w:pStyle w:val="Compact"/>
              <w:jc w:val="center"/>
            </w:pPr>
            <w:r>
              <w:t xml:space="preserve">0.5</w:t>
            </w:r>
          </w:p>
        </w:tc>
        <w:tc>
          <w:tcPr/>
          <w:p>
            <w:pPr>
              <w:pStyle w:val="Compact"/>
              <w:jc w:val="right"/>
            </w:pPr>
            <w:r>
              <w:t xml:space="preserve">2.58</w:t>
            </w:r>
          </w:p>
        </w:tc>
        <w:tc>
          <w:tcPr/>
          <w:p>
            <w:pPr>
              <w:pStyle w:val="Compact"/>
              <w:jc w:val="right"/>
            </w:pPr>
            <w:r>
              <w:t xml:space="preserve">2.02</w:t>
            </w:r>
          </w:p>
        </w:tc>
        <w:tc>
          <w:tcPr/>
          <w:p>
            <w:pPr>
              <w:pStyle w:val="Compact"/>
              <w:jc w:val="right"/>
            </w:pPr>
            <w:r>
              <w:t xml:space="preserve">5.36</w:t>
            </w:r>
          </w:p>
        </w:tc>
        <w:tc>
          <w:tcPr/>
          <w:p>
            <w:pPr>
              <w:pStyle w:val="Compact"/>
              <w:jc w:val="center"/>
            </w:pPr>
            <w:r>
              <w:t xml:space="preserve">Yes</w:t>
            </w:r>
          </w:p>
        </w:tc>
      </w:tr>
      <w:tr>
        <w:tc>
          <w:tcPr/>
          <w:p>
            <w:pPr>
              <w:pStyle w:val="Compact"/>
              <w:jc w:val="center"/>
            </w:pPr>
            <w:r>
              <w:t xml:space="preserve">0.7</w:t>
            </w:r>
          </w:p>
        </w:tc>
        <w:tc>
          <w:tcPr/>
          <w:p>
            <w:pPr>
              <w:pStyle w:val="Compact"/>
              <w:jc w:val="right"/>
            </w:pPr>
            <w:r>
              <w:t xml:space="preserve">2.86</w:t>
            </w:r>
          </w:p>
        </w:tc>
        <w:tc>
          <w:tcPr/>
          <w:p>
            <w:pPr>
              <w:pStyle w:val="Compact"/>
              <w:jc w:val="right"/>
            </w:pPr>
            <w:r>
              <w:t xml:space="preserve">2.61</w:t>
            </w:r>
          </w:p>
        </w:tc>
        <w:tc>
          <w:tcPr/>
          <w:p>
            <w:pPr>
              <w:pStyle w:val="Compact"/>
              <w:jc w:val="right"/>
            </w:pPr>
            <w:r>
              <w:t xml:space="preserve">9.85</w:t>
            </w:r>
          </w:p>
        </w:tc>
        <w:tc>
          <w:tcPr/>
          <w:p>
            <w:pPr>
              <w:pStyle w:val="Compact"/>
              <w:jc w:val="center"/>
            </w:pPr>
            <w:r>
              <w:t xml:space="preserve">Yes</w:t>
            </w:r>
          </w:p>
        </w:tc>
      </w:tr>
      <w:tr>
        <w:tc>
          <w:tcPr/>
          <w:p>
            <w:pPr>
              <w:pStyle w:val="Compact"/>
              <w:jc w:val="center"/>
            </w:pPr>
            <w:r>
              <w:t xml:space="preserve">0.8</w:t>
            </w:r>
          </w:p>
        </w:tc>
        <w:tc>
          <w:tcPr/>
          <w:p>
            <w:pPr>
              <w:pStyle w:val="Compact"/>
              <w:jc w:val="right"/>
            </w:pPr>
            <w:r>
              <w:t xml:space="preserve">3.30</w:t>
            </w:r>
          </w:p>
        </w:tc>
        <w:tc>
          <w:tcPr/>
          <w:p>
            <w:pPr>
              <w:pStyle w:val="Compact"/>
              <w:jc w:val="right"/>
            </w:pPr>
            <w:r>
              <w:t xml:space="preserve">4.08</w:t>
            </w:r>
          </w:p>
        </w:tc>
        <w:tc>
          <w:tcPr/>
          <w:p>
            <w:pPr>
              <w:pStyle w:val="Compact"/>
              <w:jc w:val="right"/>
            </w:pPr>
            <w:r>
              <w:t xml:space="preserve">16.98</w:t>
            </w:r>
          </w:p>
        </w:tc>
        <w:tc>
          <w:tcPr/>
          <w:p>
            <w:pPr>
              <w:pStyle w:val="Compact"/>
              <w:jc w:val="center"/>
            </w:pPr>
            <w:r>
              <w:t xml:space="preserve">No</w:t>
            </w:r>
          </w:p>
        </w:tc>
      </w:tr>
    </w:tbl>
    <w:p>
      <w:pPr>
        <w:pStyle w:val="BodyText"/>
      </w:pPr>
      <w:r>
        <w:rPr>
          <w:iCs/>
          <w:i/>
        </w:rPr>
        <w:t xml:space="preserve">Table 5. Monopoly intensity by recovery rate (</w:t>
      </w:r>
      <m:oMath>
        <m:r>
          <m:t>ρ</m:t>
        </m:r>
        <m:r>
          <m:rPr>
            <m:sty m:val="p"/>
          </m:rPr>
          <m:t>=</m:t>
        </m:r>
        <m:r>
          <m:t>0.10</m:t>
        </m:r>
      </m:oMath>
      <w:r>
        <w:rPr>
          <w:iCs/>
          <w:i/>
        </w:rPr>
        <w:t xml:space="preserve">,</w:t>
      </w:r>
      <w:r>
        <w:rPr>
          <w:iCs/>
          <w:i/>
        </w:rPr>
        <w:t xml:space="preserve"> </w:t>
      </w:r>
      <m:oMath>
        <m:sSub>
          <m:e>
            <m:r>
              <m:t>C</m:t>
            </m:r>
          </m:e>
          <m:sub>
            <m:r>
              <m:t>N</m:t>
            </m:r>
          </m:sub>
        </m:sSub>
        <m:r>
          <m:rPr>
            <m:sty m:val="p"/>
          </m:rPr>
          <m:t>=</m:t>
        </m:r>
        <m:r>
          <m:t>1</m:t>
        </m:r>
      </m:oMath>
      <w:r>
        <w:rPr>
          <w:iCs/>
          <w:i/>
        </w:rPr>
        <w:t xml:space="preserve">,</w:t>
      </w:r>
      <w:r>
        <w:rPr>
          <w:iCs/>
          <w:i/>
        </w:rPr>
        <w:t xml:space="preserve"> </w:t>
      </w:r>
      <m:oMath>
        <m:r>
          <m:t>v</m:t>
        </m:r>
        <m:r>
          <m:rPr>
            <m:sty m:val="p"/>
          </m:rPr>
          <m:t>∼</m:t>
        </m:r>
        <m:r>
          <m:t>U</m:t>
        </m:r>
        <m:d>
          <m:dPr>
            <m:begChr m:val="["/>
            <m:endChr m:val="]"/>
            <m:sepChr m:val=""/>
            <m:grow/>
          </m:dPr>
          <m:e>
            <m:r>
              <m:t>0</m:t>
            </m:r>
            <m:r>
              <m:rPr>
                <m:sty m:val="p"/>
              </m:rPr>
              <m:t>,</m:t>
            </m:r>
            <m:r>
              <m:t>40</m:t>
            </m:r>
          </m:e>
        </m:d>
      </m:oMath>
      <w:r>
        <w:rPr>
          <w:iCs/>
          <w:i/>
        </w:rPr>
        <w:t xml:space="preserve">,</w:t>
      </w:r>
      <w:r>
        <w:rPr>
          <w:iCs/>
          <w:i/>
        </w:rPr>
        <w:t xml:space="preserve"> </w:t>
      </w:r>
      <m:oMath>
        <m:r>
          <m:t>b</m:t>
        </m:r>
        <m:r>
          <m:rPr>
            <m:sty m:val="p"/>
          </m:rPr>
          <m:t>=</m:t>
        </m:r>
        <m:r>
          <m:t>7</m:t>
        </m:r>
      </m:oMath>
      <w:r>
        <w:rPr>
          <w:iCs/>
          <w:i/>
        </w:rPr>
        <w:t xml:space="preserve">,</w:t>
      </w:r>
      <w:r>
        <w:rPr>
          <w:iCs/>
          <w:i/>
        </w:rPr>
        <w:t xml:space="preserve"> </w:t>
      </w:r>
      <m:oMath>
        <m:r>
          <m:t>ψ</m:t>
        </m:r>
        <m:r>
          <m:rPr>
            <m:sty m:val="p"/>
          </m:rPr>
          <m:t>=</m:t>
        </m:r>
        <m:r>
          <m:t>6</m:t>
        </m:r>
      </m:oMath>
      <w:r>
        <w:rPr>
          <w:iCs/>
          <w:i/>
        </w:rPr>
        <w:t xml:space="preserve">,</w:t>
      </w:r>
      <w:r>
        <w:rPr>
          <w:iCs/>
          <w:i/>
        </w:rPr>
        <w:t xml:space="preserve"> </w:t>
      </w:r>
      <m:oMath>
        <m:r>
          <m:t>c</m:t>
        </m:r>
        <m:r>
          <m:rPr>
            <m:sty m:val="p"/>
          </m:rPr>
          <m:t>=</m:t>
        </m:r>
        <m:r>
          <m:t>2</m:t>
        </m:r>
      </m:oMath>
      <w:r>
        <w:rPr>
          <w:iCs/>
          <w:i/>
        </w:rPr>
        <w:t xml:space="preserve">,</w:t>
      </w:r>
      <w:r>
        <w:rPr>
          <w:iCs/>
          <w:i/>
        </w:rPr>
        <w:t xml:space="preserve"> </w:t>
      </w:r>
      <m:oMath>
        <m:r>
          <m:t>θ</m:t>
        </m:r>
        <m:r>
          <m:rPr>
            <m:sty m:val="p"/>
          </m:rPr>
          <m:t>=</m:t>
        </m:r>
        <m:r>
          <m:t>0.5</m:t>
        </m:r>
      </m:oMath>
      <w:r>
        <w:rPr>
          <w:iCs/>
          <w:i/>
        </w:rPr>
        <w:t xml:space="preserve">).</w:t>
      </w:r>
    </w:p>
    <w:p>
      <w:pPr>
        <w:pStyle w:val="CaptionedFigure"/>
      </w:pPr>
      <w:r>
        <w:drawing>
          <wp:inline>
            <wp:extent cx="5334000" cy="3111500"/>
            <wp:effectExtent b="0" l="0" r="0" t="0"/>
            <wp:docPr descr="Figure 1. Change in firm surplus when R rises from 0.5 to 0.7 under the monopoly best response. Retraining firms with v\gtrsim 9.57 lose through the cadence effect." title="" id="32" name="Picture"/>
            <a:graphic>
              <a:graphicData uri="http://schemas.openxmlformats.org/drawingml/2006/picture">
                <pic:pic>
                  <pic:nvPicPr>
                    <pic:cNvPr descr="figures/fig1.jpg" id="33" name="Picture"/>
                    <pic:cNvPicPr>
                      <a:picLocks noChangeArrowheads="1" noChangeAspect="1"/>
                    </pic:cNvPicPr>
                  </pic:nvPicPr>
                  <pic:blipFill>
                    <a:blip r:embed="rId3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1. Change in firm surplus when</w:t>
      </w:r>
      <w:r>
        <w:t xml:space="preserve"> </w:t>
      </w:r>
      <m:oMath>
        <m:r>
          <m:t>R</m:t>
        </m:r>
      </m:oMath>
      <w:r>
        <w:t xml:space="preserve"> </w:t>
      </w:r>
      <w:r>
        <w:t xml:space="preserve">rises from 0.5 to 0.7 under the monopoly best response. Retraining firms with</w:t>
      </w:r>
      <w:r>
        <w:t xml:space="preserve"> </w:t>
      </w:r>
      <m:oMath>
        <m:r>
          <m:t>v</m:t>
        </m:r>
        <m:r>
          <m:rPr>
            <m:sty m:val="p"/>
          </m:rPr>
          <m:t>≳</m:t>
        </m:r>
        <m:r>
          <m:t>9.57</m:t>
        </m:r>
      </m:oMath>
      <w:r>
        <w:t xml:space="preserve"> </w:t>
      </w:r>
      <w:r>
        <w:t xml:space="preserve">lose through the cadence effect.</w:t>
      </w:r>
    </w:p>
    <w:p>
      <w:pPr>
        <w:pStyle w:val="CaptionedFigure"/>
      </w:pPr>
      <w:r>
        <w:drawing>
          <wp:inline>
            <wp:extent cx="5334000" cy="3111500"/>
            <wp:effectExtent b="0" l="0" r="0" t="0"/>
            <wp:docPr descr="Figure 3. Equilibrium intensity as a function of R. Complementarity is positive under both monopoly and symmetric duopoly; the slope is an order of magnitude flatter under competition." title="" id="35" name="Picture"/>
            <a:graphic>
              <a:graphicData uri="http://schemas.openxmlformats.org/drawingml/2006/picture">
                <pic:pic>
                  <pic:nvPicPr>
                    <pic:cNvPr descr="figures/fig3.jpg" id="36" name="Picture"/>
                    <pic:cNvPicPr>
                      <a:picLocks noChangeArrowheads="1" noChangeAspect="1"/>
                    </pic:cNvPicPr>
                  </pic:nvPicPr>
                  <pic:blipFill>
                    <a:blip r:embed="rId3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3. Equilibrium intensity as a function of</w:t>
      </w:r>
      <w:r>
        <w:t xml:space="preserve"> </w:t>
      </w:r>
      <m:oMath>
        <m:r>
          <m:t>R</m:t>
        </m:r>
      </m:oMath>
      <w:r>
        <w:t xml:space="preserve">. Complementarity is positive under both monopoly and symmetric duopoly; the slope is an order of magnitude flatter under competition.</w:t>
      </w:r>
    </w:p>
    <w:bookmarkEnd w:id="37"/>
    <w:bookmarkStart w:id="41" w:name="X1c69e124814dbb6ac5315d286702bcb5f0461bf"/>
    <w:p>
      <w:pPr>
        <w:pStyle w:val="Heading2"/>
      </w:pPr>
      <w:r>
        <w:t xml:space="preserve">6. Competing Platform Owners and the One-Third Rule</w:t>
      </w:r>
    </w:p>
    <w:p>
      <w:pPr>
        <w:pStyle w:val="FirstParagraph"/>
      </w:pPr>
      <w:r>
        <w:t xml:space="preserve">Owners first choose intensities (and, later, compatibilities) simultaneously and then set enterprise prices; firms then choose an owner and stay with it. A firm of value</w:t>
      </w:r>
      <w:r>
        <w:t xml:space="preserve"> </w:t>
      </w:r>
      <m:oMath>
        <m:r>
          <m:t>v</m:t>
        </m:r>
      </m:oMath>
      <w:r>
        <w:t xml:space="preserve"> </w:t>
      </w:r>
      <w:r>
        <w:t xml:space="preserve">obtains</w:t>
      </w:r>
      <w:r>
        <w:t xml:space="preserve"> </w:t>
      </w:r>
      <m:oMath>
        <m:r>
          <m:t>s</m:t>
        </m:r>
        <m:d>
          <m:dPr>
            <m:begChr m:val="("/>
            <m:endChr m:val=")"/>
            <m:sepChr m:val=""/>
            <m:grow/>
          </m:dPr>
          <m:e>
            <m:sSub>
              <m:e>
                <m:r>
                  <m:t>μ</m:t>
                </m:r>
              </m:e>
              <m:sub>
                <m:r>
                  <m:t>i</m:t>
                </m:r>
              </m:sub>
            </m:sSub>
            <m:r>
              <m:rPr>
                <m:sty m:val="p"/>
              </m:rPr>
              <m:t>,</m:t>
            </m:r>
            <m:r>
              <m:t>v</m:t>
            </m:r>
            <m:r>
              <m:rPr>
                <m:sty m:val="p"/>
              </m:rPr>
              <m:t>;</m:t>
            </m:r>
            <m:sSub>
              <m:e>
                <m:r>
                  <m:t>R</m:t>
                </m:r>
              </m:e>
              <m:sub>
                <m:r>
                  <m:t>i</m:t>
                </m:r>
              </m:sub>
            </m:sSub>
          </m:e>
        </m:d>
        <m:r>
          <m:rPr>
            <m:sty m:val="p"/>
          </m:rPr>
          <m:t>−</m:t>
        </m:r>
        <m:sSub>
          <m:e>
            <m:r>
              <m:t>p</m:t>
            </m:r>
          </m:e>
          <m:sub>
            <m:r>
              <m:t>i</m:t>
            </m:r>
          </m:sub>
        </m:sSub>
        <m:r>
          <m:rPr>
            <m:sty m:val="p"/>
          </m:rPr>
          <m:t>+</m:t>
        </m:r>
        <m:r>
          <m:t>η</m:t>
        </m:r>
        <m:sSub>
          <m:e>
            <m:r>
              <m:t>ε</m:t>
            </m:r>
          </m:e>
          <m:sub>
            <m:r>
              <m:t>i</m:t>
            </m:r>
          </m:sub>
        </m:sSub>
      </m:oMath>
      <w:r>
        <w:t xml:space="preserve"> </w:t>
      </w:r>
      <w:r>
        <w:t xml:space="preserve">from owner</w:t>
      </w:r>
      <w:r>
        <w:t xml:space="preserve"> </w:t>
      </w:r>
      <m:oMath>
        <m:r>
          <m:t>i</m:t>
        </m:r>
      </m:oMath>
      <w:r>
        <w:t xml:space="preserve">, where the</w:t>
      </w:r>
      <w:r>
        <w:t xml:space="preserve"> </w:t>
      </w:r>
      <m:oMath>
        <m:sSub>
          <m:e>
            <m:r>
              <m:t>ε</m:t>
            </m:r>
          </m:e>
          <m:sub>
            <m:r>
              <m:t>i</m:t>
            </m:r>
          </m:sub>
        </m:sSub>
      </m:oMath>
      <w:r>
        <w:t xml:space="preserve"> </w:t>
      </w:r>
      <w:r>
        <w:t xml:space="preserve">are i.i.d. Gumbel. A general-market prize</w:t>
      </w:r>
      <w:r>
        <w:t xml:space="preserve"> </w:t>
      </w:r>
      <m:oMath>
        <m:r>
          <m:t>H</m:t>
        </m:r>
      </m:oMath>
      <w:r>
        <w:t xml:space="preserve"> </w:t>
      </w:r>
      <w:r>
        <w:t xml:space="preserve">is split by a Tullock contest (Tullock 1980) in intensities. Let</w:t>
      </w:r>
      <w:r>
        <w:t xml:space="preserve"> </w:t>
      </w:r>
      <m:oMath>
        <m:r>
          <m:t>a</m:t>
        </m:r>
        <m:r>
          <m:rPr>
            <m:sty m:val="p"/>
          </m:rPr>
          <m:t>≥</m:t>
        </m:r>
        <m:r>
          <m:t>0</m:t>
        </m:r>
      </m:oMath>
      <w:r>
        <w:t xml:space="preserve"> </w:t>
      </w:r>
      <w:r>
        <w:t xml:space="preserve">denote the planner’s marginal valuation of the general-market benefit of intensity.</w:t>
      </w:r>
    </w:p>
    <w:p>
      <w:pPr>
        <w:pStyle w:val="BodyText"/>
      </w:pPr>
      <w:r>
        <w:rPr>
          <w:bCs/>
          <w:b/>
        </w:rPr>
        <w:t xml:space="preserve">Proposition 5 (One-third rule and efficiency).</w:t>
      </w:r>
      <w:r>
        <w:t xml:space="preserve"> </w:t>
      </w:r>
      <w:r>
        <w:t xml:space="preserve">Let</w:t>
      </w:r>
      <w:r>
        <w:t xml:space="preserve"> </w:t>
      </w:r>
      <m:oMath>
        <m:r>
          <m:t>R</m:t>
        </m:r>
      </m:oMath>
      <w:r>
        <w:t xml:space="preserve"> </w:t>
      </w:r>
      <w:r>
        <w:t xml:space="preserve">be exogenous and common. In a symmetric subgame-perfect equilibrium, (a) prices are</w:t>
      </w:r>
      <w:r>
        <w:t xml:space="preserve"> </w:t>
      </w:r>
      <m:oMath>
        <m:sSup>
          <m:e>
            <m:r>
              <m:t>p</m:t>
            </m:r>
          </m:e>
          <m:sup>
            <m:r>
              <m:rPr>
                <m:sty m:val="p"/>
              </m:rPr>
              <m:t>*</m:t>
            </m:r>
          </m:sup>
        </m:sSup>
        <m:r>
          <m:rPr>
            <m:sty m:val="p"/>
          </m:rPr>
          <m:t>=</m:t>
        </m:r>
        <m:r>
          <m:t>2</m:t>
        </m:r>
        <m:r>
          <m:t>η</m:t>
        </m:r>
      </m:oMath>
      <w:r>
        <w:t xml:space="preserve">, independent of</w:t>
      </w:r>
      <w:r>
        <w:t xml:space="preserve"> </w:t>
      </w:r>
      <m:oMath>
        <m:r>
          <m:t>μ</m:t>
        </m:r>
      </m:oMath>
      <w:r>
        <w:t xml:space="preserve"> </w:t>
      </w:r>
      <w:r>
        <w:t xml:space="preserve">and</w:t>
      </w:r>
      <w:r>
        <w:t xml:space="preserve"> </w:t>
      </w:r>
      <m:oMath>
        <m:r>
          <m:t>R</m:t>
        </m:r>
      </m:oMath>
      <w:r>
        <w:t xml:space="preserve">; (b)</w:t>
      </w:r>
      <w:r>
        <w:t xml:space="preserve"> </w:t>
      </w:r>
      <m:oMath>
        <m:sSup>
          <m:e>
            <m:r>
              <m:t>μ</m:t>
            </m:r>
          </m:e>
          <m:sup>
            <m:r>
              <m:rPr>
                <m:sty m:val="p"/>
              </m:rPr>
              <m:t>*</m:t>
            </m:r>
          </m:sup>
        </m:sSup>
      </m:oMath>
      <w:r>
        <w:t xml:space="preserve"> </w:t>
      </w:r>
      <w:r>
        <w:t xml:space="preserve">satisfies</w:t>
      </w:r>
      <w:r>
        <w:t xml:space="preserve"> </w:t>
      </w:r>
      <m:oMath>
        <m:f>
          <m:fPr>
            <m:type m:val="bar"/>
          </m:fPr>
          <m:num>
            <m:r>
              <m:t>H</m:t>
            </m:r>
          </m:num>
          <m:den>
            <m:r>
              <m:t>4</m:t>
            </m:r>
            <m:sSup>
              <m:e>
                <m:r>
                  <m:t>μ</m:t>
                </m:r>
              </m:e>
              <m:sup>
                <m:r>
                  <m:rPr>
                    <m:sty m:val="p"/>
                  </m:rPr>
                  <m:t>*</m:t>
                </m:r>
              </m:sup>
            </m:sSup>
          </m:den>
        </m:f>
        <m:r>
          <m:rPr>
            <m:sty m:val="p"/>
          </m:rPr>
          <m:t>+</m:t>
        </m:r>
        <m:f>
          <m:fPr>
            <m:type m:val="bar"/>
          </m:fPr>
          <m:num>
            <m:r>
              <m:t>n</m:t>
            </m:r>
          </m:num>
          <m:den>
            <m:r>
              <m:t>3</m:t>
            </m:r>
          </m:den>
        </m:f>
        <m:r>
          <m:t>E</m:t>
        </m:r>
        <m:d>
          <m:dPr>
            <m:begChr m:val="["/>
            <m:endChr m:val="]"/>
            <m:sepChr m:val=""/>
            <m:grow/>
          </m:dPr>
          <m:e>
            <m:sSub>
              <m:e>
                <m:r>
                  <m:t>s</m:t>
                </m:r>
              </m:e>
              <m:sub>
                <m:r>
                  <m:t>μ</m:t>
                </m:r>
              </m:sub>
            </m:sSub>
          </m:e>
        </m:d>
        <m:r>
          <m:rPr>
            <m:sty m:val="p"/>
          </m:rPr>
          <m:t>−</m:t>
        </m:r>
        <m:r>
          <m:t>c</m:t>
        </m:r>
        <m:sSup>
          <m:e>
            <m:r>
              <m:t>μ</m:t>
            </m:r>
          </m:e>
          <m:sup>
            <m:r>
              <m:rPr>
                <m:sty m:val="p"/>
              </m:rPr>
              <m:t>*</m:t>
            </m:r>
          </m:sup>
        </m:sSup>
        <m:r>
          <m:rPr>
            <m:sty m:val="p"/>
          </m:rPr>
          <m:t>=</m:t>
        </m:r>
        <m:r>
          <m:t>0</m:t>
        </m:r>
      </m:oMath>
      <w:r>
        <w:t xml:space="preserve">; (c) each owner internalizes the marginal change in enterprise surplus with weight exactly one-third, regardless of</w:t>
      </w:r>
      <w:r>
        <w:t xml:space="preserve"> </w:t>
      </w:r>
      <m:oMath>
        <m:r>
          <m:t>η</m:t>
        </m:r>
      </m:oMath>
      <w:r>
        <w:t xml:space="preserve"> </w:t>
      </w:r>
      <w:r>
        <w:t xml:space="preserve">and of</w:t>
      </w:r>
      <w:r>
        <w:t xml:space="preserve"> </w:t>
      </w:r>
      <m:oMath>
        <m:r>
          <m:t>F</m:t>
        </m:r>
      </m:oMath>
      <w:r>
        <w:t xml:space="preserve">. (d) If the planner’s objective is concave, the symmetric equilibrium over-releases if and only if</w:t>
      </w:r>
      <w:r>
        <w:t xml:space="preserve"> </w:t>
      </w:r>
      <m:oMath>
        <m:r>
          <m:t>a</m:t>
        </m:r>
        <m:r>
          <m:rPr>
            <m:sty m:val="p"/>
          </m:rPr>
          <m:t>+</m:t>
        </m:r>
        <m:d>
          <m:dPr>
            <m:begChr m:val="("/>
            <m:endChr m:val=")"/>
            <m:sepChr m:val=""/>
            <m:grow/>
          </m:dPr>
          <m:e>
            <m:r>
              <m:t>n</m:t>
            </m:r>
            <m:r>
              <m:rPr>
                <m:sty m:val="p"/>
              </m:rPr>
              <m:t>/</m:t>
            </m:r>
            <m:r>
              <m:t>6</m:t>
            </m:r>
          </m:e>
        </m:d>
        <m:r>
          <m:t>E</m:t>
        </m:r>
        <m:d>
          <m:dPr>
            <m:begChr m:val="["/>
            <m:endChr m:val="]"/>
            <m:sepChr m:val=""/>
            <m:grow/>
          </m:dPr>
          <m:e>
            <m:sSub>
              <m:e>
                <m:r>
                  <m:t>s</m:t>
                </m:r>
              </m:e>
              <m:sub>
                <m:r>
                  <m:t>μ</m:t>
                </m:r>
              </m:sub>
            </m:sSub>
          </m:e>
        </m:d>
        <m:r>
          <m:rPr>
            <m:sty m:val="p"/>
          </m:rPr>
          <m:t>−</m:t>
        </m:r>
        <m:r>
          <m:t>H</m:t>
        </m:r>
        <m:r>
          <m:rPr>
            <m:sty m:val="p"/>
          </m:rPr>
          <m:t>/</m:t>
        </m:r>
        <m:d>
          <m:dPr>
            <m:begChr m:val="("/>
            <m:endChr m:val=")"/>
            <m:sepChr m:val=""/>
            <m:grow/>
          </m:dPr>
          <m:e>
            <m:r>
              <m:t>4</m:t>
            </m:r>
            <m:sSup>
              <m:e>
                <m:r>
                  <m:t>μ</m:t>
                </m:r>
              </m:e>
              <m:sup>
                <m:r>
                  <m:rPr>
                    <m:sty m:val="p"/>
                  </m:rPr>
                  <m:t>*</m:t>
                </m:r>
              </m:sup>
            </m:sSup>
          </m:e>
        </m:d>
        <m:r>
          <m:rPr>
            <m:sty m:val="p"/>
          </m:rPr>
          <m:t>&lt;</m:t>
        </m:r>
        <m:r>
          <m:t>0</m:t>
        </m:r>
      </m:oMath>
      <w:r>
        <w:t xml:space="preserve">. Over-release has two sources: rent-seeking in the race and under-internalization of enterprise surplus (weight 1/3 against the planner’s per-owner weight 1/2).</w:t>
      </w:r>
    </w:p>
    <w:p>
      <w:pPr>
        <w:pStyle w:val="BodyText"/>
      </w:pPr>
      <w:r>
        <w:rPr>
          <w:bCs/>
          <w:b/>
        </w:rPr>
        <w:t xml:space="preserve">Proposition 6 (Complementarity under competition).</w:t>
      </w:r>
      <w:r>
        <w:t xml:space="preserve"> </w:t>
      </w:r>
      <w:r>
        <w:t xml:space="preserve">Under the condition of Proposition 4,</w:t>
      </w:r>
      <w:r>
        <w:t xml:space="preserve"> </w:t>
      </w:r>
      <m:oMath>
        <m:r>
          <m:t>d</m:t>
        </m:r>
        <m:sSup>
          <m:e>
            <m:r>
              <m:t>μ</m:t>
            </m:r>
          </m:e>
          <m:sup>
            <m:r>
              <m:rPr>
                <m:sty m:val="p"/>
              </m:rPr>
              <m:t>*</m:t>
            </m:r>
          </m:sup>
        </m:sSup>
        <m:r>
          <m:rPr>
            <m:sty m:val="p"/>
          </m:rPr>
          <m:t>/</m:t>
        </m:r>
        <m:r>
          <m:t>d</m:t>
        </m:r>
        <m:r>
          <m:t>R</m:t>
        </m:r>
        <m:r>
          <m:rPr>
            <m:sty m:val="p"/>
          </m:rPr>
          <m:t>&gt;</m:t>
        </m:r>
        <m:r>
          <m:t>0</m:t>
        </m:r>
      </m:oMath>
      <w:r>
        <w:t xml:space="preserve"> </w:t>
      </w:r>
      <w:r>
        <w:t xml:space="preserve">in the symmetric equilibrium. If</w:t>
      </w:r>
      <w:r>
        <w:t xml:space="preserve"> </w:t>
      </w:r>
      <m:oMath>
        <m:r>
          <m:t>b</m:t>
        </m:r>
        <m:r>
          <m:rPr>
            <m:sty m:val="p"/>
          </m:rPr>
          <m:t>&lt;</m:t>
        </m:r>
        <m:sSub>
          <m:e>
            <m:r>
              <m:t>C</m:t>
            </m:r>
          </m:e>
          <m:sub>
            <m:r>
              <m:t>N</m:t>
            </m:r>
          </m:sub>
        </m:sSub>
        <m:r>
          <m:rPr>
            <m:sty m:val="p"/>
          </m:rPr>
          <m:t>/</m:t>
        </m:r>
        <m:r>
          <m:t>ρ</m:t>
        </m:r>
      </m:oMath>
      <w:r>
        <w:t xml:space="preserve">, firms that keep retraining lose when</w:t>
      </w:r>
      <w:r>
        <w:t xml:space="preserve"> </w:t>
      </w:r>
      <m:oMath>
        <m:r>
          <m:t>R</m:t>
        </m:r>
      </m:oMath>
      <w:r>
        <w:t xml:space="preserve"> </w:t>
      </w:r>
      <w:r>
        <w:t xml:space="preserve">improves. Evaluated at the same</w:t>
      </w:r>
      <w:r>
        <w:t xml:space="preserve"> </w:t>
      </w:r>
      <m:oMath>
        <m:r>
          <m:t>μ</m:t>
        </m:r>
      </m:oMath>
      <w:r>
        <w:t xml:space="preserve">, the rebound</w:t>
      </w:r>
      <w:r>
        <w:t xml:space="preserve"> </w:t>
      </w:r>
      <m:oMath>
        <m:r>
          <m:t>d</m:t>
        </m:r>
        <m:sSup>
          <m:e>
            <m:r>
              <m:t>μ</m:t>
            </m:r>
          </m:e>
          <m:sup>
            <m:r>
              <m:rPr>
                <m:sty m:val="p"/>
              </m:rPr>
              <m:t>*</m:t>
            </m:r>
          </m:sup>
        </m:sSup>
        <m:r>
          <m:rPr>
            <m:sty m:val="p"/>
          </m:rPr>
          <m:t>/</m:t>
        </m:r>
        <m:r>
          <m:t>d</m:t>
        </m:r>
        <m:r>
          <m:t>R</m:t>
        </m:r>
      </m:oMath>
      <w:r>
        <w:t xml:space="preserve"> </w:t>
      </w:r>
      <w:r>
        <w:t xml:space="preserve">is smaller than the monopoly rebound whenever</w:t>
      </w:r>
      <w:r>
        <w:t xml:space="preserve"> </w:t>
      </w:r>
      <m:oMath>
        <m:r>
          <m:t>θ</m:t>
        </m:r>
        <m:r>
          <m:rPr>
            <m:sty m:val="p"/>
          </m:rPr>
          <m:t>≥</m:t>
        </m:r>
        <m:r>
          <m:t>1</m:t>
        </m:r>
        <m:r>
          <m:rPr>
            <m:sty m:val="p"/>
          </m:rPr>
          <m:t>/</m:t>
        </m:r>
        <m:r>
          <m:t>3</m:t>
        </m:r>
      </m:oMath>
      <w:r>
        <w:t xml:space="preserve">.</w:t>
      </w:r>
    </w:p>
    <w:p>
      <w:pPr>
        <w:pStyle w:val="BodyText"/>
      </w:pPr>
      <w:r>
        <w:t xml:space="preserve">Raising</w:t>
      </w:r>
      <w:r>
        <w:t xml:space="preserve"> </w:t>
      </w:r>
      <m:oMath>
        <m:r>
          <m:t>R</m:t>
        </m:r>
      </m:oMath>
      <w:r>
        <w:t xml:space="preserve"> </w:t>
      </w:r>
      <w:r>
        <w:t xml:space="preserve">from 0.5 to 0.7 raises</w:t>
      </w:r>
      <w:r>
        <w:t xml:space="preserve"> </w:t>
      </w:r>
      <m:oMath>
        <m:sSup>
          <m:e>
            <m:r>
              <m:t>μ</m:t>
            </m:r>
          </m:e>
          <m:sup>
            <m:r>
              <m:rPr>
                <m:sty m:val="p"/>
              </m:rPr>
              <m:t>*</m:t>
            </m:r>
          </m:sup>
        </m:sSup>
      </m:oMath>
      <w:r>
        <w:t xml:space="preserve"> </w:t>
      </w:r>
      <w:r>
        <w:t xml:space="preserve">only from 0.928 to 0.952, against 2.58 to 2.86 under monopoly.</w:t>
      </w:r>
    </w:p>
    <w:p>
      <w:pPr>
        <w:pStyle w:val="BodyText"/>
      </w:pPr>
      <w:r>
        <w:rPr>
          <w:bCs/>
          <w:b/>
        </w:rPr>
        <w:t xml:space="preserve">Numerical Finding 1 (Differentiation).</w:t>
      </w:r>
      <w:r>
        <w:t xml:space="preserve"> </w:t>
      </w:r>
      <w:r>
        <w:t xml:space="preserve">Suppose each owner also chooses</w:t>
      </w:r>
      <w:r>
        <w:t xml:space="preserve"> </w:t>
      </w:r>
      <m:oMath>
        <m:sSub>
          <m:e>
            <m:r>
              <m:t>R</m:t>
            </m:r>
          </m:e>
          <m:sub>
            <m:r>
              <m:t>i</m:t>
            </m:r>
          </m:sub>
        </m:sSub>
      </m:oMath>
      <w:r>
        <w:t xml:space="preserve"> </w:t>
      </w:r>
      <w:r>
        <w:t xml:space="preserve">at cost</w:t>
      </w:r>
      <w:r>
        <w:t xml:space="preserve"> </w:t>
      </w:r>
      <m:oMath>
        <m:r>
          <m:t>Z</m:t>
        </m:r>
        <m:d>
          <m:dPr>
            <m:begChr m:val="("/>
            <m:endChr m:val=")"/>
            <m:sepChr m:val=""/>
            <m:grow/>
          </m:dPr>
          <m:e>
            <m:r>
              <m:t>R</m:t>
            </m:r>
          </m:e>
        </m:d>
        <m:r>
          <m:rPr>
            <m:sty m:val="p"/>
          </m:rPr>
          <m:t>=</m:t>
        </m:r>
        <m:r>
          <m:t>z</m:t>
        </m:r>
        <m:sSup>
          <m:e>
            <m:r>
              <m:t>R</m:t>
            </m:r>
          </m:e>
          <m:sup>
            <m:r>
              <m:t>2</m:t>
            </m:r>
          </m:sup>
        </m:sSup>
        <m:r>
          <m:rPr>
            <m:sty m:val="p"/>
          </m:rPr>
          <m:t>/</m:t>
        </m:r>
        <m:d>
          <m:dPr>
            <m:begChr m:val="("/>
            <m:endChr m:val=")"/>
            <m:sepChr m:val=""/>
            <m:grow/>
          </m:dPr>
          <m:e>
            <m:r>
              <m:t>1</m:t>
            </m:r>
            <m:r>
              <m:rPr>
                <m:sty m:val="p"/>
              </m:rPr>
              <m:t>−</m:t>
            </m:r>
            <m:r>
              <m:t>R</m:t>
            </m:r>
          </m:e>
        </m:d>
      </m:oMath>
      <w:r>
        <w:t xml:space="preserve">. The symmetric candidate is an equilibrium when the race is weak and fails when it is of intermediate intensity. In the latter case an asymmetric equilibrium appears, with a frontier owner that is fast and compatible and a stable owner that is slow and sparse. Mid-value transferring firms sort to the frontier owner, while the highest-value retraining firms lean toward the stable owner. When the race is very intense, both owners become fast and compatible. This is a grid-search finding at one parameterization rather than a theorem, and multiple equilibria exist at some values of</w:t>
      </w:r>
      <w:r>
        <w:t xml:space="preserve"> </w:t>
      </w:r>
      <m:oMath>
        <m:r>
          <m:t>H</m:t>
        </m:r>
      </m:oMath>
      <w:r>
        <w:t xml:space="preserve">.</w:t>
      </w:r>
    </w:p>
    <w:p>
      <w:pPr>
        <w:pStyle w:val="BodyText"/>
      </w:pPr>
      <w:r>
        <w:t xml:space="preserve">With</w:t>
      </w:r>
      <w:r>
        <w:t xml:space="preserve"> </w:t>
      </w:r>
      <m:oMath>
        <m:r>
          <m:t>z</m:t>
        </m:r>
        <m:r>
          <m:rPr>
            <m:sty m:val="p"/>
          </m:rPr>
          <m:t>=</m:t>
        </m:r>
        <m:r>
          <m:t>0.1</m:t>
        </m:r>
      </m:oMath>
      <w:r>
        <w:t xml:space="preserve"> </w:t>
      </w:r>
      <w:r>
        <w:t xml:space="preserve">and</w:t>
      </w:r>
      <w:r>
        <w:t xml:space="preserve"> </w:t>
      </w:r>
      <m:oMath>
        <m:r>
          <m:t>η</m:t>
        </m:r>
        <m:r>
          <m:rPr>
            <m:sty m:val="p"/>
          </m:rPr>
          <m:t>=</m:t>
        </m:r>
        <m:r>
          <m:t>10</m:t>
        </m:r>
      </m:oMath>
      <w:r>
        <w:t xml:space="preserve">, the asymmetric pair at</w:t>
      </w:r>
      <w:r>
        <w:t xml:space="preserve"> </w:t>
      </w:r>
      <m:oMath>
        <m:r>
          <m:t>H</m:t>
        </m:r>
        <m:r>
          <m:rPr>
            <m:sty m:val="p"/>
          </m:rPr>
          <m:t>=</m:t>
        </m:r>
        <m:r>
          <m:t>20</m:t>
        </m:r>
      </m:oMath>
      <w:r>
        <w:t xml:space="preserve"> </w:t>
      </w:r>
      <w:r>
        <w:t xml:space="preserve">is approximately</w:t>
      </w:r>
      <w:r>
        <w:t xml:space="preserve"> </w:t>
      </w:r>
      <m:oMath>
        <m:d>
          <m:dPr>
            <m:begChr m:val="("/>
            <m:endChr m:val=")"/>
            <m:sepChr m:val=""/>
            <m:grow/>
          </m:dPr>
          <m:e>
            <m:r>
              <m:t>μ</m:t>
            </m:r>
            <m:r>
              <m:rPr>
                <m:sty m:val="p"/>
              </m:rPr>
              <m:t>,</m:t>
            </m:r>
            <m:r>
              <m:t>R</m:t>
            </m:r>
          </m:e>
        </m:d>
        <m:r>
          <m:rPr>
            <m:sty m:val="p"/>
          </m:rPr>
          <m:t>=</m:t>
        </m:r>
        <m:d>
          <m:dPr>
            <m:begChr m:val="("/>
            <m:endChr m:val=")"/>
            <m:sepChr m:val=""/>
            <m:grow/>
          </m:dPr>
          <m:e>
            <m:r>
              <m:t>2.50</m:t>
            </m:r>
            <m:r>
              <m:rPr>
                <m:sty m:val="p"/>
              </m:rPr>
              <m:t>,</m:t>
            </m:r>
            <m:r>
              <m:t>0.96</m:t>
            </m:r>
          </m:e>
        </m:d>
      </m:oMath>
      <w:r>
        <w:t xml:space="preserve"> </w:t>
      </w:r>
      <w:r>
        <w:t xml:space="preserve">versus</w:t>
      </w:r>
      <w:r>
        <w:t xml:space="preserve"> </w:t>
      </w:r>
      <m:oMath>
        <m:d>
          <m:dPr>
            <m:begChr m:val="("/>
            <m:endChr m:val=")"/>
            <m:sepChr m:val=""/>
            <m:grow/>
          </m:dPr>
          <m:e>
            <m:r>
              <m:t>1.38</m:t>
            </m:r>
            <m:r>
              <m:rPr>
                <m:sty m:val="p"/>
              </m:rPr>
              <m:t>,</m:t>
            </m:r>
            <m:r>
              <m:t>0.08</m:t>
            </m:r>
          </m:e>
        </m:d>
      </m:oMath>
      <w:r>
        <w:t xml:space="preserve">. Prices in this illustration are 26.4 and 17.3, and mean customer value is 18.2 on the frontier platform and 22.8 on the stable platform.</w:t>
      </w:r>
    </w:p>
    <w:p>
      <w:pPr>
        <w:pStyle w:val="CaptionedFigure"/>
      </w:pPr>
      <w:r>
        <w:drawing>
          <wp:inline>
            <wp:extent cx="5334000" cy="3111500"/>
            <wp:effectExtent b="0" l="0" r="0" t="0"/>
            <wp:docPr descr="Figure 4. Logit probability of choosing the frontier owner in the H=20 asymmetric illustration. Mid-value firms lean frontier; high-value retraining firms lean stable." title="" id="39" name="Picture"/>
            <a:graphic>
              <a:graphicData uri="http://schemas.openxmlformats.org/drawingml/2006/picture">
                <pic:pic>
                  <pic:nvPicPr>
                    <pic:cNvPr descr="figures/fig4.jpg" id="40" name="Picture"/>
                    <pic:cNvPicPr>
                      <a:picLocks noChangeArrowheads="1" noChangeAspect="1"/>
                    </pic:cNvPicPr>
                  </pic:nvPicPr>
                  <pic:blipFill>
                    <a:blip r:embed="rId38"/>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4. Logit probability of choosing the frontier owner in the</w:t>
      </w:r>
      <w:r>
        <w:t xml:space="preserve"> </w:t>
      </w:r>
      <m:oMath>
        <m:r>
          <m:t>H</m:t>
        </m:r>
        <m:r>
          <m:rPr>
            <m:sty m:val="p"/>
          </m:rPr>
          <m:t>=</m:t>
        </m:r>
        <m:r>
          <m:t>20</m:t>
        </m:r>
      </m:oMath>
      <w:r>
        <w:t xml:space="preserve"> </w:t>
      </w:r>
      <w:r>
        <w:t xml:space="preserve">asymmetric illustration. Mid-value firms lean frontier; high-value retraining firms lean stable.</w:t>
      </w:r>
    </w:p>
    <w:bookmarkEnd w:id="41"/>
    <w:bookmarkStart w:id="51" w:name="robustness-and-extensions"/>
    <w:p>
      <w:pPr>
        <w:pStyle w:val="Heading2"/>
      </w:pPr>
      <w:r>
        <w:t xml:space="preserve">7. Robustness and Extensions</w:t>
      </w:r>
    </w:p>
    <w:bookmarkStart w:id="42" w:name="regular-arrivals"/>
    <w:p>
      <w:pPr>
        <w:pStyle w:val="Heading3"/>
      </w:pPr>
      <w:r>
        <w:t xml:space="preserve">7.1 Regular arrivals</w:t>
      </w:r>
    </w:p>
    <w:p>
      <w:pPr>
        <w:pStyle w:val="FirstParagraph"/>
      </w:pPr>
      <w:r>
        <w:t xml:space="preserve">Replace the exponential epoch length by a gamma law matched to each family’s mean gap and coefficient of variation, or by a deterministic gap. The loss multiplier</w:t>
      </w:r>
      <w:r>
        <w:t xml:space="preserve"> </w:t>
      </w:r>
      <m:oMath>
        <m:r>
          <m:t>E</m:t>
        </m:r>
        <m:r>
          <m:t>​</m:t>
        </m:r>
        <m:d>
          <m:dPr>
            <m:begChr m:val="["/>
            <m:endChr m:val="]"/>
            <m:sepChr m:val=""/>
            <m:grow/>
          </m:dPr>
          <m:e>
            <m:nary>
              <m:naryPr>
                <m:chr m:val="∫"/>
                <m:limLoc m:val="subSup"/>
                <m:subHide m:val="off"/>
                <m:supHide m:val="off"/>
              </m:naryPr>
              <m:sub>
                <m:r>
                  <m:t>0</m:t>
                </m:r>
              </m:sub>
              <m:sup>
                <m:r>
                  <m:t>τ</m:t>
                </m:r>
              </m:sup>
              <m:e>
                <m:sSup>
                  <m:e>
                    <m:r>
                      <m:t>e</m:t>
                    </m:r>
                  </m:e>
                  <m:sup>
                    <m:r>
                      <m:rPr>
                        <m:sty m:val="p"/>
                      </m:rPr>
                      <m:t>−</m:t>
                    </m:r>
                    <m:d>
                      <m:dPr>
                        <m:begChr m:val="("/>
                        <m:endChr m:val=")"/>
                        <m:sepChr m:val=""/>
                        <m:grow/>
                      </m:dPr>
                      <m:e>
                        <m:r>
                          <m:t>ρ</m:t>
                        </m:r>
                        <m:r>
                          <m:rPr>
                            <m:sty m:val="p"/>
                          </m:rPr>
                          <m:t>−</m:t>
                        </m:r>
                        <m:r>
                          <m:t>g</m:t>
                        </m:r>
                      </m:e>
                    </m:d>
                    <m:r>
                      <m:t>t</m:t>
                    </m:r>
                  </m:sup>
                </m:sSup>
              </m:e>
            </m:nary>
            <m:r>
              <m:t>d</m:t>
            </m:r>
            <m:r>
              <m:t>t</m:t>
            </m:r>
          </m:e>
        </m:d>
      </m:oMath>
      <w:r>
        <w:t xml:space="preserve"> </w:t>
      </w:r>
      <w:r>
        <w:t xml:space="preserve">is 1 to 4 percent smaller than under Poisson (gamma-to-Poisson ratios of 0.96 to 0.99), so the average burden barely moves. What regularity changes is timing: with a predictable release, the retraining threshold should rise as the date approaches (Rajagopalan 1999). The time-homogeneous</w:t>
      </w:r>
      <w:r>
        <w:t xml:space="preserve"> </w:t>
      </w:r>
      <m:oMath>
        <m:sSup>
          <m:e>
            <m:r>
              <m:t>v</m:t>
            </m:r>
          </m:e>
          <m:sup>
            <m:r>
              <m:rPr>
                <m:sty m:val="p"/>
              </m:rPr>
              <m:t>*</m:t>
            </m:r>
          </m:sup>
        </m:sSup>
      </m:oMath>
      <w:r>
        <w:t xml:space="preserve"> </w:t>
      </w:r>
      <w:r>
        <w:t xml:space="preserve">should therefore be read as an average over the epoch.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right"/>
            </w:pPr>
            <w:r>
              <w:t xml:space="preserve">CV</w:t>
            </w:r>
          </w:p>
        </w:tc>
        <w:tc>
          <w:tcPr/>
          <w:p>
            <w:pPr>
              <w:pStyle w:val="Compact"/>
              <w:jc w:val="right"/>
            </w:pPr>
            <w:r>
              <w:t xml:space="preserve">Gamma / Poisson</w:t>
            </w:r>
          </w:p>
        </w:tc>
        <w:tc>
          <w:tcPr/>
          <w:p>
            <w:pPr>
              <w:pStyle w:val="Compact"/>
              <w:jc w:val="right"/>
            </w:pPr>
            <w:r>
              <w:t xml:space="preserve">Deterministic / Poisson</w:t>
            </w:r>
          </w:p>
        </w:tc>
      </w:tr>
      <w:tr>
        <w:tc>
          <w:tcPr/>
          <w:p>
            <w:pPr>
              <w:pStyle w:val="Compact"/>
              <w:jc w:val="left"/>
            </w:pPr>
            <w:r>
              <w:t xml:space="preserve">Gemma</w:t>
            </w:r>
          </w:p>
        </w:tc>
        <w:tc>
          <w:tcPr/>
          <w:p>
            <w:pPr>
              <w:pStyle w:val="Compact"/>
              <w:jc w:val="right"/>
            </w:pPr>
            <w:r>
              <w:t xml:space="preserve">0.50</w:t>
            </w:r>
          </w:p>
        </w:tc>
        <w:tc>
          <w:tcPr/>
          <w:p>
            <w:pPr>
              <w:pStyle w:val="Compact"/>
              <w:jc w:val="right"/>
            </w:pPr>
            <w:r>
              <w:t xml:space="preserve">0.965</w:t>
            </w:r>
          </w:p>
        </w:tc>
        <w:tc>
          <w:tcPr/>
          <w:p>
            <w:pPr>
              <w:pStyle w:val="Compact"/>
              <w:jc w:val="right"/>
            </w:pPr>
            <w:r>
              <w:t xml:space="preserve">0.954</w:t>
            </w:r>
          </w:p>
        </w:tc>
      </w:tr>
      <w:tr>
        <w:tc>
          <w:tcPr/>
          <w:p>
            <w:pPr>
              <w:pStyle w:val="Compact"/>
              <w:jc w:val="left"/>
            </w:pPr>
            <w:r>
              <w:t xml:space="preserve">Phi</w:t>
            </w:r>
          </w:p>
        </w:tc>
        <w:tc>
          <w:tcPr/>
          <w:p>
            <w:pPr>
              <w:pStyle w:val="Compact"/>
              <w:jc w:val="right"/>
            </w:pPr>
            <w:r>
              <w:t xml:space="preserve">0.18</w:t>
            </w:r>
          </w:p>
        </w:tc>
        <w:tc>
          <w:tcPr/>
          <w:p>
            <w:pPr>
              <w:pStyle w:val="Compact"/>
              <w:jc w:val="right"/>
            </w:pPr>
            <w:r>
              <w:t xml:space="preserve">0.961</w:t>
            </w:r>
          </w:p>
        </w:tc>
        <w:tc>
          <w:tcPr/>
          <w:p>
            <w:pPr>
              <w:pStyle w:val="Compact"/>
              <w:jc w:val="right"/>
            </w:pPr>
            <w:r>
              <w:t xml:space="preserve">0.960</w:t>
            </w:r>
          </w:p>
        </w:tc>
      </w:tr>
      <w:tr>
        <w:tc>
          <w:tcPr/>
          <w:p>
            <w:pPr>
              <w:pStyle w:val="Compact"/>
              <w:jc w:val="left"/>
            </w:pPr>
            <w:r>
              <w:t xml:space="preserve">Llama</w:t>
            </w:r>
          </w:p>
        </w:tc>
        <w:tc>
          <w:tcPr/>
          <w:p>
            <w:pPr>
              <w:pStyle w:val="Compact"/>
              <w:jc w:val="right"/>
            </w:pPr>
            <w:r>
              <w:t xml:space="preserve">0.61</w:t>
            </w:r>
          </w:p>
        </w:tc>
        <w:tc>
          <w:tcPr/>
          <w:p>
            <w:pPr>
              <w:pStyle w:val="Compact"/>
              <w:jc w:val="right"/>
            </w:pPr>
            <w:r>
              <w:t xml:space="preserve">0.980</w:t>
            </w:r>
          </w:p>
        </w:tc>
        <w:tc>
          <w:tcPr/>
          <w:p>
            <w:pPr>
              <w:pStyle w:val="Compact"/>
              <w:jc w:val="right"/>
            </w:pPr>
            <w:r>
              <w:t xml:space="preserve">0.969</w:t>
            </w:r>
          </w:p>
        </w:tc>
      </w:tr>
      <w:tr>
        <w:tc>
          <w:tcPr/>
          <w:p>
            <w:pPr>
              <w:pStyle w:val="Compact"/>
              <w:jc w:val="left"/>
            </w:pPr>
            <w:r>
              <w:t xml:space="preserve">Qwen</w:t>
            </w:r>
          </w:p>
        </w:tc>
        <w:tc>
          <w:tcPr/>
          <w:p>
            <w:pPr>
              <w:pStyle w:val="Compact"/>
              <w:jc w:val="right"/>
            </w:pPr>
            <w:r>
              <w:t xml:space="preserve">0.44</w:t>
            </w:r>
          </w:p>
        </w:tc>
        <w:tc>
          <w:tcPr/>
          <w:p>
            <w:pPr>
              <w:pStyle w:val="Compact"/>
              <w:jc w:val="right"/>
            </w:pPr>
            <w:r>
              <w:t xml:space="preserve">0.984</w:t>
            </w:r>
          </w:p>
        </w:tc>
        <w:tc>
          <w:tcPr/>
          <w:p>
            <w:pPr>
              <w:pStyle w:val="Compact"/>
              <w:jc w:val="right"/>
            </w:pPr>
            <w:r>
              <w:t xml:space="preserve">0.980</w:t>
            </w:r>
          </w:p>
        </w:tc>
      </w:tr>
      <w:tr>
        <w:tc>
          <w:tcPr/>
          <w:p>
            <w:pPr>
              <w:pStyle w:val="Compact"/>
              <w:jc w:val="left"/>
            </w:pPr>
            <w:r>
              <w:t xml:space="preserve">Mistral</w:t>
            </w:r>
          </w:p>
        </w:tc>
        <w:tc>
          <w:tcPr/>
          <w:p>
            <w:pPr>
              <w:pStyle w:val="Compact"/>
              <w:jc w:val="right"/>
            </w:pPr>
            <w:r>
              <w:t xml:space="preserve">0.70</w:t>
            </w:r>
          </w:p>
        </w:tc>
        <w:tc>
          <w:tcPr/>
          <w:p>
            <w:pPr>
              <w:pStyle w:val="Compact"/>
              <w:jc w:val="right"/>
            </w:pPr>
            <w:r>
              <w:t xml:space="preserve">0.990</w:t>
            </w:r>
          </w:p>
        </w:tc>
        <w:tc>
          <w:tcPr/>
          <w:p>
            <w:pPr>
              <w:pStyle w:val="Compact"/>
              <w:jc w:val="right"/>
            </w:pPr>
            <w:r>
              <w:t xml:space="preserve">0.981</w:t>
            </w:r>
          </w:p>
        </w:tc>
      </w:tr>
      <w:tr>
        <w:tc>
          <w:tcPr/>
          <w:p>
            <w:pPr>
              <w:pStyle w:val="Compact"/>
              <w:jc w:val="left"/>
            </w:pPr>
            <w:r>
              <w:t xml:space="preserve">DeepSeek</w:t>
            </w:r>
          </w:p>
        </w:tc>
        <w:tc>
          <w:tcPr/>
          <w:p>
            <w:pPr>
              <w:pStyle w:val="Compact"/>
              <w:jc w:val="right"/>
            </w:pPr>
            <w:r>
              <w:t xml:space="preserve">0.31</w:t>
            </w:r>
          </w:p>
        </w:tc>
        <w:tc>
          <w:tcPr/>
          <w:p>
            <w:pPr>
              <w:pStyle w:val="Compact"/>
              <w:jc w:val="right"/>
            </w:pPr>
            <w:r>
              <w:t xml:space="preserve">0.981</w:t>
            </w:r>
          </w:p>
        </w:tc>
        <w:tc>
          <w:tcPr/>
          <w:p>
            <w:pPr>
              <w:pStyle w:val="Compact"/>
              <w:jc w:val="right"/>
            </w:pPr>
            <w:r>
              <w:t xml:space="preserve">0.979</w:t>
            </w:r>
          </w:p>
        </w:tc>
      </w:tr>
      <w:tr>
        <w:tc>
          <w:tcPr/>
          <w:p>
            <w:pPr>
              <w:pStyle w:val="Compact"/>
              <w:jc w:val="left"/>
            </w:pPr>
            <w:r>
              <w:t xml:space="preserve">Pooled</w:t>
            </w:r>
          </w:p>
        </w:tc>
        <w:tc>
          <w:tcPr/>
          <w:p>
            <w:pPr>
              <w:pStyle w:val="Compact"/>
              <w:jc w:val="right"/>
            </w:pPr>
            <w:r>
              <w:t xml:space="preserve">0.46</w:t>
            </w:r>
          </w:p>
        </w:tc>
        <w:tc>
          <w:tcPr/>
          <w:p>
            <w:pPr>
              <w:pStyle w:val="Compact"/>
              <w:jc w:val="right"/>
            </w:pPr>
            <w:r>
              <w:t xml:space="preserve">0.979</w:t>
            </w:r>
          </w:p>
        </w:tc>
        <w:tc>
          <w:tcPr/>
          <w:p>
            <w:pPr>
              <w:pStyle w:val="Compact"/>
              <w:jc w:val="right"/>
            </w:pPr>
            <w:r>
              <w:t xml:space="preserve">0.974</w:t>
            </w:r>
          </w:p>
        </w:tc>
      </w:tr>
    </w:tbl>
    <w:p>
      <w:pPr>
        <w:pStyle w:val="BodyText"/>
      </w:pPr>
      <w:r>
        <w:rPr>
          <w:iCs/>
          <w:i/>
        </w:rPr>
        <w:t xml:space="preserve">Table 6. Loss-multiplier ratio versus Poisson (</w:t>
      </w:r>
      <m:oMath>
        <m:r>
          <m:t>ρ</m:t>
        </m:r>
        <m:r>
          <m:rPr>
            <m:sty m:val="p"/>
          </m:rPr>
          <m:t>=</m:t>
        </m:r>
        <m:r>
          <m:t>0.10</m:t>
        </m:r>
      </m:oMath>
      <w:r>
        <w:rPr>
          <w:iCs/>
          <w:i/>
        </w:rPr>
        <w:t xml:space="preserve">,</w:t>
      </w:r>
      <w:r>
        <w:rPr>
          <w:iCs/>
          <w:i/>
        </w:rPr>
        <w:t xml:space="preserve"> </w:t>
      </w:r>
      <m:oMath>
        <m:r>
          <m:t>g</m:t>
        </m:r>
        <m:r>
          <m:rPr>
            <m:sty m:val="p"/>
          </m:rPr>
          <m:t>=</m:t>
        </m:r>
        <m:r>
          <m:t>0.20</m:t>
        </m:r>
      </m:oMath>
      <w:r>
        <w:rPr>
          <w:iCs/>
          <w:i/>
        </w:rPr>
        <w:t xml:space="preserve">).</w:t>
      </w:r>
    </w:p>
    <w:bookmarkEnd w:id="42"/>
    <w:bookmarkStart w:id="43" w:name="threshold-loss"/>
    <w:p>
      <w:pPr>
        <w:pStyle w:val="Heading3"/>
      </w:pPr>
      <w:r>
        <w:t xml:space="preserve">7.2 Threshold loss</w:t>
      </w:r>
    </w:p>
    <w:p>
      <w:pPr>
        <w:pStyle w:val="FirstParagraph"/>
      </w:pPr>
      <w:r>
        <w:t xml:space="preserve">Suppose the adapter creates value only above a quality floor</w:t>
      </w:r>
      <w:r>
        <w:t xml:space="preserve"> </w:t>
      </w:r>
      <m:oMath>
        <m:sSub>
          <m:e>
            <m:r>
              <m:t>R</m:t>
            </m:r>
          </m:e>
          <m:sub>
            <m:r>
              <m:rPr>
                <m:sty m:val="p"/>
              </m:rPr>
              <m:t>min</m:t>
            </m:r>
          </m:sub>
        </m:sSub>
      </m:oMath>
      <w:r>
        <w:t xml:space="preserve">, so that effective recovery is 0 when</w:t>
      </w:r>
      <w:r>
        <w:t xml:space="preserve"> </w:t>
      </w:r>
      <m:oMath>
        <m:r>
          <m:t>R</m:t>
        </m:r>
        <m:r>
          <m:rPr>
            <m:sty m:val="p"/>
          </m:rPr>
          <m:t>&lt;</m:t>
        </m:r>
        <m:sSub>
          <m:e>
            <m:r>
              <m:t>R</m:t>
            </m:r>
          </m:e>
          <m:sub>
            <m:r>
              <m:rPr>
                <m:sty m:val="p"/>
              </m:rPr>
              <m:t>min</m:t>
            </m:r>
          </m:sub>
        </m:sSub>
      </m:oMath>
      <w:r>
        <w:t xml:space="preserve"> </w:t>
      </w:r>
      <w:r>
        <w:t xml:space="preserve">and</w:t>
      </w:r>
      <w:r>
        <w:t xml:space="preserve"> </w:t>
      </w:r>
      <m:oMath>
        <m:r>
          <m:t>R</m:t>
        </m:r>
      </m:oMath>
      <w:r>
        <w:t xml:space="preserve"> </w:t>
      </w:r>
      <w:r>
        <w:t xml:space="preserve">otherwise. Then</w:t>
      </w:r>
      <w:r>
        <w:t xml:space="preserve"> </w:t>
      </w:r>
      <m:oMath>
        <m:r>
          <m:t>k</m:t>
        </m:r>
      </m:oMath>
      <w:r>
        <w:t xml:space="preserve"> </w:t>
      </w:r>
      <w:r>
        <w:t xml:space="preserve">and</w:t>
      </w:r>
      <w:r>
        <w:t xml:space="preserve"> </w:t>
      </w:r>
      <m:oMath>
        <m:sSup>
          <m:e>
            <m:r>
              <m:t>v</m:t>
            </m:r>
          </m:e>
          <m:sup>
            <m:r>
              <m:rPr>
                <m:sty m:val="p"/>
              </m:rPr>
              <m:t>*</m:t>
            </m:r>
          </m:sup>
        </m:sSup>
      </m:oMath>
      <w:r>
        <w:t xml:space="preserve"> </w:t>
      </w:r>
      <w:r>
        <w:t xml:space="preserve">jump when a method crosses the floor. A large upgrade that drops copy below the floor but leaves a costly method above it widens</w:t>
      </w:r>
      <w:r>
        <w:t xml:space="preserve"> </w:t>
      </w:r>
      <m:oMath>
        <m:r>
          <m:t>Γ</m:t>
        </m:r>
      </m:oMath>
      <w:r>
        <w:t xml:space="preserve">. Linear loss thus understates the value of transfer exactly when the upgrade is large. It does not overturn the weak dominance of copy when copy itself stays above the floor.</w:t>
      </w:r>
    </w:p>
    <w:bookmarkEnd w:id="43"/>
    <w:bookmarkStart w:id="44" w:name="a-two-period-switching-extension"/>
    <w:p>
      <w:pPr>
        <w:pStyle w:val="Heading3"/>
      </w:pPr>
      <w:r>
        <w:t xml:space="preserve">7.3 A two-period switching extension</w:t>
      </w:r>
    </w:p>
    <w:p>
      <w:pPr>
        <w:pStyle w:val="FirstParagraph"/>
      </w:pPr>
      <w:r>
        <w:t xml:space="preserve">Section 6 assumes that a firm stays with its first owner. Consider a two-period variant in which owners choose</w:t>
      </w:r>
      <w:r>
        <w:t xml:space="preserve"> </w:t>
      </w:r>
      <m:oMath>
        <m:d>
          <m:dPr>
            <m:begChr m:val="("/>
            <m:endChr m:val=")"/>
            <m:sepChr m:val=""/>
            <m:grow/>
          </m:dPr>
          <m:e>
            <m:sSub>
              <m:e>
                <m:r>
                  <m:t>μ</m:t>
                </m:r>
              </m:e>
              <m:sub>
                <m:r>
                  <m:t>i</m:t>
                </m:r>
              </m:sub>
            </m:sSub>
            <m:r>
              <m:rPr>
                <m:sty m:val="p"/>
              </m:rPr>
              <m:t>,</m:t>
            </m:r>
            <m:sSub>
              <m:e>
                <m:r>
                  <m:t>R</m:t>
                </m:r>
              </m:e>
              <m:sub>
                <m:r>
                  <m:t>i</m:t>
                </m:r>
              </m:sub>
            </m:sSub>
          </m:e>
        </m:d>
      </m:oMath>
      <w:r>
        <w:t xml:space="preserve"> </w:t>
      </w:r>
      <w:r>
        <w:t xml:space="preserve">and prices in period 0 and firms then choose an owner. After the first upgrade, a firm may switch at a cost</w:t>
      </w:r>
      <w:r>
        <w:t xml:space="preserve"> </w:t>
      </w:r>
      <m:oMath>
        <m:r>
          <m:t>ω</m:t>
        </m:r>
        <m:d>
          <m:dPr>
            <m:begChr m:val="("/>
            <m:endChr m:val=")"/>
            <m:sepChr m:val=""/>
            <m:grow/>
          </m:dPr>
          <m:e>
            <m:sSub>
              <m:e>
                <m:r>
                  <m:t>R</m:t>
                </m:r>
              </m:e>
              <m:sub>
                <m:r>
                  <m:rPr>
                    <m:nor/>
                    <m:sty m:val="p"/>
                  </m:rPr>
                  <m:t>from</m:t>
                </m:r>
              </m:sub>
            </m:sSub>
            <m:r>
              <m:rPr>
                <m:sty m:val="p"/>
              </m:rPr>
              <m:t>,</m:t>
            </m:r>
            <m:sSub>
              <m:e>
                <m:r>
                  <m:t>R</m:t>
                </m:r>
              </m:e>
              <m:sub>
                <m:r>
                  <m:rPr>
                    <m:nor/>
                    <m:sty m:val="p"/>
                  </m:rPr>
                  <m:t>to</m:t>
                </m:r>
              </m:sub>
            </m:sSub>
          </m:e>
        </m:d>
      </m:oMath>
      <w:r>
        <w:t xml:space="preserve">, which we interpret as the labor of rebuilding the complementary asset on the rival stack. A transfer technology that is stack-agnostic lowers</w:t>
      </w:r>
      <w:r>
        <w:t xml:space="preserve"> </w:t>
      </w:r>
      <m:oMath>
        <m:r>
          <m:t>ω</m:t>
        </m:r>
      </m:oMath>
      <w:r>
        <w:t xml:space="preserve">.</w:t>
      </w:r>
    </w:p>
    <w:p>
      <w:pPr>
        <w:pStyle w:val="BodyText"/>
      </w:pPr>
      <w:r>
        <w:t xml:space="preserve">Write</w:t>
      </w:r>
      <w:r>
        <w:t xml:space="preserve"> </w:t>
      </w:r>
      <m:oMath>
        <m:sSub>
          <m:e>
            <m:r>
              <m:t>V</m:t>
            </m:r>
          </m:e>
          <m:sub>
            <m:r>
              <m:t>i</m:t>
            </m:r>
          </m:sub>
        </m:sSub>
        <m:d>
          <m:dPr>
            <m:begChr m:val="("/>
            <m:endChr m:val=")"/>
            <m:sepChr m:val=""/>
            <m:grow/>
          </m:dPr>
          <m:e>
            <m:r>
              <m:t>v</m:t>
            </m:r>
          </m:e>
        </m:d>
      </m:oMath>
      <w:r>
        <w:t xml:space="preserve"> </w:t>
      </w:r>
      <w:r>
        <w:t xml:space="preserve">for the period-1 continuation value, including the option to switch. The period-0 choice probability remains logit in</w:t>
      </w:r>
      <w:r>
        <w:t xml:space="preserve"> </w:t>
      </w:r>
      <m:oMath>
        <m:r>
          <m:t>s</m:t>
        </m:r>
        <m:d>
          <m:dPr>
            <m:begChr m:val="("/>
            <m:endChr m:val=")"/>
            <m:sepChr m:val=""/>
            <m:grow/>
          </m:dPr>
          <m:e>
            <m:sSub>
              <m:e>
                <m:r>
                  <m:t>μ</m:t>
                </m:r>
              </m:e>
              <m:sub>
                <m:r>
                  <m:t>i</m:t>
                </m:r>
              </m:sub>
            </m:sSub>
            <m:r>
              <m:rPr>
                <m:sty m:val="p"/>
              </m:rPr>
              <m:t>,</m:t>
            </m:r>
            <m:r>
              <m:t>v</m:t>
            </m:r>
            <m:r>
              <m:rPr>
                <m:sty m:val="p"/>
              </m:rPr>
              <m:t>;</m:t>
            </m:r>
            <m:sSub>
              <m:e>
                <m:r>
                  <m:t>R</m:t>
                </m:r>
              </m:e>
              <m:sub>
                <m:r>
                  <m:t>i</m:t>
                </m:r>
              </m:sub>
            </m:sSub>
          </m:e>
        </m:d>
        <m:r>
          <m:rPr>
            <m:sty m:val="p"/>
          </m:rPr>
          <m:t>−</m:t>
        </m:r>
        <m:sSub>
          <m:e>
            <m:r>
              <m:t>p</m:t>
            </m:r>
          </m:e>
          <m:sub>
            <m:r>
              <m:t>i</m:t>
            </m:r>
          </m:sub>
        </m:sSub>
        <m:r>
          <m:rPr>
            <m:sty m:val="p"/>
          </m:rPr>
          <m:t>+</m:t>
        </m:r>
        <m:r>
          <m:rPr>
            <m:sty m:val="p"/>
            <m:scr m:val="double-struck"/>
          </m:rPr>
          <m:t>E</m:t>
        </m:r>
        <m:d>
          <m:dPr>
            <m:begChr m:val="["/>
            <m:endChr m:val="]"/>
            <m:sepChr m:val=""/>
            <m:grow/>
          </m:dPr>
          <m:e>
            <m:sSub>
              <m:e>
                <m:r>
                  <m:t>V</m:t>
                </m:r>
              </m:e>
              <m:sub>
                <m:r>
                  <m:t>i</m:t>
                </m:r>
              </m:sub>
            </m:sSub>
            <m:d>
              <m:dPr>
                <m:begChr m:val="("/>
                <m:endChr m:val=")"/>
                <m:sepChr m:val=""/>
                <m:grow/>
              </m:dPr>
              <m:e>
                <m:r>
                  <m:t>v</m:t>
                </m:r>
              </m:e>
            </m:d>
          </m:e>
        </m:d>
      </m:oMath>
      <w:r>
        <w:t xml:space="preserve">. Two first-order effects follow without solving the full game.</w:t>
      </w:r>
    </w:p>
    <w:p>
      <w:pPr>
        <w:pStyle w:val="BodyText"/>
      </w:pPr>
      <w:r>
        <w:rPr>
          <w:iCs/>
          <w:i/>
        </w:rPr>
        <w:t xml:space="preserve">Portability intensifies price competition.</w:t>
      </w:r>
      <w:r>
        <w:t xml:space="preserve"> </w:t>
      </w:r>
      <w:r>
        <w:t xml:space="preserve">A lower</w:t>
      </w:r>
      <w:r>
        <w:t xml:space="preserve"> </w:t>
      </w:r>
      <m:oMath>
        <m:r>
          <m:t>ω</m:t>
        </m:r>
      </m:oMath>
      <w:r>
        <w:t xml:space="preserve"> </w:t>
      </w:r>
      <w:r>
        <w:t xml:space="preserve">raises the elasticity of period-0 demand with respect to period-1 quality and price, because the period-1 outside option is closer. In the logit model this amounts to a fall in the effective</w:t>
      </w:r>
      <w:r>
        <w:t xml:space="preserve"> </w:t>
      </w:r>
      <m:oMath>
        <m:r>
          <m:t>η</m:t>
        </m:r>
      </m:oMath>
      <w:r>
        <w:t xml:space="preserve"> </w:t>
      </w:r>
      <w:r>
        <w:t xml:space="preserve">on the continuation component. Symmetric prices fall below</w:t>
      </w:r>
      <w:r>
        <w:t xml:space="preserve"> </w:t>
      </w:r>
      <m:oMath>
        <m:r>
          <m:t>2</m:t>
        </m:r>
        <m:r>
          <m:t>η</m:t>
        </m:r>
      </m:oMath>
      <w:r>
        <w:t xml:space="preserve"> </w:t>
      </w:r>
      <w:r>
        <w:t xml:space="preserve">once continuation is included, and customers capture more of any quality gain.</w:t>
      </w:r>
    </w:p>
    <w:p>
      <w:pPr>
        <w:pStyle w:val="BodyText"/>
      </w:pPr>
      <w:r>
        <w:rPr>
          <w:iCs/>
          <w:i/>
        </w:rPr>
        <w:t xml:space="preserve">Portability reduces the return to compatibility investment.</w:t>
      </w:r>
      <w:r>
        <w:t xml:space="preserve"> </w:t>
      </w:r>
      <w:r>
        <w:t xml:space="preserve">The demand derivative</w:t>
      </w:r>
      <w:r>
        <w:t xml:space="preserve"> </w:t>
      </w:r>
      <m:oMath>
        <m:r>
          <m:rPr>
            <m:sty m:val="p"/>
          </m:rPr>
          <m:t>∂</m:t>
        </m:r>
        <m:sSub>
          <m:e>
            <m:r>
              <m:t>D</m:t>
            </m:r>
          </m:e>
          <m:sub>
            <m:r>
              <m:t>i</m:t>
            </m:r>
          </m:sub>
        </m:sSub>
        <m:r>
          <m:rPr>
            <m:sty m:val="p"/>
          </m:rPr>
          <m:t>/</m:t>
        </m:r>
        <m:r>
          <m:rPr>
            <m:sty m:val="p"/>
          </m:rPr>
          <m:t>∂</m:t>
        </m:r>
        <m:sSub>
          <m:e>
            <m:r>
              <m:t>R</m:t>
            </m:r>
          </m:e>
          <m:sub>
            <m:r>
              <m:t>i</m:t>
            </m:r>
          </m:sub>
        </m:sSub>
      </m:oMath>
      <w:r>
        <w:t xml:space="preserve"> </w:t>
      </w:r>
      <w:r>
        <w:t xml:space="preserve">splits into an own-customer maintenance effect (the channel of Section 5) and a switching-in effect. The second is business-stealing: in a symmetric equilibrium it is a transfer and does not enter welfare, but it does enter the owner’s private return to</w:t>
      </w:r>
      <w:r>
        <w:t xml:space="preserve"> </w:t>
      </w:r>
      <m:oMath>
        <m:r>
          <m:t>R</m:t>
        </m:r>
      </m:oMath>
      <w:r>
        <w:t xml:space="preserve">. As</w:t>
      </w:r>
      <w:r>
        <w:t xml:space="preserve"> </w:t>
      </w:r>
      <m:oMath>
        <m:r>
          <m:t>ω</m:t>
        </m:r>
        <m:r>
          <m:rPr>
            <m:sty m:val="p"/>
          </m:rPr>
          <m:t>→</m:t>
        </m:r>
        <m:r>
          <m:t>0</m:t>
        </m:r>
      </m:oMath>
      <w:r>
        <w:t xml:space="preserve">, differentiation in</w:t>
      </w:r>
      <w:r>
        <w:t xml:space="preserve"> </w:t>
      </w:r>
      <m:oMath>
        <m:r>
          <m:t>R</m:t>
        </m:r>
      </m:oMath>
      <w:r>
        <w:t xml:space="preserve"> </w:t>
      </w:r>
      <w:r>
        <w:t xml:space="preserve">cannot support a price gap, so</w:t>
      </w:r>
      <w:r>
        <w:t xml:space="preserve"> </w:t>
      </w:r>
      <m:oMath>
        <m:r>
          <m:t>Z</m:t>
        </m:r>
        <m:r>
          <m:rPr>
            <m:sty m:val="p"/>
          </m:rPr>
          <m:t>′</m:t>
        </m:r>
        <m:d>
          <m:dPr>
            <m:begChr m:val="("/>
            <m:endChr m:val=")"/>
            <m:sepChr m:val=""/>
            <m:grow/>
          </m:dPr>
          <m:e>
            <m:r>
              <m:t>R</m:t>
            </m:r>
          </m:e>
        </m:d>
      </m:oMath>
      <w:r>
        <w:t xml:space="preserve"> </w:t>
      </w:r>
      <w:r>
        <w:t xml:space="preserve">becomes harder to recoup. Compatibility investment therefore falls even though the social return to</w:t>
      </w:r>
      <w:r>
        <w:t xml:space="preserve"> </w:t>
      </w:r>
      <m:oMath>
        <m:r>
          <m:t>R</m:t>
        </m:r>
      </m:oMath>
      <w:r>
        <w:t xml:space="preserve">, a lower maintenance burden, remains.</w:t>
      </w:r>
    </w:p>
    <w:p>
      <w:pPr>
        <w:pStyle w:val="BodyText"/>
      </w:pPr>
      <w:r>
        <w:t xml:space="preserve">The one-third weight is consequently an upper bound on under-internalization only inside the no-switching game. Treating transfer purely as a maintenance tool and ignoring portability would overstate the case for owner-provided compatibility as a customer-friendly investment. We do not claim a closed-form analogue of Proposition 5 under switching.</w:t>
      </w:r>
    </w:p>
    <w:bookmarkEnd w:id="44"/>
    <w:bookmarkStart w:id="45" w:name="X640f57d94b6a2cde7f813414b5e5fdad61959eb"/>
    <w:p>
      <w:pPr>
        <w:pStyle w:val="Heading3"/>
      </w:pPr>
      <w:r>
        <w:t xml:space="preserve">7.4 Owner’s first-order condition with the dynamic threshold</w:t>
      </w:r>
    </w:p>
    <w:p>
      <w:pPr>
        <w:pStyle w:val="FirstParagraph"/>
      </w:pPr>
      <w:r>
        <w:t xml:space="preserve">Replace</w:t>
      </w:r>
      <w:r>
        <w:t xml:space="preserve"> </w:t>
      </w:r>
      <m:oMath>
        <m:acc>
          <m:accPr>
            <m:chr m:val="̂"/>
          </m:accPr>
          <m:e>
            <m:r>
              <m:t>v</m:t>
            </m:r>
          </m:e>
        </m:acc>
      </m:oMath>
      <w:r>
        <w:t xml:space="preserve"> </w:t>
      </w:r>
      <w:r>
        <w:t xml:space="preserve">by</w:t>
      </w:r>
      <w:r>
        <w:t xml:space="preserve"> </w:t>
      </w:r>
      <m:oMath>
        <m:sSup>
          <m:e>
            <m:r>
              <m:t>v</m:t>
            </m:r>
          </m:e>
          <m:sup>
            <m:r>
              <m:rPr>
                <m:sty m:val="p"/>
              </m:rPr>
              <m:t>*</m:t>
            </m:r>
          </m:sup>
        </m:sSup>
        <m:d>
          <m:dPr>
            <m:begChr m:val="("/>
            <m:endChr m:val=")"/>
            <m:sepChr m:val=""/>
            <m:grow/>
          </m:dPr>
          <m:e>
            <m:r>
              <m:t>R</m:t>
            </m:r>
            <m:r>
              <m:rPr>
                <m:sty m:val="p"/>
              </m:rPr>
              <m:t>;</m:t>
            </m:r>
            <m:r>
              <m:t>μ</m:t>
            </m:r>
          </m:e>
        </m:d>
      </m:oMath>
      <w:r>
        <w:t xml:space="preserve"> </w:t>
      </w:r>
      <w:r>
        <w:t xml:space="preserve">inside the static present-value arithmetic and re-optimize</w:t>
      </w:r>
      <w:r>
        <w:t xml:space="preserve"> </w:t>
      </w:r>
      <m:oMath>
        <m:r>
          <m:t>ψ</m:t>
        </m:r>
        <m:r>
          <m:t>μ</m:t>
        </m:r>
        <m:r>
          <m:rPr>
            <m:sty m:val="p"/>
          </m:rPr>
          <m:t>−</m:t>
        </m:r>
        <m:f>
          <m:fPr>
            <m:type m:val="lin"/>
          </m:fPr>
          <m:num>
            <m:r>
              <m:t>1</m:t>
            </m:r>
          </m:num>
          <m:den>
            <m:r>
              <m:t>2</m:t>
            </m:r>
          </m:den>
        </m:f>
        <m:r>
          <m:t>c</m:t>
        </m:r>
        <m:sSup>
          <m:e>
            <m:r>
              <m:t>μ</m:t>
            </m:r>
          </m:e>
          <m:sup>
            <m:r>
              <m:t>2</m:t>
            </m:r>
          </m:sup>
        </m:sSup>
        <m:r>
          <m:rPr>
            <m:sty m:val="p"/>
          </m:rPr>
          <m:t>+</m:t>
        </m:r>
        <m:r>
          <m:t>θ</m:t>
        </m:r>
        <m:r>
          <m:t>n</m:t>
        </m:r>
        <m:d>
          <m:dPr>
            <m:begChr m:val="("/>
            <m:endChr m:val=")"/>
            <m:sepChr m:val=""/>
            <m:grow/>
          </m:dPr>
          <m:e>
            <m:r>
              <m:t>b</m:t>
            </m:r>
            <m:r>
              <m:t>μ</m:t>
            </m:r>
            <m:r>
              <m:rPr>
                <m:sty m:val="p"/>
              </m:rPr>
              <m:t>−</m:t>
            </m:r>
            <m:r>
              <m:t>E</m:t>
            </m:r>
            <m:d>
              <m:dPr>
                <m:begChr m:val="["/>
                <m:endChr m:val="]"/>
                <m:sepChr m:val=""/>
                <m:grow/>
              </m:dPr>
              <m:e>
                <m:r>
                  <m:t>m</m:t>
                </m:r>
              </m:e>
            </m:d>
          </m:e>
        </m:d>
      </m:oMath>
      <w:r>
        <w:t xml:space="preserve">. The result is still a proxy, because the firm’s option value is not the full infinite-horizon object, but it lets the owner respond to a threshold that depends on</w:t>
      </w:r>
      <w:r>
        <w:t xml:space="preserve"> </w:t>
      </w:r>
      <m:oMath>
        <m:r>
          <m:t>μ</m:t>
        </m:r>
      </m:oMath>
      <w:r>
        <w:t xml:space="preserve">.</w:t>
      </w:r>
    </w:p>
    <w:tbl>
      <w:tblPr>
        <w:tblStyle w:val="Table"/>
        <w:tblW w:type="pct" w:w="5000"/>
        <w:tblLook w:firstRow="1" w:lastRow="0" w:firstColumn="0" w:lastColumn="0" w:noHBand="0" w:noVBand="0" w:val="0020"/>
        <w:jc w:val="start"/>
      </w:tblPr>
      <w:tblGrid>
        <w:gridCol w:w="1885"/>
        <w:gridCol w:w="1508"/>
        <w:gridCol w:w="1508"/>
        <w:gridCol w:w="1508"/>
        <w:gridCol w:w="1508"/>
      </w:tblGrid>
      <w:tr>
        <w:trPr>
          <w:tblHeader w:val="true"/>
        </w:trPr>
        <w:tc>
          <w:tcPr/>
          <w:p>
            <w:pPr>
              <w:pStyle w:val="Compact"/>
              <w:jc w:val="center"/>
            </w:pPr>
            <m:oMath>
              <m:r>
                <m:t>R</m:t>
              </m:r>
            </m:oMath>
          </w:p>
        </w:tc>
        <w:tc>
          <w:tcPr/>
          <w:p>
            <w:pPr>
              <w:pStyle w:val="Compact"/>
              <w:jc w:val="right"/>
            </w:pPr>
            <m:oMath>
              <m:sSub>
                <m:e>
                  <m:r>
                    <m:t>μ</m:t>
                  </m:r>
                </m:e>
                <m:sub>
                  <m:r>
                    <m:t>V</m:t>
                  </m:r>
                </m:sub>
              </m:sSub>
            </m:oMath>
            <w:r>
              <w:t xml:space="preserve"> </w:t>
            </w:r>
            <w:r>
              <w:t xml:space="preserve">static</w:t>
            </w:r>
          </w:p>
        </w:tc>
        <w:tc>
          <w:tcPr/>
          <w:p>
            <w:pPr>
              <w:pStyle w:val="Compact"/>
              <w:jc w:val="right"/>
            </w:pPr>
            <m:oMath>
              <m:sSub>
                <m:e>
                  <m:r>
                    <m:t>μ</m:t>
                  </m:r>
                </m:e>
                <m:sub>
                  <m:r>
                    <m:t>V</m:t>
                  </m:r>
                </m:sub>
              </m:sSub>
            </m:oMath>
            <w:r>
              <w:t xml:space="preserve"> </w:t>
            </w:r>
            <w:r>
              <w:t xml:space="preserve">dynamic proxy</w:t>
            </w:r>
          </w:p>
        </w:tc>
        <w:tc>
          <w:tcPr/>
          <w:p>
            <w:pPr>
              <w:pStyle w:val="Compact"/>
              <w:jc w:val="right"/>
            </w:pPr>
            <m:oMath>
              <m:sSub>
                <m:e>
                  <m:r>
                    <m:t>μ</m:t>
                  </m:r>
                </m:e>
                <m:sub>
                  <m:r>
                    <m:t>P</m:t>
                  </m:r>
                </m:sub>
              </m:sSub>
            </m:oMath>
            <w:r>
              <w:t xml:space="preserve"> </w:t>
            </w:r>
            <w:r>
              <w:t xml:space="preserve">static</w:t>
            </w:r>
          </w:p>
        </w:tc>
        <w:tc>
          <w:tcPr/>
          <w:p>
            <w:pPr>
              <w:pStyle w:val="Compact"/>
              <w:jc w:val="right"/>
            </w:pPr>
            <m:oMath>
              <m:sSub>
                <m:e>
                  <m:r>
                    <m:t>μ</m:t>
                  </m:r>
                </m:e>
                <m:sub>
                  <m:r>
                    <m:t>P</m:t>
                  </m:r>
                </m:sub>
              </m:sSub>
            </m:oMath>
            <w:r>
              <w:t xml:space="preserve"> </w:t>
            </w:r>
            <w:r>
              <w:t xml:space="preserve">dynamic proxy</w:t>
            </w:r>
          </w:p>
        </w:tc>
      </w:tr>
      <w:tr>
        <w:tc>
          <w:tcPr/>
          <w:p>
            <w:pPr>
              <w:pStyle w:val="Compact"/>
              <w:jc w:val="center"/>
            </w:pPr>
            <w:r>
              <w:t xml:space="preserve">0.3</w:t>
            </w:r>
          </w:p>
        </w:tc>
        <w:tc>
          <w:tcPr/>
          <w:p>
            <w:pPr>
              <w:pStyle w:val="Compact"/>
              <w:jc w:val="right"/>
            </w:pPr>
            <w:r>
              <w:t xml:space="preserve">2.475</w:t>
            </w:r>
          </w:p>
        </w:tc>
        <w:tc>
          <w:tcPr/>
          <w:p>
            <w:pPr>
              <w:pStyle w:val="Compact"/>
              <w:jc w:val="right"/>
            </w:pPr>
            <w:r>
              <w:t xml:space="preserve">2.472</w:t>
            </w:r>
          </w:p>
        </w:tc>
        <w:tc>
          <w:tcPr/>
          <w:p>
            <w:pPr>
              <w:pStyle w:val="Compact"/>
              <w:jc w:val="right"/>
            </w:pPr>
            <w:r>
              <w:t xml:space="preserve">1.837</w:t>
            </w:r>
          </w:p>
        </w:tc>
        <w:tc>
          <w:tcPr/>
          <w:p>
            <w:pPr>
              <w:pStyle w:val="Compact"/>
              <w:jc w:val="right"/>
            </w:pPr>
            <w:r>
              <w:t xml:space="preserve">1.830</w:t>
            </w:r>
          </w:p>
        </w:tc>
      </w:tr>
      <w:tr>
        <w:tc>
          <w:tcPr/>
          <w:p>
            <w:pPr>
              <w:pStyle w:val="Compact"/>
              <w:jc w:val="center"/>
            </w:pPr>
            <w:r>
              <w:t xml:space="preserve">0.5</w:t>
            </w:r>
          </w:p>
        </w:tc>
        <w:tc>
          <w:tcPr/>
          <w:p>
            <w:pPr>
              <w:pStyle w:val="Compact"/>
              <w:jc w:val="right"/>
            </w:pPr>
            <w:r>
              <w:t xml:space="preserve">2.579</w:t>
            </w:r>
          </w:p>
        </w:tc>
        <w:tc>
          <w:tcPr/>
          <w:p>
            <w:pPr>
              <w:pStyle w:val="Compact"/>
              <w:jc w:val="right"/>
            </w:pPr>
            <w:r>
              <w:t xml:space="preserve">2.574</w:t>
            </w:r>
          </w:p>
        </w:tc>
        <w:tc>
          <w:tcPr/>
          <w:p>
            <w:pPr>
              <w:pStyle w:val="Compact"/>
              <w:jc w:val="right"/>
            </w:pPr>
            <w:r>
              <w:t xml:space="preserve">2.017</w:t>
            </w:r>
          </w:p>
        </w:tc>
        <w:tc>
          <w:tcPr/>
          <w:p>
            <w:pPr>
              <w:pStyle w:val="Compact"/>
              <w:jc w:val="right"/>
            </w:pPr>
            <w:r>
              <w:t xml:space="preserve">2.005</w:t>
            </w:r>
          </w:p>
        </w:tc>
      </w:tr>
      <w:tr>
        <w:tc>
          <w:tcPr/>
          <w:p>
            <w:pPr>
              <w:pStyle w:val="Compact"/>
              <w:jc w:val="center"/>
            </w:pPr>
            <w:r>
              <w:t xml:space="preserve">0.7</w:t>
            </w:r>
          </w:p>
        </w:tc>
        <w:tc>
          <w:tcPr/>
          <w:p>
            <w:pPr>
              <w:pStyle w:val="Compact"/>
              <w:jc w:val="right"/>
            </w:pPr>
            <w:r>
              <w:t xml:space="preserve">2.855</w:t>
            </w:r>
          </w:p>
        </w:tc>
        <w:tc>
          <w:tcPr/>
          <w:p>
            <w:pPr>
              <w:pStyle w:val="Compact"/>
              <w:jc w:val="right"/>
            </w:pPr>
            <w:r>
              <w:t xml:space="preserve">2.846</w:t>
            </w:r>
          </w:p>
        </w:tc>
        <w:tc>
          <w:tcPr/>
          <w:p>
            <w:pPr>
              <w:pStyle w:val="Compact"/>
              <w:jc w:val="right"/>
            </w:pPr>
            <w:r>
              <w:t xml:space="preserve">2.607</w:t>
            </w:r>
          </w:p>
        </w:tc>
        <w:tc>
          <w:tcPr/>
          <w:p>
            <w:pPr>
              <w:pStyle w:val="Compact"/>
              <w:jc w:val="right"/>
            </w:pPr>
            <w:r>
              <w:t xml:space="preserve">2.582</w:t>
            </w:r>
          </w:p>
        </w:tc>
      </w:tr>
      <w:tr>
        <w:tc>
          <w:tcPr/>
          <w:p>
            <w:pPr>
              <w:pStyle w:val="Compact"/>
              <w:jc w:val="center"/>
            </w:pPr>
            <w:r>
              <w:t xml:space="preserve">0.8</w:t>
            </w:r>
          </w:p>
        </w:tc>
        <w:tc>
          <w:tcPr/>
          <w:p>
            <w:pPr>
              <w:pStyle w:val="Compact"/>
              <w:jc w:val="right"/>
            </w:pPr>
            <w:r>
              <w:t xml:space="preserve">3.295</w:t>
            </w:r>
          </w:p>
        </w:tc>
        <w:tc>
          <w:tcPr/>
          <w:p>
            <w:pPr>
              <w:pStyle w:val="Compact"/>
              <w:jc w:val="right"/>
            </w:pPr>
            <w:r>
              <w:t xml:space="preserve">3.279</w:t>
            </w:r>
          </w:p>
        </w:tc>
        <w:tc>
          <w:tcPr/>
          <w:p>
            <w:pPr>
              <w:pStyle w:val="Compact"/>
              <w:jc w:val="right"/>
            </w:pPr>
            <w:r>
              <w:t xml:space="preserve">4.083</w:t>
            </w:r>
          </w:p>
        </w:tc>
        <w:tc>
          <w:tcPr/>
          <w:p>
            <w:pPr>
              <w:pStyle w:val="Compact"/>
              <w:jc w:val="right"/>
            </w:pPr>
            <w:r>
              <w:t xml:space="preserve">4.024</w:t>
            </w:r>
          </w:p>
        </w:tc>
      </w:tr>
    </w:tbl>
    <w:p>
      <w:pPr>
        <w:pStyle w:val="BodyText"/>
      </w:pPr>
      <w:r>
        <w:rPr>
          <w:iCs/>
          <w:i/>
        </w:rPr>
        <w:t xml:space="preserve">Table 7. Owner intensity: static cutoff versus dynamic-threshold proxy.</w:t>
      </w:r>
    </w:p>
    <w:p>
      <w:pPr>
        <w:pStyle w:val="BodyText"/>
      </w:pPr>
      <w:r>
        <w:t xml:space="preserve">Intensities move by less than one percent. The slope</w:t>
      </w:r>
      <w:r>
        <w:t xml:space="preserve"> </w:t>
      </w:r>
      <m:oMath>
        <m:r>
          <m:t>d</m:t>
        </m:r>
        <m:sSub>
          <m:e>
            <m:r>
              <m:t>μ</m:t>
            </m:r>
          </m:e>
          <m:sub>
            <m:r>
              <m:t>V</m:t>
            </m:r>
          </m:sub>
        </m:sSub>
        <m:r>
          <m:rPr>
            <m:sty m:val="p"/>
          </m:rPr>
          <m:t>/</m:t>
        </m:r>
        <m:r>
          <m:t>d</m:t>
        </m:r>
        <m:r>
          <m:t>R</m:t>
        </m:r>
      </m:oMath>
      <w:r>
        <w:t xml:space="preserve"> </w:t>
      </w:r>
      <w:r>
        <w:t xml:space="preserve">from</w:t>
      </w:r>
      <w:r>
        <w:t xml:space="preserve"> </w:t>
      </w:r>
      <m:oMath>
        <m:r>
          <m:t>R</m:t>
        </m:r>
        <m:r>
          <m:rPr>
            <m:sty m:val="p"/>
          </m:rPr>
          <m:t>=</m:t>
        </m:r>
        <m:r>
          <m:t>0.3</m:t>
        </m:r>
      </m:oMath>
      <w:r>
        <w:t xml:space="preserve"> </w:t>
      </w:r>
      <w:r>
        <w:t xml:space="preserve">to</w:t>
      </w:r>
      <w:r>
        <w:t xml:space="preserve"> </w:t>
      </w:r>
      <m:oMath>
        <m:r>
          <m:t>0.7</m:t>
        </m:r>
      </m:oMath>
      <w:r>
        <w:t xml:space="preserve"> </w:t>
      </w:r>
      <w:r>
        <w:t xml:space="preserve">is 0.95 under the static cutoff and 0.93 under the proxy, so complementarity is not an artifact of dropping volatility. Finite-difference estimates of</w:t>
      </w:r>
      <w:r>
        <w:t xml:space="preserve"> </w:t>
      </w:r>
      <m:oMath>
        <m:sSup>
          <m:e>
            <m:r>
              <m:rPr>
                <m:sty m:val="p"/>
              </m:rPr>
              <m:t>∂</m:t>
            </m:r>
          </m:e>
          <m:sup>
            <m:r>
              <m:t>2</m:t>
            </m:r>
          </m:sup>
        </m:sSup>
        <m:r>
          <m:t>E</m:t>
        </m:r>
        <m:d>
          <m:dPr>
            <m:begChr m:val="["/>
            <m:endChr m:val="]"/>
            <m:sepChr m:val=""/>
            <m:grow/>
          </m:dPr>
          <m:e>
            <m:r>
              <m:t>m</m:t>
            </m:r>
          </m:e>
        </m:d>
        <m:r>
          <m:rPr>
            <m:sty m:val="p"/>
          </m:rPr>
          <m:t>/</m:t>
        </m:r>
        <m:r>
          <m:rPr>
            <m:sty m:val="p"/>
          </m:rPr>
          <m:t>∂</m:t>
        </m:r>
        <m:r>
          <m:t>μ</m:t>
        </m:r>
        <m:r>
          <m:t> </m:t>
        </m:r>
        <m:r>
          <m:rPr>
            <m:sty m:val="p"/>
          </m:rPr>
          <m:t>∂</m:t>
        </m:r>
        <m:r>
          <m:t>R</m:t>
        </m:r>
      </m:oMath>
      <w:r>
        <w:t xml:space="preserve"> </w:t>
      </w:r>
      <w:r>
        <w:t xml:space="preserve">at</w:t>
      </w:r>
      <w:r>
        <w:t xml:space="preserve"> </w:t>
      </w:r>
      <m:oMath>
        <m:d>
          <m:dPr>
            <m:begChr m:val="("/>
            <m:endChr m:val=")"/>
            <m:sepChr m:val=""/>
            <m:grow/>
          </m:dPr>
          <m:e>
            <m:r>
              <m:t>R</m:t>
            </m:r>
            <m:r>
              <m:rPr>
                <m:sty m:val="p"/>
              </m:rPr>
              <m:t>,</m:t>
            </m:r>
            <m:r>
              <m:t>μ</m:t>
            </m:r>
          </m:e>
        </m:d>
        <m:r>
          <m:rPr>
            <m:sty m:val="p"/>
          </m:rPr>
          <m:t>=</m:t>
        </m:r>
        <m:d>
          <m:dPr>
            <m:begChr m:val="("/>
            <m:endChr m:val=")"/>
            <m:sepChr m:val=""/>
            <m:grow/>
          </m:dPr>
          <m:e>
            <m:r>
              <m:t>0.5</m:t>
            </m:r>
            <m:r>
              <m:rPr>
                <m:sty m:val="p"/>
              </m:rPr>
              <m:t>,</m:t>
            </m:r>
            <m:r>
              <m:t>2</m:t>
            </m:r>
          </m:e>
        </m:d>
      </m:oMath>
      <w:r>
        <w:t xml:space="preserve"> </w:t>
      </w:r>
      <w:r>
        <w:t xml:space="preserve">equal</w:t>
      </w:r>
      <w:r>
        <w:t xml:space="preserve"> </w:t>
      </w:r>
      <m:oMath>
        <m:r>
          <m:rPr>
            <m:sty m:val="p"/>
          </m:rPr>
          <m:t>−</m:t>
        </m:r>
        <m:r>
          <m:t>2.05</m:t>
        </m:r>
      </m:oMath>
      <w:r>
        <w:t xml:space="preserve"> </w:t>
      </w:r>
      <w:r>
        <w:t xml:space="preserve">(static) and</w:t>
      </w:r>
      <w:r>
        <w:t xml:space="preserve"> </w:t>
      </w:r>
      <m:oMath>
        <m:r>
          <m:rPr>
            <m:sty m:val="p"/>
          </m:rPr>
          <m:t>−</m:t>
        </m:r>
        <m:r>
          <m:t>2.02</m:t>
        </m:r>
      </m:oMath>
      <w:r>
        <w:t xml:space="preserve"> </w:t>
      </w:r>
      <w:r>
        <w:t xml:space="preserve">(proxy).</w:t>
      </w:r>
    </w:p>
    <w:bookmarkEnd w:id="45"/>
    <w:bookmarkStart w:id="46" w:name="logit-specificity-of-one-third"/>
    <w:p>
      <w:pPr>
        <w:pStyle w:val="Heading3"/>
      </w:pPr>
      <w:r>
        <w:t xml:space="preserve">7.5 Logit specificity of one-third</w:t>
      </w:r>
    </w:p>
    <w:p>
      <w:pPr>
        <w:pStyle w:val="FirstParagraph"/>
      </w:pPr>
      <w:r>
        <w:t xml:space="preserve">The one-third weight rests on two logit facts: the own-price markup</w:t>
      </w:r>
      <w:r>
        <w:t xml:space="preserve"> </w:t>
      </w:r>
      <m:oMath>
        <m:r>
          <m:t>p</m:t>
        </m:r>
        <m:r>
          <m:rPr>
            <m:sty m:val="p"/>
          </m:rPr>
          <m:t>=</m:t>
        </m:r>
        <m:r>
          <m:t>2</m:t>
        </m:r>
        <m:r>
          <m:t>η</m:t>
        </m:r>
      </m:oMath>
      <w:r>
        <w:t xml:space="preserve"> </w:t>
      </w:r>
      <w:r>
        <w:t xml:space="preserve">at the symmetric point, and the way a quality shock splits, one-third into price and one-third into share. Under Hotelling competition the analogous weight differs, and pure-strategy price equilibria fail when</w:t>
      </w:r>
      <w:r>
        <w:t xml:space="preserve"> </w:t>
      </w:r>
      <m:oMath>
        <m:r>
          <m:t>η</m:t>
        </m:r>
      </m:oMath>
      <w:r>
        <w:t xml:space="preserve"> </w:t>
      </w:r>
      <w:r>
        <w:t xml:space="preserve">is small relative to value heterogeneity. The rule should be read as follows: competing owners internalize a constant that is strictly less than one-half, and in the standard discrete-choice workhorse that constant is one-third.</w:t>
      </w:r>
    </w:p>
    <w:bookmarkEnd w:id="46"/>
    <w:bookmarkStart w:id="50" w:name="Xcf049ce62945e82eef5623402cebbb68b2d7210"/>
    <w:p>
      <w:pPr>
        <w:pStyle w:val="Heading3"/>
      </w:pPr>
      <w:r>
        <w:t xml:space="preserve">7.6 Parameter grid and alternative value distributions</w:t>
      </w:r>
    </w:p>
    <w:p>
      <w:pPr>
        <w:pStyle w:val="FirstParagraph"/>
      </w:pPr>
      <w:r>
        <w:t xml:space="preserve">The numerical illustrations use one parameter vector and uniformly distributed values. To check that Propositions 3 and 4 do not depend on these choices, we solved the monopoly problem on a grid of</w:t>
      </w:r>
      <w:r>
        <w:t xml:space="preserve"> </w:t>
      </w:r>
      <m:oMath>
        <m:r>
          <m:t>ρ</m:t>
        </m:r>
        <m:r>
          <m:rPr>
            <m:sty m:val="p"/>
          </m:rPr>
          <m:t>∈</m:t>
        </m:r>
        <m:r>
          <m:rPr>
            <m:sty m:val="p"/>
          </m:rPr>
          <m:t>{</m:t>
        </m:r>
        <m:r>
          <m:t>0.05</m:t>
        </m:r>
        <m:r>
          <m:rPr>
            <m:sty m:val="p"/>
          </m:rPr>
          <m:t>,</m:t>
        </m:r>
        <m:r>
          <m:t>0.10</m:t>
        </m:r>
        <m:r>
          <m:rPr>
            <m:sty m:val="p"/>
          </m:rPr>
          <m:t>,</m:t>
        </m:r>
        <m:r>
          <m:t>0.20</m:t>
        </m:r>
        <m:r>
          <m:rPr>
            <m:sty m:val="p"/>
          </m:rPr>
          <m:t>}</m:t>
        </m:r>
      </m:oMath>
      <w:r>
        <w:t xml:space="preserve">,</w:t>
      </w:r>
      <w:r>
        <w:t xml:space="preserve"> </w:t>
      </w:r>
      <m:oMath>
        <m:r>
          <m:t>b</m:t>
        </m:r>
        <m:r>
          <m:rPr>
            <m:sty m:val="p"/>
          </m:rPr>
          <m:t>∈</m:t>
        </m:r>
        <m:r>
          <m:rPr>
            <m:sty m:val="p"/>
          </m:rPr>
          <m:t>{</m:t>
        </m:r>
        <m:r>
          <m:t>2</m:t>
        </m:r>
        <m:r>
          <m:rPr>
            <m:sty m:val="p"/>
          </m:rPr>
          <m:t>,</m:t>
        </m:r>
        <m:r>
          <m:t>4</m:t>
        </m:r>
        <m:r>
          <m:rPr>
            <m:sty m:val="p"/>
          </m:rPr>
          <m:t>,</m:t>
        </m:r>
        <m:r>
          <m:t>7</m:t>
        </m:r>
        <m:r>
          <m:rPr>
            <m:sty m:val="p"/>
          </m:rPr>
          <m:t>,</m:t>
        </m:r>
        <m:r>
          <m:t>10</m:t>
        </m:r>
        <m:r>
          <m:rPr>
            <m:sty m:val="p"/>
          </m:rPr>
          <m:t>,</m:t>
        </m:r>
        <m:r>
          <m:t>14</m:t>
        </m:r>
        <m:r>
          <m:rPr>
            <m:sty m:val="p"/>
          </m:rPr>
          <m:t>}</m:t>
        </m:r>
      </m:oMath>
      <w:r>
        <w:t xml:space="preserve">,</w:t>
      </w:r>
      <w:r>
        <w:t xml:space="preserve"> </w:t>
      </w:r>
      <m:oMath>
        <m:r>
          <m:t>ψ</m:t>
        </m:r>
        <m:r>
          <m:rPr>
            <m:sty m:val="p"/>
          </m:rPr>
          <m:t>∈</m:t>
        </m:r>
        <m:r>
          <m:rPr>
            <m:sty m:val="p"/>
          </m:rPr>
          <m:t>{</m:t>
        </m:r>
        <m:r>
          <m:t>0</m:t>
        </m:r>
        <m:r>
          <m:rPr>
            <m:sty m:val="p"/>
          </m:rPr>
          <m:t>,</m:t>
        </m:r>
        <m:r>
          <m:t>3</m:t>
        </m:r>
        <m:r>
          <m:rPr>
            <m:sty m:val="p"/>
          </m:rPr>
          <m:t>,</m:t>
        </m:r>
        <m:r>
          <m:t>6</m:t>
        </m:r>
        <m:r>
          <m:rPr>
            <m:sty m:val="p"/>
          </m:rPr>
          <m:t>,</m:t>
        </m:r>
        <m:r>
          <m:t>9</m:t>
        </m:r>
        <m:r>
          <m:rPr>
            <m:sty m:val="p"/>
          </m:rPr>
          <m:t>}</m:t>
        </m:r>
      </m:oMath>
      <w:r>
        <w:t xml:space="preserve">,</w:t>
      </w:r>
      <w:r>
        <w:t xml:space="preserve"> </w:t>
      </w:r>
      <m:oMath>
        <m:r>
          <m:t>c</m:t>
        </m:r>
        <m:r>
          <m:rPr>
            <m:sty m:val="p"/>
          </m:rPr>
          <m:t>∈</m:t>
        </m:r>
        <m:r>
          <m:rPr>
            <m:sty m:val="p"/>
          </m:rPr>
          <m:t>{</m:t>
        </m:r>
        <m:r>
          <m:t>1</m:t>
        </m:r>
        <m:r>
          <m:rPr>
            <m:sty m:val="p"/>
          </m:rPr>
          <m:t>,</m:t>
        </m:r>
        <m:r>
          <m:t>2</m:t>
        </m:r>
        <m:r>
          <m:rPr>
            <m:sty m:val="p"/>
          </m:rPr>
          <m:t>,</m:t>
        </m:r>
        <m:r>
          <m:t>4</m:t>
        </m:r>
        <m:r>
          <m:rPr>
            <m:sty m:val="p"/>
          </m:rPr>
          <m:t>}</m:t>
        </m:r>
      </m:oMath>
      <w:r>
        <w:t xml:space="preserve">,</w:t>
      </w:r>
      <w:r>
        <w:t xml:space="preserve"> </w:t>
      </w:r>
      <m:oMath>
        <m:r>
          <m:t>θ</m:t>
        </m:r>
        <m:r>
          <m:rPr>
            <m:sty m:val="p"/>
          </m:rPr>
          <m:t>∈</m:t>
        </m:r>
        <m:r>
          <m:rPr>
            <m:sty m:val="p"/>
          </m:rPr>
          <m:t>{</m:t>
        </m:r>
        <m:r>
          <m:t>0.25</m:t>
        </m:r>
        <m:r>
          <m:rPr>
            <m:sty m:val="p"/>
          </m:rPr>
          <m:t>,</m:t>
        </m:r>
        <m:r>
          <m:t>0.5</m:t>
        </m:r>
        <m:r>
          <m:rPr>
            <m:sty m:val="p"/>
          </m:rPr>
          <m:t>,</m:t>
        </m:r>
        <m:r>
          <m:t>0.75</m:t>
        </m:r>
        <m:r>
          <m:rPr>
            <m:sty m:val="p"/>
          </m:rPr>
          <m:t>}</m:t>
        </m:r>
      </m:oMath>
      <w:r>
        <w:t xml:space="preserve"> </w:t>
      </w:r>
      <w:r>
        <w:t xml:space="preserve">and</w:t>
      </w:r>
      <w:r>
        <w:t xml:space="preserve"> </w:t>
      </w:r>
      <m:oMath>
        <m:r>
          <m:t>R</m:t>
        </m:r>
        <m:r>
          <m:rPr>
            <m:sty m:val="p"/>
          </m:rPr>
          <m:t>∈</m:t>
        </m:r>
        <m:r>
          <m:rPr>
            <m:sty m:val="p"/>
          </m:rPr>
          <m:t>{</m:t>
        </m:r>
        <m:r>
          <m:t>0.1</m:t>
        </m:r>
        <m:r>
          <m:rPr>
            <m:sty m:val="p"/>
          </m:rPr>
          <m:t>,</m:t>
        </m:r>
        <m:r>
          <m:t>0.3</m:t>
        </m:r>
        <m:r>
          <m:rPr>
            <m:sty m:val="p"/>
          </m:rPr>
          <m:t>,</m:t>
        </m:r>
        <m:r>
          <m:t>0.5</m:t>
        </m:r>
        <m:r>
          <m:rPr>
            <m:sty m:val="p"/>
          </m:rPr>
          <m:t>,</m:t>
        </m:r>
        <m:r>
          <m:t>0.7</m:t>
        </m:r>
        <m:r>
          <m:rPr>
            <m:sty m:val="p"/>
          </m:rPr>
          <m:t>,</m:t>
        </m:r>
        <m:r>
          <m:t>0.8</m:t>
        </m:r>
        <m:r>
          <m:rPr>
            <m:sty m:val="p"/>
          </m:rPr>
          <m:t>}</m:t>
        </m:r>
      </m:oMath>
      <w:r>
        <w:t xml:space="preserve">, under six value distributions with the same mean as</w:t>
      </w:r>
      <w:r>
        <w:t xml:space="preserve"> </w:t>
      </w:r>
      <m:oMath>
        <m:r>
          <m:t>U</m:t>
        </m:r>
        <m:d>
          <m:dPr>
            <m:begChr m:val="["/>
            <m:endChr m:val="]"/>
            <m:sepChr m:val=""/>
            <m:grow/>
          </m:dPr>
          <m:e>
            <m:r>
              <m:t>0</m:t>
            </m:r>
            <m:r>
              <m:rPr>
                <m:sty m:val="p"/>
              </m:rPr>
              <m:t>,</m:t>
            </m:r>
            <m:r>
              <m:t>40</m:t>
            </m:r>
          </m:e>
        </m:d>
      </m:oMath>
      <w:r>
        <w:t xml:space="preserve"> </w:t>
      </w:r>
      <w:r>
        <w:t xml:space="preserve">(uniform, exponential, gamma with shape 3, lognormal with</w:t>
      </w:r>
      <w:r>
        <w:t xml:space="preserve"> </w:t>
      </w:r>
      <m:oMath>
        <m:r>
          <m:t>s</m:t>
        </m:r>
        <m:r>
          <m:rPr>
            <m:sty m:val="p"/>
          </m:rPr>
          <m:t>=</m:t>
        </m:r>
        <m:r>
          <m:t>0.5</m:t>
        </m:r>
      </m:oMath>
      <w:r>
        <w:t xml:space="preserve"> </w:t>
      </w:r>
      <w:r>
        <w:t xml:space="preserve">and</w:t>
      </w:r>
      <w:r>
        <w:t xml:space="preserve"> </w:t>
      </w:r>
      <m:oMath>
        <m:r>
          <m:t>s</m:t>
        </m:r>
        <m:r>
          <m:rPr>
            <m:sty m:val="p"/>
          </m:rPr>
          <m:t>=</m:t>
        </m:r>
        <m:r>
          <m:t>1</m:t>
        </m:r>
      </m:oMath>
      <w:r>
        <w:t xml:space="preserve">, and Pareto with tail index 2.5). The code reproduces Tables 5 and 7 (static columns) exactly. Of the 16,200 cells, 6,505 satisfy the hypotheses of the propositions, namely that the owner’s and the planner’s objectives are globally concave on the grid and both have interior maximizers (Appendix F gives the breakdown). Three results follow. First, strategic complementarity (Proposition 4a) holds in all of these cells:</w:t>
      </w:r>
      <w:r>
        <w:t xml:space="preserve"> </w:t>
      </w:r>
      <m:oMath>
        <m:r>
          <m:t>d</m:t>
        </m:r>
        <m:sSub>
          <m:e>
            <m:r>
              <m:t>μ</m:t>
            </m:r>
          </m:e>
          <m:sub>
            <m:r>
              <m:t>V</m:t>
            </m:r>
          </m:sub>
        </m:sSub>
        <m:r>
          <m:rPr>
            <m:sty m:val="p"/>
          </m:rPr>
          <m:t>/</m:t>
        </m:r>
        <m:r>
          <m:t>d</m:t>
        </m:r>
        <m:r>
          <m:t>R</m:t>
        </m:r>
        <m:r>
          <m:rPr>
            <m:sty m:val="p"/>
          </m:rPr>
          <m:t>&gt;</m:t>
        </m:r>
        <m:r>
          <m:t>0</m:t>
        </m:r>
      </m:oMath>
      <w:r>
        <w:t xml:space="preserve"> </w:t>
      </w:r>
      <w:r>
        <w:t xml:space="preserve">in 5,212 cells, equals zero in 392, and is negative in none. In every zero cell essentially no firm transfers (the threshold</w:t>
      </w:r>
      <w:r>
        <w:t xml:space="preserve"> </w:t>
      </w:r>
      <m:oMath>
        <m:acc>
          <m:accPr>
            <m:chr m:val="̂"/>
          </m:accPr>
          <m:e>
            <m:r>
              <m:t>v</m:t>
            </m:r>
          </m:e>
        </m:acc>
      </m:oMath>
      <w:r>
        <w:t xml:space="preserve"> </w:t>
      </w:r>
      <w:r>
        <w:t xml:space="preserve">lies below the support of</w:t>
      </w:r>
      <w:r>
        <w:t xml:space="preserve"> </w:t>
      </w:r>
      <m:oMath>
        <m:r>
          <m:t>F</m:t>
        </m:r>
      </m:oMath>
      <w:r>
        <w:t xml:space="preserve">, or the mass below it is at most</w:t>
      </w:r>
      <w:r>
        <w:t xml:space="preserve"> </w:t>
      </w:r>
      <m:oMath>
        <m:r>
          <m:t>4</m:t>
        </m:r>
        <m:r>
          <m:rPr>
            <m:sty m:val="p"/>
          </m:rPr>
          <m:t>×</m:t>
        </m:r>
        <m:sSup>
          <m:e>
            <m:r>
              <m:t>10</m:t>
            </m:r>
          </m:e>
          <m:sup>
            <m:r>
              <m:rPr>
                <m:sty m:val="p"/>
              </m:rPr>
              <m:t>−</m:t>
            </m:r>
            <m:r>
              <m:t>8</m:t>
            </m:r>
          </m:sup>
        </m:sSup>
      </m:oMath>
      <w:r>
        <w:t xml:space="preserve">), which is the degenerate case excluded in the statement of Proposition 4. Second, the over-release criterion of Proposition 3(b),</w:t>
      </w:r>
      <w:r>
        <w:t xml:space="preserve"> </w:t>
      </w:r>
      <m:oMath>
        <m:r>
          <m:t>E</m:t>
        </m:r>
        <m:d>
          <m:dPr>
            <m:begChr m:val="["/>
            <m:endChr m:val="]"/>
            <m:sepChr m:val=""/>
            <m:grow/>
          </m:dPr>
          <m:e>
            <m:sSub>
              <m:e>
                <m:r>
                  <m:t>s</m:t>
                </m:r>
              </m:e>
              <m:sub>
                <m:r>
                  <m:t>μ</m:t>
                </m:r>
              </m:sub>
            </m:sSub>
            <m:d>
              <m:dPr>
                <m:begChr m:val="("/>
                <m:endChr m:val=")"/>
                <m:sepChr m:val=""/>
                <m:grow/>
              </m:dPr>
              <m:e>
                <m:sSub>
                  <m:e>
                    <m:r>
                      <m:t>μ</m:t>
                    </m:r>
                  </m:e>
                  <m:sub>
                    <m:r>
                      <m:t>V</m:t>
                    </m:r>
                  </m:sub>
                </m:sSub>
              </m:e>
            </m:d>
          </m:e>
        </m:d>
        <m:r>
          <m:rPr>
            <m:sty m:val="p"/>
          </m:rPr>
          <m:t>&lt;</m:t>
        </m:r>
        <m:r>
          <m:t>0</m:t>
        </m:r>
      </m:oMath>
      <w:r>
        <w:t xml:space="preserve">, agrees with the direct comparison of</w:t>
      </w:r>
      <w:r>
        <w:t xml:space="preserve"> </w:t>
      </w:r>
      <m:oMath>
        <m:sSub>
          <m:e>
            <m:r>
              <m:t>μ</m:t>
            </m:r>
          </m:e>
          <m:sub>
            <m:r>
              <m:t>V</m:t>
            </m:r>
          </m:sub>
        </m:sSub>
      </m:oMath>
      <w:r>
        <w:t xml:space="preserve"> </w:t>
      </w:r>
      <w:r>
        <w:t xml:space="preserve">and</w:t>
      </w:r>
      <w:r>
        <w:t xml:space="preserve"> </w:t>
      </w:r>
      <m:oMath>
        <m:sSub>
          <m:e>
            <m:r>
              <m:t>μ</m:t>
            </m:r>
          </m:e>
          <m:sub>
            <m:r>
              <m:t>P</m:t>
            </m:r>
          </m:sub>
        </m:sSub>
      </m:oMath>
      <w:r>
        <w:t xml:space="preserve"> </w:t>
      </w:r>
      <w:r>
        <w:t xml:space="preserve">in all 6,505 cells, including 31 exact ties at</w:t>
      </w:r>
      <w:r>
        <w:t xml:space="preserve"> </w:t>
      </w:r>
      <m:oMath>
        <m:sSub>
          <m:e>
            <m:r>
              <m:t>μ</m:t>
            </m:r>
          </m:e>
          <m:sub>
            <m:r>
              <m:t>V</m:t>
            </m:r>
          </m:sub>
        </m:sSub>
        <m:r>
          <m:rPr>
            <m:sty m:val="p"/>
          </m:rPr>
          <m:t>=</m:t>
        </m:r>
        <m:sSub>
          <m:e>
            <m:r>
              <m:t>μ</m:t>
            </m:r>
          </m:e>
          <m:sub>
            <m:r>
              <m:t>P</m:t>
            </m:r>
          </m:sub>
        </m:sSub>
      </m:oMath>
      <w:r>
        <w:t xml:space="preserve">. Third, over-release does not depend on one parameter vector. It occurs in 23 to 34 percent of the valid cells, depending on the distribution, and in the uniform case it arises when</w:t>
      </w:r>
      <w:r>
        <w:t xml:space="preserve"> </w:t>
      </w:r>
      <m:oMath>
        <m:r>
          <m:t>b</m:t>
        </m:r>
      </m:oMath>
      <w:r>
        <w:t xml:space="preserve"> </w:t>
      </w:r>
      <w:r>
        <w:t xml:space="preserve">is below roughly</w:t>
      </w:r>
      <w:r>
        <w:t xml:space="preserve"> </w:t>
      </w:r>
      <m:oMath>
        <m:sSub>
          <m:e>
            <m:r>
              <m:t>C</m:t>
            </m:r>
          </m:e>
          <m:sub>
            <m:r>
              <m:t>N</m:t>
            </m:r>
          </m:sub>
        </m:sSub>
        <m:r>
          <m:rPr>
            <m:sty m:val="p"/>
          </m:rPr>
          <m:t>/</m:t>
        </m:r>
        <m:r>
          <m:t>ρ</m:t>
        </m:r>
      </m:oMath>
      <w:r>
        <w:t xml:space="preserve"> </w:t>
      </w:r>
      <w:r>
        <w:t xml:space="preserve">(Figure 5b), the region in which firms that retrain are harmed at the margin.</w:t>
      </w:r>
    </w:p>
    <w:p>
      <w:pPr>
        <w:pStyle w:val="CaptionedFigure"/>
      </w:pPr>
      <w:r>
        <w:drawing>
          <wp:inline>
            <wp:extent cx="5334000" cy="2036618"/>
            <wp:effectExtent b="0" l="0" r="0" t="0"/>
            <wp:docPr descr="Figure 5. Robustness of the monopoly results. (a) Equilibrium intensity as a function of R under six value distributions with common mean (baseline parameters \rho=0.10, b=7, \psi=6, c=2, \theta=0.5). (b) Difference between owner and planner intensity for uniform F; the black line is the over-release boundary." title="" id="48" name="Picture"/>
            <a:graphic>
              <a:graphicData uri="http://schemas.openxmlformats.org/drawingml/2006/picture">
                <pic:pic>
                  <pic:nvPicPr>
                    <pic:cNvPr descr="figures/fig5.png" id="49" name="Picture"/>
                    <pic:cNvPicPr>
                      <a:picLocks noChangeArrowheads="1" noChangeAspect="1"/>
                    </pic:cNvPicPr>
                  </pic:nvPicPr>
                  <pic:blipFill>
                    <a:blip r:embed="rId47"/>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5. Robustness of the monopoly results. (a) Equilibrium intensity as a function of</w:t>
      </w:r>
      <w:r>
        <w:t xml:space="preserve"> </w:t>
      </w:r>
      <m:oMath>
        <m:r>
          <m:t>R</m:t>
        </m:r>
      </m:oMath>
      <w:r>
        <w:t xml:space="preserve"> </w:t>
      </w:r>
      <w:r>
        <w:t xml:space="preserve">under six value distributions with common mean (baseline parameters</w:t>
      </w:r>
      <w:r>
        <w:t xml:space="preserve"> </w:t>
      </w:r>
      <m:oMath>
        <m:r>
          <m:t>ρ</m:t>
        </m:r>
        <m:r>
          <m:rPr>
            <m:sty m:val="p"/>
          </m:rPr>
          <m:t>=</m:t>
        </m:r>
        <m:r>
          <m:t>0.10</m:t>
        </m:r>
      </m:oMath>
      <w:r>
        <w:t xml:space="preserve">,</w:t>
      </w:r>
      <w:r>
        <w:t xml:space="preserve"> </w:t>
      </w:r>
      <m:oMath>
        <m:r>
          <m:t>b</m:t>
        </m:r>
        <m:r>
          <m:rPr>
            <m:sty m:val="p"/>
          </m:rPr>
          <m:t>=</m:t>
        </m:r>
        <m:r>
          <m:t>7</m:t>
        </m:r>
      </m:oMath>
      <w:r>
        <w:t xml:space="preserve">,</w:t>
      </w:r>
      <w:r>
        <w:t xml:space="preserve"> </w:t>
      </w:r>
      <m:oMath>
        <m:r>
          <m:t>ψ</m:t>
        </m:r>
        <m:r>
          <m:rPr>
            <m:sty m:val="p"/>
          </m:rPr>
          <m:t>=</m:t>
        </m:r>
        <m:r>
          <m:t>6</m:t>
        </m:r>
      </m:oMath>
      <w:r>
        <w:t xml:space="preserve">,</w:t>
      </w:r>
      <w:r>
        <w:t xml:space="preserve"> </w:t>
      </w:r>
      <m:oMath>
        <m:r>
          <m:t>c</m:t>
        </m:r>
        <m:r>
          <m:rPr>
            <m:sty m:val="p"/>
          </m:rPr>
          <m:t>=</m:t>
        </m:r>
        <m:r>
          <m:t>2</m:t>
        </m:r>
      </m:oMath>
      <w:r>
        <w:t xml:space="preserve">,</w:t>
      </w:r>
      <w:r>
        <w:t xml:space="preserve"> </w:t>
      </w:r>
      <m:oMath>
        <m:r>
          <m:t>θ</m:t>
        </m:r>
        <m:r>
          <m:rPr>
            <m:sty m:val="p"/>
          </m:rPr>
          <m:t>=</m:t>
        </m:r>
        <m:r>
          <m:t>0.5</m:t>
        </m:r>
      </m:oMath>
      <w:r>
        <w:t xml:space="preserve">). (b) Difference between owner and planner intensity for uniform</w:t>
      </w:r>
      <w:r>
        <w:t xml:space="preserve"> </w:t>
      </w:r>
      <m:oMath>
        <m:r>
          <m:t>F</m:t>
        </m:r>
      </m:oMath>
      <w:r>
        <w:t xml:space="preserve">; the black line is the over-release boundary.</w:t>
      </w:r>
    </w:p>
    <w:bookmarkEnd w:id="50"/>
    <w:bookmarkEnd w:id="51"/>
    <w:bookmarkStart w:id="55" w:name="implications-for-research-and-practice"/>
    <w:p>
      <w:pPr>
        <w:pStyle w:val="Heading2"/>
      </w:pPr>
      <w:r>
        <w:t xml:space="preserve">8. Implications for Research and Practice</w:t>
      </w:r>
    </w:p>
    <w:bookmarkStart w:id="52" w:name="implications-for-research"/>
    <w:p>
      <w:pPr>
        <w:pStyle w:val="Heading3"/>
      </w:pPr>
      <w:r>
        <w:t xml:space="preserve">8.1 Implications for research</w:t>
      </w:r>
    </w:p>
    <w:p>
      <w:pPr>
        <w:pStyle w:val="FirstParagraph"/>
      </w:pPr>
      <w:r>
        <w:rPr>
          <w:iCs/>
          <w:i/>
        </w:rPr>
        <w:t xml:space="preserve">Post-adoption IS value.</w:t>
      </w:r>
      <w:r>
        <w:t xml:space="preserve"> </w:t>
      </w:r>
      <w:r>
        <w:t xml:space="preserve">The real-options view of IT platforms has concentrated on when to adopt. Our results show that the maintenance decision has an option structure of its own: a free partial transfer (copy) rules out blanket retraining, and a costly tool survives only in a bounded intermediate band. Empirical work on the value of IT assets should therefore measure recovery under upgrades and not only the timing of adoption.</w:t>
      </w:r>
    </w:p>
    <w:p>
      <w:pPr>
        <w:pStyle w:val="BodyText"/>
      </w:pPr>
      <w:r>
        <w:rPr>
          <w:iCs/>
          <w:i/>
        </w:rPr>
        <w:t xml:space="preserve">Platform governance.</w:t>
      </w:r>
      <w:r>
        <w:t xml:space="preserve"> </w:t>
      </w:r>
      <w:r>
        <w:t xml:space="preserve">Release cadence and compatibility support are governance instruments that the platform owner sets jointly, and the provision of boundary resources (Ghazawneh and Henfridsson 2013) should be modeled as endogenous to platform evolution rather than as a fixed offer. Treating the two separately misses their complementarity and the distributional consequence that follows. One testable implication is that announcements of migration or compatibility tooling should be followed by higher release frequency across platforms, and another is that customers with the highest-value retrained assets should be the most likely to object.</w:t>
      </w:r>
    </w:p>
    <w:p>
      <w:pPr>
        <w:pStyle w:val="BodyText"/>
      </w:pPr>
      <w:r>
        <w:rPr>
          <w:iCs/>
          <w:i/>
        </w:rPr>
        <w:t xml:space="preserve">Platform competition.</w:t>
      </w:r>
      <w:r>
        <w:t xml:space="preserve"> </w:t>
      </w:r>
      <w:r>
        <w:t xml:space="preserve">Platforms can separate on the speed–compatibility bundle, and customers sort across them by asset value. Studies of platform choice should therefore consider heterogeneity at the level of the asset as well as at the level of the customer.</w:t>
      </w:r>
    </w:p>
    <w:bookmarkEnd w:id="52"/>
    <w:bookmarkStart w:id="53" w:name="implications-for-practice"/>
    <w:p>
      <w:pPr>
        <w:pStyle w:val="Heading3"/>
      </w:pPr>
      <w:r>
        <w:t xml:space="preserve">8.2 Implications for practice</w:t>
      </w:r>
    </w:p>
    <w:p>
      <w:pPr>
        <w:pStyle w:val="FirstParagraph"/>
      </w:pPr>
      <w:r>
        <w:t xml:space="preserve">The model’s main practical prescription is a default:</w:t>
      </w:r>
      <w:r>
        <w:t xml:space="preserve"> </w:t>
      </w:r>
      <w:r>
        <w:rPr>
          <w:bCs/>
          <w:b/>
        </w:rPr>
        <w:t xml:space="preserve">when free copy recovers most of the value, copy.</w:t>
      </w:r>
      <w:r>
        <w:t xml:space="preserve"> </w:t>
      </w:r>
      <w:r>
        <w:t xml:space="preserve">Five implications follow that do not depend on any named transfer algorithm.</w:t>
      </w:r>
    </w:p>
    <w:p>
      <w:pPr>
        <w:numPr>
          <w:ilvl w:val="0"/>
          <w:numId w:val="1001"/>
        </w:numPr>
        <w:pStyle w:val="Compact"/>
      </w:pPr>
      <w:r>
        <w:rPr>
          <w:bCs/>
          <w:b/>
        </w:rPr>
        <w:t xml:space="preserve">Default to free copy.</w:t>
      </w:r>
      <w:r>
        <w:t xml:space="preserve"> </w:t>
      </w:r>
      <w:r>
        <w:t xml:space="preserve">Reuse the existing adapter on the new base model first. By Proposition 2(a), this weakly dominates immediate retraining for every asset value, because the right to retrain later is kept. In our measurements copy recovered 91 to 99 percent of the retraining gain after small upgrades on all three tasks, which leaves little for any costly method to add. The default is only a first step, however, and copy recovery should be measured on a sample of adapters. After large upgrades it ranged from 12 to 99 percent, depending on the task and the model. The copied adapter should also be compared with running the new model without an adapter: for SmolLM2-1.7B the copy was worse than no adapter, and the right default there is the base model.</w:t>
      </w:r>
    </w:p>
    <w:p>
      <w:pPr>
        <w:numPr>
          <w:ilvl w:val="0"/>
          <w:numId w:val="1001"/>
        </w:numPr>
        <w:pStyle w:val="Compact"/>
      </w:pPr>
      <w:r>
        <w:rPr>
          <w:bCs/>
          <w:b/>
        </w:rPr>
        <w:t xml:space="preserve">Retrain only above the threshold, and not at every upgrade.</w:t>
      </w:r>
      <w:r>
        <w:t xml:space="preserve"> </w:t>
      </w:r>
      <w:r>
        <w:t xml:space="preserve">Retraining is optimal only for assets whose value exceeds</w:t>
      </w:r>
      <w:r>
        <w:t xml:space="preserve"> </w:t>
      </w:r>
      <m:oMath>
        <m:sSup>
          <m:e>
            <m:r>
              <m:t>v</m:t>
            </m:r>
          </m:e>
          <m:sup>
            <m:r>
              <m:rPr>
                <m:sty m:val="p"/>
              </m:rPr>
              <m:t>*</m:t>
            </m:r>
          </m:sup>
        </m:sSup>
      </m:oMath>
      <w:r>
        <w:t xml:space="preserve">, which is higher than the NPV threshold and rises with upgrade intensity and volatility (Proposition 1). The portfolio should be triaged by value relative to retraining cost, with the platform’s estimated</w:t>
      </w:r>
      <w:r>
        <w:t xml:space="preserve"> </w:t>
      </w:r>
      <m:oMath>
        <m:r>
          <m:t>μ</m:t>
        </m:r>
      </m:oMath>
      <w:r>
        <w:t xml:space="preserve"> </w:t>
      </w:r>
      <w:r>
        <w:t xml:space="preserve">setting the boundaries: copy below a high cutoff and retrain above it.</w:t>
      </w:r>
    </w:p>
    <w:p>
      <w:pPr>
        <w:numPr>
          <w:ilvl w:val="0"/>
          <w:numId w:val="1001"/>
        </w:numPr>
        <w:pStyle w:val="Compact"/>
      </w:pPr>
      <w:r>
        <w:rPr>
          <w:bCs/>
          <w:b/>
        </w:rPr>
        <w:t xml:space="preserve">Buy transfer tools only against a measured</w:t>
      </w:r>
      <w:r>
        <w:rPr>
          <w:bCs/>
          <w:b/>
        </w:rPr>
        <w:t xml:space="preserve"> </w:t>
      </w:r>
      <m:oMath>
        <m:r>
          <m:t>Γ</m:t>
        </m:r>
      </m:oMath>
      <w:r>
        <w:rPr>
          <w:bCs/>
          <w:b/>
        </w:rPr>
        <w:t xml:space="preserve">.</w:t>
      </w:r>
      <w:r>
        <w:t xml:space="preserve"> </w:t>
      </w:r>
      <w:r>
        <w:t xml:space="preserve">A costly tool can pay only in an intermediate band of values, and only when its measured cost satisfies</w:t>
      </w:r>
      <w:r>
        <w:t xml:space="preserve"> </w:t>
      </w:r>
      <m:oMath>
        <m:sSub>
          <m:e>
            <m:r>
              <m:t>C</m:t>
            </m:r>
          </m:e>
          <m:sub>
            <m:r>
              <m:t>A</m:t>
            </m:r>
          </m:sub>
        </m:sSub>
        <m:r>
          <m:rPr>
            <m:sty m:val="p"/>
          </m:rPr>
          <m:t>&lt;</m:t>
        </m:r>
        <m:r>
          <m:t>Γ</m:t>
        </m:r>
        <m:d>
          <m:dPr>
            <m:begChr m:val="("/>
            <m:endChr m:val=")"/>
            <m:sepChr m:val=""/>
            <m:grow/>
          </m:dPr>
          <m:e>
            <m:sSub>
              <m:e>
                <m:r>
                  <m:t>R</m:t>
                </m:r>
              </m:e>
              <m:sub>
                <m:r>
                  <m:t>A</m:t>
                </m:r>
              </m:sub>
            </m:sSub>
            <m:r>
              <m:rPr>
                <m:sty m:val="p"/>
              </m:rPr>
              <m:t>,</m:t>
            </m:r>
            <m:sSub>
              <m:e>
                <m:r>
                  <m:t>R</m:t>
                </m:r>
              </m:e>
              <m:sub>
                <m:r>
                  <m:t>C</m:t>
                </m:r>
              </m:sub>
            </m:sSub>
          </m:e>
        </m:d>
      </m:oMath>
      <w:r>
        <w:t xml:space="preserve">. That inequality failed in 22 of the 24 pair-task combinations we tested (for the larger pairs against the cost ratio of 0.36 measured on the smaller models, since we did not measure CPU costs at that scale). It held for the large upgrade of a 160M-parameter model on two tasks, where copy recovered 40 and 67 percent. Copy should be tested first on a sample of adapters, and if it already recovers most of the gain, the tool should not be bought. If copy recovers little and the tool does not beat it by more than its cost, the assets above</w:t>
      </w:r>
      <w:r>
        <w:t xml:space="preserve"> </w:t>
      </w:r>
      <m:oMath>
        <m:sSup>
          <m:e>
            <m:r>
              <m:t>v</m:t>
            </m:r>
          </m:e>
          <m:sup>
            <m:r>
              <m:rPr>
                <m:sty m:val="p"/>
              </m:rPr>
              <m:t>*</m:t>
            </m:r>
          </m:sup>
        </m:sSup>
      </m:oMath>
      <w:r>
        <w:t xml:space="preserve"> </w:t>
      </w:r>
      <w:r>
        <w:t xml:space="preserve">should be retrained instead.</w:t>
      </w:r>
    </w:p>
    <w:p>
      <w:pPr>
        <w:numPr>
          <w:ilvl w:val="0"/>
          <w:numId w:val="1001"/>
        </w:numPr>
        <w:pStyle w:val="Compact"/>
      </w:pPr>
      <w:r>
        <w:rPr>
          <w:bCs/>
          <w:b/>
        </w:rPr>
        <w:t xml:space="preserve">Treat cadence as part of procurement.</w:t>
      </w:r>
      <w:r>
        <w:t xml:space="preserve"> </w:t>
      </w:r>
      <w:r>
        <w:t xml:space="preserve">Owner-provided migration tools should be expected to arrive with faster releases (Proposition 4a). Owners of the highest-value assets, who retrain anyway, can be made worse off by those tools, and for such assets a contractual cap on release frequency or a long-term-support line can be worth more than a better converter.</w:t>
      </w:r>
    </w:p>
    <w:p>
      <w:pPr>
        <w:numPr>
          <w:ilvl w:val="0"/>
          <w:numId w:val="1001"/>
        </w:numPr>
        <w:pStyle w:val="Compact"/>
      </w:pPr>
      <w:r>
        <w:rPr>
          <w:bCs/>
          <w:b/>
        </w:rPr>
        <w:t xml:space="preserve">Segment and time.</w:t>
      </w:r>
      <w:r>
        <w:t xml:space="preserve"> </w:t>
      </w:r>
      <w:r>
        <w:t xml:space="preserve">If owners separate into frontier and stable platforms, high-value and regulated adapters belong on the stable line and mid-value adapters on the frontier line. When the next dated release is near, retraining of adapters that sit close to</w:t>
      </w:r>
      <w:r>
        <w:t xml:space="preserve"> </w:t>
      </w:r>
      <m:oMath>
        <m:sSup>
          <m:e>
            <m:r>
              <m:t>v</m:t>
            </m:r>
          </m:e>
          <m:sup>
            <m:r>
              <m:rPr>
                <m:sty m:val="p"/>
              </m:rPr>
              <m:t>*</m:t>
            </m:r>
          </m:sup>
        </m:sSup>
      </m:oMath>
      <w:r>
        <w:t xml:space="preserve"> </w:t>
      </w:r>
      <w:r>
        <w:t xml:space="preserve">should be deferred.</w:t>
      </w:r>
    </w:p>
    <w:bookmarkEnd w:id="53"/>
    <w:bookmarkStart w:id="54" w:name="limitations-and-future-research"/>
    <w:p>
      <w:pPr>
        <w:pStyle w:val="Heading3"/>
      </w:pPr>
      <w:r>
        <w:t xml:space="preserve">8.3 Limitations and future research</w:t>
      </w:r>
    </w:p>
    <w:p>
      <w:pPr>
        <w:pStyle w:val="FirstParagraph"/>
      </w:pPr>
      <w:r>
        <w:t xml:space="preserve">We take value to be linear in</w:t>
      </w:r>
      <w:r>
        <w:t xml:space="preserve"> </w:t>
      </w:r>
      <m:oMath>
        <m:r>
          <m:t>R</m:t>
        </m:r>
      </m:oMath>
      <w:r>
        <w:t xml:space="preserve">. The owner’s problem is solved in the static limit, with a dynamic-threshold proxy in Section 7.4; the asymmetric compatibility equilibrium is numerical; the switching game is characterized only to first order; and open lines can be discontinued. The recovery measurements are small in scale (160M to 3B parameters, three tasks, three to five seeds, float32 on one GPU, and only two pairs of larger models on the two added tasks). The first empirical priority is to estimate</w:t>
      </w:r>
      <w:r>
        <w:t xml:space="preserve"> </w:t>
      </w:r>
      <m:oMath>
        <m:d>
          <m:dPr>
            <m:begChr m:val="("/>
            <m:endChr m:val=")"/>
            <m:sepChr m:val=""/>
            <m:grow/>
          </m:dPr>
          <m:e>
            <m:r>
              <m:t>g</m:t>
            </m:r>
            <m:r>
              <m:rPr>
                <m:sty m:val="p"/>
              </m:rPr>
              <m:t>,</m:t>
            </m:r>
            <m:r>
              <m:t>σ</m:t>
            </m:r>
          </m:e>
        </m:d>
      </m:oMath>
      <w:r>
        <w:t xml:space="preserve"> </w:t>
      </w:r>
      <w:r>
        <w:t xml:space="preserve">from service logs and to compile a historical cost accounting of copy versus retrain-every-time on a real adapter portfolio. A natural field-data test of Proposition 4(a) is whether the introduction of owner-provided migration tooling predicts a subsequent change in release frequency.</w:t>
      </w:r>
    </w:p>
    <w:bookmarkEnd w:id="54"/>
    <w:bookmarkEnd w:id="55"/>
    <w:bookmarkStart w:id="56" w:name="conclusion"/>
    <w:p>
      <w:pPr>
        <w:pStyle w:val="Heading2"/>
      </w:pPr>
      <w:r>
        <w:t xml:space="preserve">9. Conclusion</w:t>
      </w:r>
    </w:p>
    <w:p>
      <w:pPr>
        <w:pStyle w:val="FirstParagraph"/>
      </w:pPr>
      <w:r>
        <w:t xml:space="preserve">The practical message of the paper is a default, free copy, and its theoretical claim is not that any particular converter is optimal. The claim is that complementary assets on an evolving platform create a maintenance option; that a free partial transfer already rules out blanket retraining; that a costly converter has a market only in a bounded intermediate band; and that the platform owner, facing that band, will use improvements in the converter to go faster. Competing owners internalize a fixed fraction of the resulting change in customer surplus, which is one-third in the logit workhorse. Platforms are not only bundles of options for adopters (Fichman 2004); they are also the agents that choose how fast those options expire.</w:t>
      </w:r>
    </w:p>
    <w:bookmarkEnd w:id="56"/>
    <w:bookmarkStart w:id="57" w:name="references"/>
    <w:p>
      <w:pPr>
        <w:pStyle w:val="Heading2"/>
      </w:pPr>
      <w:r>
        <w:t xml:space="preserve">References</w:t>
      </w:r>
    </w:p>
    <w:p>
      <w:pPr>
        <w:pStyle w:val="FirstParagraph"/>
      </w:pPr>
      <w:r>
        <w:t xml:space="preserve">Armstrong M (2006) Competition in two-sided markets.</w:t>
      </w:r>
      <w:r>
        <w:t xml:space="preserve"> </w:t>
      </w:r>
      <w:r>
        <w:rPr>
          <w:iCs/>
          <w:i/>
        </w:rPr>
        <w:t xml:space="preserve">RAND J. Econom.</w:t>
      </w:r>
      <w:r>
        <w:t xml:space="preserve"> </w:t>
      </w:r>
      <w:r>
        <w:t xml:space="preserve">37(3):668–691.</w:t>
      </w:r>
    </w:p>
    <w:p>
      <w:pPr>
        <w:pStyle w:val="BodyText"/>
      </w:pPr>
      <w:r>
        <w:t xml:space="preserve">Benaroch M (2001) Option-based management of technology investment risk.</w:t>
      </w:r>
      <w:r>
        <w:t xml:space="preserve"> </w:t>
      </w:r>
      <w:r>
        <w:rPr>
          <w:iCs/>
          <w:i/>
        </w:rPr>
        <w:t xml:space="preserve">IEEE Trans. Engrg. Management</w:t>
      </w:r>
      <w:r>
        <w:t xml:space="preserve"> </w:t>
      </w:r>
      <w:r>
        <w:t xml:space="preserve">48(4):428–444.</w:t>
      </w:r>
    </w:p>
    <w:p>
      <w:pPr>
        <w:pStyle w:val="BodyText"/>
      </w:pPr>
      <w:r>
        <w:t xml:space="preserve">Benaroch M, Kauffman RJ (1999) A case for using real options pricing analysis to evaluate information technology project investments.</w:t>
      </w:r>
      <w:r>
        <w:t xml:space="preserve"> </w:t>
      </w:r>
      <w:r>
        <w:rPr>
          <w:iCs/>
          <w:i/>
        </w:rPr>
        <w:t xml:space="preserve">Inform. Systems Res.</w:t>
      </w:r>
      <w:r>
        <w:t xml:space="preserve"> </w:t>
      </w:r>
      <w:r>
        <w:t xml:space="preserve">10(1):70–86.</w:t>
      </w:r>
    </w:p>
    <w:p>
      <w:pPr>
        <w:pStyle w:val="BodyText"/>
      </w:pPr>
      <w:r>
        <w:t xml:space="preserve">Dixit AK, Pindyck RS (1994)</w:t>
      </w:r>
      <w:r>
        <w:t xml:space="preserve"> </w:t>
      </w:r>
      <w:r>
        <w:rPr>
          <w:iCs/>
          <w:i/>
        </w:rPr>
        <w:t xml:space="preserve">Investment Under Uncertainty</w:t>
      </w:r>
      <w:r>
        <w:t xml:space="preserve"> </w:t>
      </w:r>
      <w:r>
        <w:t xml:space="preserve">(Princeton University Press, Princeton, NJ).</w:t>
      </w:r>
    </w:p>
    <w:p>
      <w:pPr>
        <w:pStyle w:val="BodyText"/>
      </w:pPr>
      <w:r>
        <w:t xml:space="preserve">Dos Santos BL (1991) Justifying investments in new information technologies.</w:t>
      </w:r>
      <w:r>
        <w:t xml:space="preserve"> </w:t>
      </w:r>
      <w:r>
        <w:rPr>
          <w:iCs/>
          <w:i/>
        </w:rPr>
        <w:t xml:space="preserve">J. Management Inform. Systems</w:t>
      </w:r>
      <w:r>
        <w:t xml:space="preserve"> </w:t>
      </w:r>
      <w:r>
        <w:t xml:space="preserve">7(4):71–89.</w:t>
      </w:r>
    </w:p>
    <w:p>
      <w:pPr>
        <w:pStyle w:val="BodyText"/>
      </w:pPr>
      <w:r>
        <w:t xml:space="preserve">Farhadzadeh F, Das D, Borse S, Porikli F (2025a) LoRA-X: Bridging foundation models with training-free cross-model adaptation.</w:t>
      </w:r>
      <w:r>
        <w:t xml:space="preserve"> </w:t>
      </w:r>
      <w:r>
        <w:rPr>
          <w:iCs/>
          <w:i/>
        </w:rPr>
        <w:t xml:space="preserve">Proc. 13th Internat. Conf. Learn. Representations.</w:t>
      </w:r>
    </w:p>
    <w:p>
      <w:pPr>
        <w:pStyle w:val="BodyText"/>
      </w:pPr>
      <w:r>
        <w:t xml:space="preserve">Farhadzadeh F, Das D, Borse S, Porikli F (2025b) Zero-shot adaptation of parameter-efficient fine-tuning in diffusion models.</w:t>
      </w:r>
      <w:r>
        <w:t xml:space="preserve"> </w:t>
      </w:r>
      <w:r>
        <w:rPr>
          <w:iCs/>
          <w:i/>
        </w:rPr>
        <w:t xml:space="preserve">Proc. 42nd Internat. Conf. Machine Learn.</w:t>
      </w:r>
      <w:r>
        <w:t xml:space="preserve">, PMLR 267:16144–16160.</w:t>
      </w:r>
    </w:p>
    <w:p>
      <w:pPr>
        <w:pStyle w:val="BodyText"/>
      </w:pPr>
      <w:r>
        <w:t xml:space="preserve">Farrell J, Saloner G (1985) Standardization, compatibility, and innovation.</w:t>
      </w:r>
      <w:r>
        <w:t xml:space="preserve"> </w:t>
      </w:r>
      <w:r>
        <w:rPr>
          <w:iCs/>
          <w:i/>
        </w:rPr>
        <w:t xml:space="preserve">RAND J. Econom.</w:t>
      </w:r>
      <w:r>
        <w:t xml:space="preserve"> </w:t>
      </w:r>
      <w:r>
        <w:t xml:space="preserve">16(1):70–83.</w:t>
      </w:r>
    </w:p>
    <w:p>
      <w:pPr>
        <w:pStyle w:val="BodyText"/>
      </w:pPr>
      <w:r>
        <w:t xml:space="preserve">Fichman RG (2004) Real options and IT platform adoption: Implications for theory and practice.</w:t>
      </w:r>
      <w:r>
        <w:t xml:space="preserve"> </w:t>
      </w:r>
      <w:r>
        <w:rPr>
          <w:iCs/>
          <w:i/>
        </w:rPr>
        <w:t xml:space="preserve">Inform. Systems Res.</w:t>
      </w:r>
      <w:r>
        <w:t xml:space="preserve"> </w:t>
      </w:r>
      <w:r>
        <w:t xml:space="preserve">15(2):132–154.</w:t>
      </w:r>
    </w:p>
    <w:p>
      <w:pPr>
        <w:pStyle w:val="BodyText"/>
      </w:pPr>
      <w:r>
        <w:t xml:space="preserve">Ghazawneh A, Henfridsson O (2013) Balancing platform control and external contribution in third-party development: The boundary resources model.</w:t>
      </w:r>
      <w:r>
        <w:t xml:space="preserve"> </w:t>
      </w:r>
      <w:r>
        <w:rPr>
          <w:iCs/>
          <w:i/>
        </w:rPr>
        <w:t xml:space="preserve">Inform. Systems J.</w:t>
      </w:r>
      <w:r>
        <w:t xml:space="preserve"> </w:t>
      </w:r>
      <w:r>
        <w:t xml:space="preserve">23(2):173–192.</w:t>
      </w:r>
    </w:p>
    <w:p>
      <w:pPr>
        <w:pStyle w:val="BodyText"/>
      </w:pPr>
      <w:r>
        <w:t xml:space="preserve">Grenadier SR, Weiss AM (1997) Investment in technological innovations: An option pricing approach.</w:t>
      </w:r>
      <w:r>
        <w:t xml:space="preserve"> </w:t>
      </w:r>
      <w:r>
        <w:rPr>
          <w:iCs/>
          <w:i/>
        </w:rPr>
        <w:t xml:space="preserve">J. Financial Econom.</w:t>
      </w:r>
      <w:r>
        <w:t xml:space="preserve"> </w:t>
      </w:r>
      <w:r>
        <w:t xml:space="preserve">44(3):397–416.</w:t>
      </w:r>
    </w:p>
    <w:p>
      <w:pPr>
        <w:pStyle w:val="BodyText"/>
      </w:pPr>
      <w:r>
        <w:t xml:space="preserve">Hochlehnert A, Liu D, Niehues J, Kumar S, Stahlberg F (2026) On the importance of trivial baselines: Re-evaluating LoRA adapter transfer for generative tasks.</w:t>
      </w:r>
      <w:r>
        <w:t xml:space="preserve"> </w:t>
      </w:r>
      <w:r>
        <w:rPr>
          <w:iCs/>
          <w:i/>
        </w:rPr>
        <w:t xml:space="preserve">Proc. 43rd Internat. Conf. Machine Learn.</w:t>
      </w:r>
    </w:p>
    <w:p>
      <w:pPr>
        <w:pStyle w:val="BodyText"/>
      </w:pPr>
      <w:r>
        <w:t xml:space="preserve">Kamrad B, Schmidt GM, Ulku S (2013) Analyzing product architecture under technological change: Modular upgradeability tradeoffs.</w:t>
      </w:r>
      <w:r>
        <w:t xml:space="preserve"> </w:t>
      </w:r>
      <w:r>
        <w:rPr>
          <w:iCs/>
          <w:i/>
        </w:rPr>
        <w:t xml:space="preserve">IEEE Trans. Engrg. Management</w:t>
      </w:r>
      <w:r>
        <w:t xml:space="preserve"> </w:t>
      </w:r>
      <w:r>
        <w:t xml:space="preserve">60(2):289–300.</w:t>
      </w:r>
    </w:p>
    <w:p>
      <w:pPr>
        <w:pStyle w:val="BodyText"/>
      </w:pPr>
      <w:r>
        <w:t xml:space="preserve">Katz ML, Shapiro C (1985) Network externalities, competition, and compatibility.</w:t>
      </w:r>
      <w:r>
        <w:t xml:space="preserve"> </w:t>
      </w:r>
      <w:r>
        <w:rPr>
          <w:iCs/>
          <w:i/>
        </w:rPr>
        <w:t xml:space="preserve">Amer. Econom. Rev.</w:t>
      </w:r>
      <w:r>
        <w:t xml:space="preserve"> </w:t>
      </w:r>
      <w:r>
        <w:t xml:space="preserve">75(3):424–440.</w:t>
      </w:r>
    </w:p>
    <w:p>
      <w:pPr>
        <w:pStyle w:val="BodyText"/>
      </w:pPr>
      <w:r>
        <w:t xml:space="preserve">Kauffman RJ, Li X (2005) Technology competition and optimal investment timing: A real options perspective.</w:t>
      </w:r>
      <w:r>
        <w:t xml:space="preserve"> </w:t>
      </w:r>
      <w:r>
        <w:rPr>
          <w:iCs/>
          <w:i/>
        </w:rPr>
        <w:t xml:space="preserve">IEEE Trans. Engrg. Management</w:t>
      </w:r>
      <w:r>
        <w:t xml:space="preserve"> </w:t>
      </w:r>
      <w:r>
        <w:t xml:space="preserve">52(1):15–29.</w:t>
      </w:r>
    </w:p>
    <w:p>
      <w:pPr>
        <w:pStyle w:val="BodyText"/>
      </w:pPr>
      <w:r>
        <w:t xml:space="preserve">Li Y, Meng F, Zhang M, Zhu S, Wang S, Xu M (2025) LoRASuite: Efficient LoRA adaptation across large language model upgrades.</w:t>
      </w:r>
      <w:r>
        <w:t xml:space="preserve"> </w:t>
      </w:r>
      <w:r>
        <w:rPr>
          <w:iCs/>
          <w:i/>
        </w:rPr>
        <w:t xml:space="preserve">Adv. Neural Inform. Processing Systems</w:t>
      </w:r>
      <w:r>
        <w:t xml:space="preserve"> </w:t>
      </w:r>
      <w:r>
        <w:t xml:space="preserve">38.</w:t>
      </w:r>
    </w:p>
    <w:p>
      <w:pPr>
        <w:pStyle w:val="BodyText"/>
      </w:pPr>
      <w:r>
        <w:t xml:space="preserve">Mahadevan A, Mathioudakis M (2023) Cost-effective retraining of machine learning models. Working paper, arXiv:2310.04216.</w:t>
      </w:r>
    </w:p>
    <w:p>
      <w:pPr>
        <w:pStyle w:val="BodyText"/>
      </w:pPr>
      <w:r>
        <w:t xml:space="preserve">McDonald R, Siegel D (1986) The value of waiting to invest.</w:t>
      </w:r>
      <w:r>
        <w:t xml:space="preserve"> </w:t>
      </w:r>
      <w:r>
        <w:rPr>
          <w:iCs/>
          <w:i/>
        </w:rPr>
        <w:t xml:space="preserve">Quart. J. Econom.</w:t>
      </w:r>
      <w:r>
        <w:t xml:space="preserve"> </w:t>
      </w:r>
      <w:r>
        <w:t xml:space="preserve">101(4):707–727.</w:t>
      </w:r>
    </w:p>
    <w:p>
      <w:pPr>
        <w:pStyle w:val="BodyText"/>
      </w:pPr>
      <w:r>
        <w:t xml:space="preserve">Milgrom P, Shannon C (1994) Monotone comparative statics.</w:t>
      </w:r>
      <w:r>
        <w:t xml:space="preserve"> </w:t>
      </w:r>
      <w:r>
        <w:rPr>
          <w:iCs/>
          <w:i/>
        </w:rPr>
        <w:t xml:space="preserve">Econometrica</w:t>
      </w:r>
      <w:r>
        <w:t xml:space="preserve"> </w:t>
      </w:r>
      <w:r>
        <w:t xml:space="preserve">62(1):157–180.</w:t>
      </w:r>
    </w:p>
    <w:p>
      <w:pPr>
        <w:pStyle w:val="BodyText"/>
      </w:pPr>
      <w:r>
        <w:t xml:space="preserve">Parker G, Van Alstyne M (2018) Innovation, openness, and platform control.</w:t>
      </w:r>
      <w:r>
        <w:t xml:space="preserve"> </w:t>
      </w:r>
      <w:r>
        <w:rPr>
          <w:iCs/>
          <w:i/>
        </w:rPr>
        <w:t xml:space="preserve">Management Sci.</w:t>
      </w:r>
      <w:r>
        <w:t xml:space="preserve"> </w:t>
      </w:r>
      <w:r>
        <w:t xml:space="preserve">64(7):3015–3032.</w:t>
      </w:r>
    </w:p>
    <w:p>
      <w:pPr>
        <w:pStyle w:val="BodyText"/>
      </w:pPr>
      <w:r>
        <w:t xml:space="preserve">Rajagopalan S (1999) Adoption timing of new equipment with another innovation anticipated.</w:t>
      </w:r>
      <w:r>
        <w:t xml:space="preserve"> </w:t>
      </w:r>
      <w:r>
        <w:rPr>
          <w:iCs/>
          <w:i/>
        </w:rPr>
        <w:t xml:space="preserve">IEEE Trans. Engrg. Management</w:t>
      </w:r>
      <w:r>
        <w:t xml:space="preserve"> </w:t>
      </w:r>
      <w:r>
        <w:t xml:space="preserve">46(1):14–25.</w:t>
      </w:r>
    </w:p>
    <w:p>
      <w:pPr>
        <w:pStyle w:val="BodyText"/>
      </w:pPr>
      <w:r>
        <w:t xml:space="preserve">Regol F, Schwinn L, Sprague K, Coates M, Markovich T (2025) When to retrain a machine learning model.</w:t>
      </w:r>
      <w:r>
        <w:t xml:space="preserve"> </w:t>
      </w:r>
      <w:r>
        <w:rPr>
          <w:iCs/>
          <w:i/>
        </w:rPr>
        <w:t xml:space="preserve">Proc. 42nd Internat. Conf. Machine Learn.</w:t>
      </w:r>
      <w:r>
        <w:t xml:space="preserve">, PMLR 267.</w:t>
      </w:r>
    </w:p>
    <w:p>
      <w:pPr>
        <w:pStyle w:val="BodyText"/>
      </w:pPr>
      <w:r>
        <w:t xml:space="preserve">Rochet J-C, Tirole J (2003) Platform competition in two-sided markets.</w:t>
      </w:r>
      <w:r>
        <w:t xml:space="preserve"> </w:t>
      </w:r>
      <w:r>
        <w:rPr>
          <w:iCs/>
          <w:i/>
        </w:rPr>
        <w:t xml:space="preserve">J. Eur. Econom. Assoc.</w:t>
      </w:r>
      <w:r>
        <w:t xml:space="preserve"> </w:t>
      </w:r>
      <w:r>
        <w:t xml:space="preserve">1(4):990–1029.</w:t>
      </w:r>
    </w:p>
    <w:p>
      <w:pPr>
        <w:pStyle w:val="BodyText"/>
      </w:pPr>
      <w:r>
        <w:t xml:space="preserve">Santiago LP, Bifano TG (2005) Management of R&amp;D projects under uncertainty.</w:t>
      </w:r>
      <w:r>
        <w:t xml:space="preserve"> </w:t>
      </w:r>
      <w:r>
        <w:rPr>
          <w:iCs/>
          <w:i/>
        </w:rPr>
        <w:t xml:space="preserve">IEEE Trans. Engrg. Management</w:t>
      </w:r>
      <w:r>
        <w:t xml:space="preserve"> </w:t>
      </w:r>
      <w:r>
        <w:t xml:space="preserve">52(2):269–280.</w:t>
      </w:r>
    </w:p>
    <w:p>
      <w:pPr>
        <w:pStyle w:val="BodyText"/>
      </w:pPr>
      <w:r>
        <w:t xml:space="preserve">Shaked A, Sutton J (1982) Relaxing price competition through product differentiation.</w:t>
      </w:r>
      <w:r>
        <w:t xml:space="preserve"> </w:t>
      </w:r>
      <w:r>
        <w:rPr>
          <w:iCs/>
          <w:i/>
        </w:rPr>
        <w:t xml:space="preserve">Rev. Econom. Stud.</w:t>
      </w:r>
      <w:r>
        <w:t xml:space="preserve"> </w:t>
      </w:r>
      <w:r>
        <w:t xml:space="preserve">49(1):3–13.</w:t>
      </w:r>
    </w:p>
    <w:p>
      <w:pPr>
        <w:pStyle w:val="BodyText"/>
      </w:pPr>
      <w:r>
        <w:t xml:space="preserve">Swanson EB (1976) The dimensions of maintenance.</w:t>
      </w:r>
      <w:r>
        <w:t xml:space="preserve"> </w:t>
      </w:r>
      <w:r>
        <w:rPr>
          <w:iCs/>
          <w:i/>
        </w:rPr>
        <w:t xml:space="preserve">Proc. 2nd Internat. Conf. Software Engrg.</w:t>
      </w:r>
      <w:r>
        <w:t xml:space="preserve"> </w:t>
      </w:r>
      <w:r>
        <w:t xml:space="preserve">(IEEE Computer Society Press, Los Alamitos, CA), 492–497.</w:t>
      </w:r>
    </w:p>
    <w:p>
      <w:pPr>
        <w:pStyle w:val="BodyText"/>
      </w:pPr>
      <w:r>
        <w:t xml:space="preserve">Taudes A, Feurstein M, Mild A (2000) Options analysis of software platform decisions: A case study.</w:t>
      </w:r>
      <w:r>
        <w:t xml:space="preserve"> </w:t>
      </w:r>
      <w:r>
        <w:rPr>
          <w:iCs/>
          <w:i/>
        </w:rPr>
        <w:t xml:space="preserve">MIS Quart.</w:t>
      </w:r>
      <w:r>
        <w:t xml:space="preserve"> </w:t>
      </w:r>
      <w:r>
        <w:t xml:space="preserve">24(2):227–243.</w:t>
      </w:r>
    </w:p>
    <w:p>
      <w:pPr>
        <w:pStyle w:val="BodyText"/>
      </w:pPr>
      <w:r>
        <w:t xml:space="preserve">Tewari G (2026) Pilot early, commit late: A real-options model of enterprise AI adoption under rapid technological progress. Working paper, arXiv:2609.15919.</w:t>
      </w:r>
    </w:p>
    <w:p>
      <w:pPr>
        <w:pStyle w:val="BodyText"/>
      </w:pPr>
      <w:r>
        <w:t xml:space="preserve">Tiwana A, Konsynski B, Bush AA (2010) Platform evolution: Coevolution of platform architecture, governance, and environmental dynamics.</w:t>
      </w:r>
      <w:r>
        <w:t xml:space="preserve"> </w:t>
      </w:r>
      <w:r>
        <w:rPr>
          <w:iCs/>
          <w:i/>
        </w:rPr>
        <w:t xml:space="preserve">Inform. Systems Res.</w:t>
      </w:r>
      <w:r>
        <w:t xml:space="preserve"> </w:t>
      </w:r>
      <w:r>
        <w:t xml:space="preserve">21(4):675–687.</w:t>
      </w:r>
    </w:p>
    <w:p>
      <w:pPr>
        <w:pStyle w:val="BodyText"/>
      </w:pPr>
      <w:r>
        <w:t xml:space="preserve">Tullock G (1980) Efficient rent seeking. Buchanan JM, Tollison RD, Tullock G, eds. </w:t>
      </w:r>
      <w:r>
        <w:rPr>
          <w:iCs/>
          <w:i/>
        </w:rPr>
        <w:t xml:space="preserve">Toward a Theory of the Rent-Seeking Society</w:t>
      </w:r>
      <w:r>
        <w:t xml:space="preserve"> </w:t>
      </w:r>
      <w:r>
        <w:t xml:space="preserve">(Texas A&amp;M University Press, College Station), 97–112.</w:t>
      </w:r>
    </w:p>
    <w:p>
      <w:pPr>
        <w:pStyle w:val="BodyText"/>
      </w:pPr>
      <w:r>
        <w:t xml:space="preserve">Wang R, Ghosh S, Cox D, Antognini D, Oliva A, Feris R, Karlinsky L (2024) Trans-LoRA: Towards data-free transferable parameter efficient finetuning.</w:t>
      </w:r>
      <w:r>
        <w:t xml:space="preserve"> </w:t>
      </w:r>
      <w:r>
        <w:rPr>
          <w:iCs/>
          <w:i/>
        </w:rPr>
        <w:t xml:space="preserve">Adv. Neural Inform. Processing Systems</w:t>
      </w:r>
      <w:r>
        <w:t xml:space="preserve"> </w:t>
      </w:r>
      <w:r>
        <w:t xml:space="preserve">37.</w:t>
      </w:r>
    </w:p>
    <w:p>
      <w:pPr>
        <w:pStyle w:val="BodyText"/>
      </w:pPr>
      <w:r>
        <w:t xml:space="preserve">Xia F, Liao M, Fang Y, Li D, Xie Y, Li W, Li Y, Xia D, Huang J (2025) Cross-LoRA: A data-free LoRA transfer framework across heterogeneous LLMs. Working paper, arXiv:2508.05232.</w:t>
      </w:r>
    </w:p>
    <w:p>
      <w:pPr>
        <w:pStyle w:val="BodyText"/>
      </w:pPr>
      <w:r>
        <w:t xml:space="preserve">Yoo Y, Henfridsson O, Lyytinen K (2010) The new organizing logic of digital innovation: An agenda for information systems research.</w:t>
      </w:r>
      <w:r>
        <w:t xml:space="preserve"> </w:t>
      </w:r>
      <w:r>
        <w:rPr>
          <w:iCs/>
          <w:i/>
        </w:rPr>
        <w:t xml:space="preserve">Inform. Systems Res.</w:t>
      </w:r>
      <w:r>
        <w:t xml:space="preserve"> </w:t>
      </w:r>
      <w:r>
        <w:t xml:space="preserve">21(4):724–735.</w:t>
      </w:r>
    </w:p>
    <w:bookmarkEnd w:id="57"/>
    <w:bookmarkStart w:id="58" w:name="Xa9655facc0fef39d2d1857b7da2b9b7690d1ce1"/>
    <w:p>
      <w:pPr>
        <w:pStyle w:val="Heading2"/>
      </w:pPr>
      <w:r>
        <w:t xml:space="preserve">Appendix A. Proofs of Propositions 1 to 6</w:t>
      </w:r>
    </w:p>
    <w:p>
      <w:pPr>
        <w:pStyle w:val="FirstParagraph"/>
      </w:pPr>
      <w:r>
        <w:rPr>
          <w:bCs/>
          <w:b/>
        </w:rPr>
        <w:t xml:space="preserve">Proof of Proposition 1.</w:t>
      </w:r>
      <w:r>
        <w:t xml:space="preserve"> </w:t>
      </w:r>
      <w:r>
        <w:t xml:space="preserve">(a) In the continuation region the option satisfies the Bellman equation</w:t>
      </w:r>
      <w:r>
        <w:t xml:space="preserve"> </w:t>
      </w:r>
      <m:oMath>
        <m:r>
          <m:t>ρ</m:t>
        </m:r>
        <m:r>
          <m:t>F</m:t>
        </m:r>
        <m:r>
          <m:rPr>
            <m:sty m:val="p"/>
          </m:rPr>
          <m:t>=</m:t>
        </m:r>
        <m:r>
          <m:t>g</m:t>
        </m:r>
        <m:r>
          <m:t>v</m:t>
        </m:r>
        <m:r>
          <m:t>F</m:t>
        </m:r>
        <m:r>
          <m:rPr>
            <m:sty m:val="p"/>
          </m:rPr>
          <m:t>′</m:t>
        </m:r>
        <m:r>
          <m:rPr>
            <m:sty m:val="p"/>
          </m:rPr>
          <m:t>+</m:t>
        </m:r>
        <m:f>
          <m:fPr>
            <m:type m:val="lin"/>
          </m:fPr>
          <m:num>
            <m:r>
              <m:t>1</m:t>
            </m:r>
          </m:num>
          <m:den>
            <m:r>
              <m:t>2</m:t>
            </m:r>
          </m:den>
        </m:f>
        <m:sSup>
          <m:e>
            <m:r>
              <m:t>σ</m:t>
            </m:r>
          </m:e>
          <m:sup>
            <m:r>
              <m:t>2</m:t>
            </m:r>
          </m:sup>
        </m:sSup>
        <m:sSup>
          <m:e>
            <m:r>
              <m:t>v</m:t>
            </m:r>
          </m:e>
          <m:sup>
            <m:r>
              <m:t>2</m:t>
            </m:r>
          </m:sup>
        </m:sSup>
        <m:r>
          <m:t>F</m:t>
        </m:r>
        <m:r>
          <m:rPr>
            <m:sty m:val="p"/>
          </m:rPr>
          <m:t>″</m:t>
        </m:r>
        <m:r>
          <m:rPr>
            <m:sty m:val="p"/>
          </m:rPr>
          <m:t>+</m:t>
        </m:r>
        <m:r>
          <m:t>μ</m:t>
        </m:r>
        <m:d>
          <m:dPr>
            <m:begChr m:val="("/>
            <m:endChr m:val=")"/>
            <m:sepChr m:val=""/>
            <m:grow/>
          </m:dPr>
          <m:e>
            <m:r>
              <m:t>0</m:t>
            </m:r>
            <m:r>
              <m:rPr>
                <m:sty m:val="p"/>
              </m:rPr>
              <m:t>−</m:t>
            </m:r>
            <m:r>
              <m:t>F</m:t>
            </m:r>
          </m:e>
        </m:d>
      </m:oMath>
      <w:r>
        <w:t xml:space="preserve">. The Euler equation is</w:t>
      </w:r>
      <w:r>
        <w:t xml:space="preserve"> </w:t>
      </w:r>
      <m:oMath>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 Of the two roots, the negative root is discarded by</w:t>
      </w:r>
      <w:r>
        <w:t xml:space="preserve"> </w:t>
      </w:r>
      <m:oMath>
        <m:r>
          <m:t>F</m:t>
        </m:r>
        <m:d>
          <m:dPr>
            <m:begChr m:val="("/>
            <m:endChr m:val=")"/>
            <m:sepChr m:val=""/>
            <m:grow/>
          </m:dPr>
          <m:e>
            <m:r>
              <m:t>0</m:t>
            </m:r>
          </m:e>
        </m:d>
        <m:r>
          <m:rPr>
            <m:sty m:val="p"/>
          </m:rPr>
          <m:t>=</m:t>
        </m:r>
        <m:r>
          <m:t>0</m:t>
        </m:r>
      </m:oMath>
      <w:r>
        <w:t xml:space="preserve">. Value matching</w:t>
      </w:r>
      <w:r>
        <w:t xml:space="preserve"> </w:t>
      </w:r>
      <m:oMath>
        <m:r>
          <m:t>F</m:t>
        </m:r>
        <m:d>
          <m:dPr>
            <m:begChr m:val="("/>
            <m:endChr m:val=")"/>
            <m:sepChr m:val=""/>
            <m:grow/>
          </m:dPr>
          <m:e>
            <m:sSup>
              <m:e>
                <m:r>
                  <m:t>v</m:t>
                </m:r>
              </m:e>
              <m:sup>
                <m:r>
                  <m:rPr>
                    <m:sty m:val="p"/>
                  </m:rPr>
                  <m:t>*</m:t>
                </m:r>
              </m:sup>
            </m:sSup>
          </m:e>
        </m:d>
        <m:r>
          <m:rPr>
            <m:sty m:val="p"/>
          </m:rPr>
          <m:t>=</m:t>
        </m:r>
        <m:r>
          <m:t>k</m:t>
        </m:r>
        <m:sSup>
          <m:e>
            <m:r>
              <m:t>v</m:t>
            </m:r>
          </m:e>
          <m:sup>
            <m:r>
              <m:rPr>
                <m:sty m:val="p"/>
              </m:rPr>
              <m:t>*</m:t>
            </m:r>
          </m:sup>
        </m:sSup>
        <m:r>
          <m:rPr>
            <m:sty m:val="p"/>
          </m:rPr>
          <m:t>−</m:t>
        </m:r>
        <m:sSub>
          <m:e>
            <m:r>
              <m:t>C</m:t>
            </m:r>
          </m:e>
          <m:sub>
            <m:r>
              <m:t>N</m:t>
            </m:r>
          </m:sub>
        </m:sSub>
      </m:oMath>
      <w:r>
        <w:t xml:space="preserve"> </w:t>
      </w:r>
      <w:r>
        <w:t xml:space="preserve">and smooth pasting</w:t>
      </w:r>
      <w:r>
        <w:t xml:space="preserve"> </w:t>
      </w:r>
      <m:oMath>
        <m:r>
          <m:t>F</m:t>
        </m:r>
        <m:r>
          <m:rPr>
            <m:sty m:val="p"/>
          </m:rPr>
          <m:t>′</m:t>
        </m:r>
        <m:d>
          <m:dPr>
            <m:begChr m:val="("/>
            <m:endChr m:val=")"/>
            <m:sepChr m:val=""/>
            <m:grow/>
          </m:dPr>
          <m:e>
            <m:sSup>
              <m:e>
                <m:r>
                  <m:t>v</m:t>
                </m:r>
              </m:e>
              <m:sup>
                <m:r>
                  <m:rPr>
                    <m:sty m:val="p"/>
                  </m:rPr>
                  <m:t>*</m:t>
                </m:r>
              </m:sup>
            </m:sSup>
          </m:e>
        </m:d>
        <m:r>
          <m:rPr>
            <m:sty m:val="p"/>
          </m:rPr>
          <m:t>=</m:t>
        </m:r>
        <m:r>
          <m:t>k</m:t>
        </m:r>
      </m:oMath>
      <w:r>
        <w:t xml:space="preserve"> </w:t>
      </w:r>
      <w:r>
        <w:t xml:space="preserve">with</w:t>
      </w:r>
      <w:r>
        <w:t xml:space="preserve"> </w:t>
      </w:r>
      <m:oMath>
        <m:r>
          <m:t>F</m:t>
        </m:r>
        <m:r>
          <m:rPr>
            <m:sty m:val="p"/>
          </m:rPr>
          <m:t>=</m:t>
        </m:r>
        <m:r>
          <m:t>A</m:t>
        </m:r>
        <m:sSup>
          <m:e>
            <m:r>
              <m:t>v</m:t>
            </m:r>
          </m:e>
          <m:sup>
            <m:r>
              <m:t>β</m:t>
            </m:r>
          </m:sup>
        </m:sSup>
      </m:oMath>
      <w:r>
        <w:t xml:space="preserve"> </w:t>
      </w:r>
      <w:r>
        <w:t xml:space="preserve">yield</w:t>
      </w:r>
    </w:p>
    <w:p>
      <w:pPr>
        <w:pStyle w:val="BodyText"/>
      </w:pPr>
      <m:oMathPara>
        <m:oMathParaPr>
          <m:jc m:val="center"/>
        </m:oMathParaPr>
        <m:oMath>
          <m:r>
            <m:t>A</m:t>
          </m:r>
          <m:sSup>
            <m:e>
              <m:d>
                <m:dPr>
                  <m:begChr m:val="("/>
                  <m:endChr m:val=")"/>
                  <m:sepChr m:val=""/>
                  <m:grow/>
                </m:dPr>
                <m:e>
                  <m:sSup>
                    <m:e>
                      <m:r>
                        <m:t>v</m:t>
                      </m:r>
                    </m:e>
                    <m:sup>
                      <m:r>
                        <m:rPr>
                          <m:sty m:val="p"/>
                        </m:rPr>
                        <m:t>*</m:t>
                      </m:r>
                    </m:sup>
                  </m:sSup>
                </m:e>
              </m:d>
            </m:e>
            <m:sup>
              <m:r>
                <m:t>β</m:t>
              </m:r>
            </m:sup>
          </m:sSup>
          <m:r>
            <m:rPr>
              <m:sty m:val="p"/>
            </m:rPr>
            <m:t>=</m:t>
          </m:r>
          <m:r>
            <m:t>k</m:t>
          </m:r>
          <m:sSup>
            <m:e>
              <m:r>
                <m:t>v</m:t>
              </m:r>
            </m:e>
            <m:sup>
              <m:r>
                <m:rPr>
                  <m:sty m:val="p"/>
                </m:rPr>
                <m:t>*</m:t>
              </m:r>
            </m:sup>
          </m:sSup>
          <m:r>
            <m:rPr>
              <m:sty m:val="p"/>
            </m:rPr>
            <m:t>−</m:t>
          </m:r>
          <m:sSub>
            <m:e>
              <m:r>
                <m:t>C</m:t>
              </m:r>
            </m:e>
            <m:sub>
              <m:r>
                <m:t>N</m:t>
              </m:r>
            </m:sub>
          </m:sSub>
          <m:r>
            <m:rPr>
              <m:sty m:val="p"/>
            </m:rPr>
            <m:t>,</m:t>
          </m:r>
          <m:r>
            <m:t>  </m:t>
          </m:r>
          <m:r>
            <m:t>A</m:t>
          </m:r>
          <m:r>
            <m:t>β</m:t>
          </m:r>
          <m:sSup>
            <m:e>
              <m:d>
                <m:dPr>
                  <m:begChr m:val="("/>
                  <m:endChr m:val=")"/>
                  <m:sepChr m:val=""/>
                  <m:grow/>
                </m:dPr>
                <m:e>
                  <m:sSup>
                    <m:e>
                      <m:r>
                        <m:t>v</m:t>
                      </m:r>
                    </m:e>
                    <m:sup>
                      <m:r>
                        <m:rPr>
                          <m:sty m:val="p"/>
                        </m:rPr>
                        <m:t>*</m:t>
                      </m:r>
                    </m:sup>
                  </m:sSup>
                </m:e>
              </m:d>
            </m:e>
            <m:sup>
              <m:r>
                <m:t>β</m:t>
              </m:r>
              <m:r>
                <m:rPr>
                  <m:sty m:val="p"/>
                </m:rPr>
                <m:t>−</m:t>
              </m:r>
              <m:r>
                <m:t>1</m:t>
              </m:r>
            </m:sup>
          </m:sSup>
          <m:r>
            <m:rPr>
              <m:sty m:val="p"/>
            </m:rPr>
            <m:t>=</m:t>
          </m:r>
          <m:r>
            <m:t>k</m:t>
          </m:r>
          <m:r>
            <m:rPr>
              <m:sty m:val="p"/>
            </m:rPr>
            <m:t>,</m:t>
          </m:r>
        </m:oMath>
      </m:oMathPara>
    </w:p>
    <w:p>
      <w:pPr>
        <w:pStyle w:val="FirstParagraph"/>
      </w:pPr>
      <w:r>
        <w:t xml:space="preserve">hence</w:t>
      </w:r>
      <w:r>
        <w:t xml:space="preserve"> </w:t>
      </w:r>
      <m:oMath>
        <m:sSup>
          <m:e>
            <m:r>
              <m:t>v</m:t>
            </m:r>
          </m:e>
          <m:sup>
            <m:r>
              <m:rPr>
                <m:sty m:val="p"/>
              </m:rPr>
              <m:t>*</m:t>
            </m:r>
          </m:sup>
        </m:sSup>
        <m:r>
          <m:rPr>
            <m:sty m:val="p"/>
          </m:rPr>
          <m:t>=</m:t>
        </m:r>
        <m:d>
          <m:dPr>
            <m:begChr m:val="["/>
            <m:endChr m:val="]"/>
            <m:sepChr m:val=""/>
            <m:grow/>
          </m:dPr>
          <m:e>
            <m:r>
              <m:t>β</m:t>
            </m:r>
            <m:r>
              <m:rPr>
                <m:sty m:val="p"/>
              </m:rPr>
              <m:t>/</m:t>
            </m:r>
            <m:d>
              <m:dPr>
                <m:begChr m:val="("/>
                <m:endChr m:val=")"/>
                <m:sepChr m:val=""/>
                <m:grow/>
              </m:dPr>
              <m:e>
                <m:r>
                  <m:t>β</m:t>
                </m:r>
                <m:r>
                  <m:rPr>
                    <m:sty m:val="p"/>
                  </m:rPr>
                  <m:t>−</m:t>
                </m:r>
                <m:r>
                  <m:t>1</m:t>
                </m:r>
              </m:e>
            </m:d>
          </m:e>
        </m:d>
        <m:r>
          <m:t> </m:t>
        </m:r>
        <m:sSub>
          <m:e>
            <m:r>
              <m:t>C</m:t>
            </m:r>
          </m:e>
          <m:sub>
            <m:r>
              <m:t>N</m:t>
            </m:r>
          </m:sub>
        </m:sSub>
        <m:r>
          <m:rPr>
            <m:sty m:val="p"/>
          </m:rPr>
          <m:t>/</m:t>
        </m:r>
        <m:r>
          <m:t>k</m:t>
        </m:r>
      </m:oMath>
      <w:r>
        <w:t xml:space="preserve">. The quadratic identity</w:t>
      </w:r>
      <w:r>
        <w:t xml:space="preserve"> </w:t>
      </w:r>
      <m:oMath>
        <m:r>
          <m:t>ρ</m:t>
        </m:r>
        <m:r>
          <m:rPr>
            <m:sty m:val="p"/>
          </m:rPr>
          <m:t>+</m:t>
        </m:r>
        <m:r>
          <m:t>μ</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t>
      </w:r>
      <w:r>
        <w:t xml:space="preserve">gives the equivalent writing in terms of</w:t>
      </w:r>
      <w:r>
        <w:t xml:space="preserve"> </w:t>
      </w:r>
      <m:oMath>
        <m:r>
          <m:t>ρ</m:t>
        </m:r>
        <m:r>
          <m:rPr>
            <m:sty m:val="p"/>
          </m:rPr>
          <m:t>+</m:t>
        </m:r>
        <m:r>
          <m:t>μ</m:t>
        </m:r>
        <m:r>
          <m:rPr>
            <m:sty m:val="p"/>
          </m:rPr>
          <m:t>−</m:t>
        </m:r>
        <m:r>
          <m:t>g</m:t>
        </m:r>
      </m:oMath>
      <w:r>
        <w:t xml:space="preserve">.</w:t>
      </w:r>
    </w:p>
    <w:p>
      <w:pPr>
        <w:numPr>
          <w:ilvl w:val="0"/>
          <w:numId w:val="1002"/>
        </w:numPr>
        <w:pStyle w:val="Compact"/>
      </w:pPr>
      <w:r>
        <w:t xml:space="preserve">Since</w:t>
      </w:r>
      <w:r>
        <w:t xml:space="preserve"> </w:t>
      </w:r>
      <m:oMath>
        <m:sSup>
          <m:e>
            <m:r>
              <m:t>v</m:t>
            </m:r>
          </m:e>
          <m:sup>
            <m:r>
              <m:rPr>
                <m:sty m:val="p"/>
              </m:rPr>
              <m:t>*</m:t>
            </m:r>
          </m:sup>
        </m:sSup>
        <m:r>
          <m:rPr>
            <m:sty m:val="p"/>
          </m:rPr>
          <m:t>=</m:t>
        </m:r>
        <m:r>
          <m:t>h</m:t>
        </m:r>
        <m:d>
          <m:dPr>
            <m:begChr m:val="("/>
            <m:endChr m:val=")"/>
            <m:sepChr m:val=""/>
            <m:grow/>
          </m:dPr>
          <m:e>
            <m:r>
              <m:t>K</m:t>
            </m:r>
          </m:e>
        </m:d>
        <m:r>
          <m:t> </m:t>
        </m:r>
        <m:sSub>
          <m:e>
            <m:r>
              <m:t>C</m:t>
            </m:r>
          </m:e>
          <m:sub>
            <m:r>
              <m:t>N</m:t>
            </m:r>
          </m:sub>
        </m:sSub>
        <m:r>
          <m:rPr>
            <m:sty m:val="p"/>
          </m:rPr>
          <m:t>/</m:t>
        </m:r>
        <m:d>
          <m:dPr>
            <m:begChr m:val="("/>
            <m:endChr m:val=")"/>
            <m:sepChr m:val=""/>
            <m:grow/>
          </m:dPr>
          <m:e>
            <m:r>
              <m:t>1</m:t>
            </m:r>
            <m:r>
              <m:rPr>
                <m:sty m:val="p"/>
              </m:rPr>
              <m:t>−</m:t>
            </m:r>
            <m:r>
              <m:t>R</m:t>
            </m:r>
          </m:e>
        </m:d>
      </m:oMath>
      <w:r>
        <w:t xml:space="preserve"> </w:t>
      </w:r>
      <w:r>
        <w:t xml:space="preserve">with</w:t>
      </w:r>
      <w:r>
        <w:t xml:space="preserve"> </w:t>
      </w:r>
      <m:oMath>
        <m:r>
          <m:t>K</m:t>
        </m:r>
        <m:r>
          <m:rPr>
            <m:sty m:val="p"/>
          </m:rPr>
          <m:t>=</m:t>
        </m:r>
        <m:r>
          <m:t>ρ</m:t>
        </m:r>
        <m:r>
          <m:rPr>
            <m:sty m:val="p"/>
          </m:rPr>
          <m:t>+</m:t>
        </m:r>
        <m:r>
          <m:t>μ</m:t>
        </m:r>
      </m:oMath>
      <w:r>
        <w:t xml:space="preserve"> </w:t>
      </w:r>
      <w:r>
        <w:t xml:space="preserve">and</w:t>
      </w:r>
      <w:r>
        <w:t xml:space="preserve"> </w:t>
      </w:r>
      <m:oMath>
        <m:r>
          <m:t>h</m:t>
        </m:r>
        <m:d>
          <m:dPr>
            <m:begChr m:val="("/>
            <m:endChr m:val=")"/>
            <m:sepChr m:val=""/>
            <m:grow/>
          </m:dPr>
          <m:e>
            <m:r>
              <m:t>K</m:t>
            </m:r>
          </m:e>
        </m:d>
        <m:r>
          <m:rPr>
            <m:sty m:val="p"/>
          </m:rPr>
          <m:t>=</m:t>
        </m:r>
        <m:d>
          <m:dPr>
            <m:begChr m:val="("/>
            <m:endChr m:val=")"/>
            <m:sepChr m:val=""/>
            <m:grow/>
          </m:dPr>
          <m:e>
            <m:r>
              <m:t>K</m:t>
            </m:r>
            <m:r>
              <m:rPr>
                <m:sty m:val="p"/>
              </m:rPr>
              <m:t>−</m:t>
            </m:r>
            <m:r>
              <m:t>g</m:t>
            </m:r>
          </m:e>
        </m:d>
        <m:r>
          <m:t>β</m:t>
        </m:r>
        <m:r>
          <m:rPr>
            <m:sty m:val="p"/>
          </m:rPr>
          <m:t>/</m:t>
        </m:r>
        <m:d>
          <m:dPr>
            <m:begChr m:val="("/>
            <m:endChr m:val=")"/>
            <m:sepChr m:val=""/>
            <m:grow/>
          </m:dPr>
          <m:e>
            <m:r>
              <m:t>β</m:t>
            </m:r>
            <m:r>
              <m:rPr>
                <m:sty m:val="p"/>
              </m:rPr>
              <m:t>−</m:t>
            </m:r>
            <m:r>
              <m:t>1</m:t>
            </m:r>
          </m:e>
        </m:d>
      </m:oMath>
      <w:r>
        <w:t xml:space="preserve">: (i)</w:t>
      </w:r>
      <w:r>
        <w:t xml:space="preserve"> </w:t>
      </w:r>
      <m:oMath>
        <m:sSup>
          <m:e>
            <m:r>
              <m:t>v</m:t>
            </m:r>
          </m:e>
          <m:sup>
            <m:r>
              <m:rPr>
                <m:sty m:val="p"/>
              </m:rPr>
              <m:t>*</m:t>
            </m:r>
          </m:sup>
        </m:sSup>
      </m:oMath>
      <w:r>
        <w:t xml:space="preserve"> </w:t>
      </w:r>
      <w:r>
        <w:t xml:space="preserve">is proportional to</w:t>
      </w:r>
      <w:r>
        <w:t xml:space="preserve"> </w:t>
      </w:r>
      <m:oMath>
        <m:r>
          <m:t>1</m:t>
        </m:r>
        <m:r>
          <m:rPr>
            <m:sty m:val="p"/>
          </m:rPr>
          <m:t>/</m:t>
        </m:r>
        <m:d>
          <m:dPr>
            <m:begChr m:val="("/>
            <m:endChr m:val=")"/>
            <m:sepChr m:val=""/>
            <m:grow/>
          </m:dPr>
          <m:e>
            <m:r>
              <m:t>1</m:t>
            </m:r>
            <m:r>
              <m:rPr>
                <m:sty m:val="p"/>
              </m:rPr>
              <m:t>−</m:t>
            </m:r>
            <m:r>
              <m:t>R</m:t>
            </m:r>
          </m:e>
        </m:d>
      </m:oMath>
      <w:r>
        <w:t xml:space="preserve">, hence increasing in</w:t>
      </w:r>
      <w:r>
        <w:t xml:space="preserve"> </w:t>
      </w:r>
      <m:oMath>
        <m:r>
          <m:t>R</m:t>
        </m:r>
      </m:oMath>
      <w:r>
        <w:t xml:space="preserve">. (ii) By the implicit function theorem</w:t>
      </w:r>
      <w:r>
        <w:t xml:space="preserve"> </w:t>
      </w:r>
      <m:oMath>
        <m:r>
          <m:t>β</m:t>
        </m:r>
        <m:r>
          <m:rPr>
            <m:sty m:val="p"/>
          </m:rPr>
          <m:t>′</m:t>
        </m:r>
        <m:d>
          <m:dPr>
            <m:begChr m:val="("/>
            <m:endChr m:val=")"/>
            <m:sepChr m:val=""/>
            <m:grow/>
          </m:dPr>
          <m:e>
            <m:r>
              <m:t>K</m:t>
            </m:r>
          </m:e>
        </m:d>
        <m:r>
          <m:rPr>
            <m:sty m:val="p"/>
          </m:rPr>
          <m:t>=</m:t>
        </m:r>
        <m:r>
          <m:t>1</m:t>
        </m:r>
        <m:r>
          <m:rPr>
            <m:sty m:val="p"/>
          </m:rPr>
          <m:t>/</m:t>
        </m:r>
        <m:r>
          <m:t>Q</m:t>
        </m:r>
        <m:r>
          <m:rPr>
            <m:sty m:val="p"/>
          </m:rPr>
          <m:t>′</m:t>
        </m:r>
        <m:d>
          <m:dPr>
            <m:begChr m:val="("/>
            <m:endChr m:val=")"/>
            <m:sepChr m:val=""/>
            <m:grow/>
          </m:dPr>
          <m:e>
            <m:r>
              <m:t>β</m:t>
            </m:r>
          </m:e>
        </m:d>
      </m:oMath>
      <w:r>
        <w:t xml:space="preserve"> </w:t>
      </w:r>
      <w:r>
        <w:t xml:space="preserve">with</w:t>
      </w:r>
      <w:r>
        <w:t xml:space="preserve"> </w:t>
      </w:r>
      <m:oMath>
        <m:r>
          <m:t>Q</m:t>
        </m:r>
        <m:r>
          <m:rPr>
            <m:sty m:val="p"/>
          </m:rPr>
          <m:t>′</m:t>
        </m:r>
        <m:d>
          <m:dPr>
            <m:begChr m:val="("/>
            <m:endChr m:val=")"/>
            <m:sepChr m:val=""/>
            <m:grow/>
          </m:dPr>
          <m:e>
            <m:r>
              <m:t>β</m:t>
            </m:r>
          </m:e>
        </m:d>
        <m:r>
          <m:rPr>
            <m:sty m:val="p"/>
          </m:rPr>
          <m:t>=</m:t>
        </m:r>
        <m:d>
          <m:dPr>
            <m:begChr m:val="("/>
            <m:endChr m:val=")"/>
            <m:sepChr m:val=""/>
            <m:grow/>
          </m:dPr>
          <m:e>
            <m:r>
              <m:t>g</m:t>
            </m:r>
            <m:r>
              <m:rPr>
                <m:sty m:val="p"/>
              </m:rPr>
              <m:t>+</m:t>
            </m:r>
            <m:f>
              <m:fPr>
                <m:type m:val="lin"/>
              </m:fPr>
              <m:num>
                <m:r>
                  <m:t>1</m:t>
                </m:r>
              </m:num>
              <m:den>
                <m:r>
                  <m:t>2</m:t>
                </m:r>
              </m:den>
            </m:f>
            <m:sSup>
              <m:e>
                <m:r>
                  <m:t>σ</m:t>
                </m:r>
              </m:e>
              <m:sup>
                <m:r>
                  <m:t>2</m:t>
                </m:r>
              </m:sup>
            </m:sSup>
            <m:r>
              <m:t>β</m:t>
            </m:r>
          </m:e>
        </m:d>
        <m:r>
          <m:rPr>
            <m:sty m:val="p"/>
          </m:rPr>
          <m:t>+</m:t>
        </m:r>
        <m:f>
          <m:fPr>
            <m:type m:val="lin"/>
          </m:fPr>
          <m:num>
            <m:r>
              <m:t>1</m:t>
            </m:r>
          </m:num>
          <m:den>
            <m:r>
              <m:t>2</m:t>
            </m:r>
          </m:den>
        </m:f>
        <m:sSup>
          <m:e>
            <m:r>
              <m:t>σ</m:t>
            </m:r>
          </m:e>
          <m:sup>
            <m:r>
              <m:t>2</m:t>
            </m:r>
          </m:sup>
        </m:sSup>
        <m:d>
          <m:dPr>
            <m:begChr m:val="("/>
            <m:endChr m:val=")"/>
            <m:sepChr m:val=""/>
            <m:grow/>
          </m:dPr>
          <m:e>
            <m:r>
              <m:t>β</m:t>
            </m:r>
            <m:r>
              <m:rPr>
                <m:sty m:val="p"/>
              </m:rPr>
              <m:t>−</m:t>
            </m:r>
            <m:r>
              <m:t>1</m:t>
            </m:r>
          </m:e>
        </m:d>
        <m:r>
          <m:rPr>
            <m:sty m:val="p"/>
          </m:rPr>
          <m:t>&gt;</m:t>
        </m:r>
        <m:r>
          <m:t>0</m:t>
        </m:r>
      </m:oMath>
      <w:r>
        <w:t xml:space="preserve">. Substituting</w:t>
      </w:r>
      <w:r>
        <w:t xml:space="preserve"> </w:t>
      </w:r>
      <m:oMath>
        <m:r>
          <m:t>K</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t>
      </w:r>
      <w:r>
        <w:t xml:space="preserve">shows</w:t>
      </w:r>
      <w:r>
        <w:t xml:space="preserve"> </w:t>
      </w:r>
      <m:oMath>
        <m:r>
          <m:t>h</m:t>
        </m:r>
        <m:r>
          <m:rPr>
            <m:sty m:val="p"/>
          </m:rPr>
          <m:t>′</m:t>
        </m:r>
        <m:d>
          <m:dPr>
            <m:begChr m:val="("/>
            <m:endChr m:val=")"/>
            <m:sepChr m:val=""/>
            <m:grow/>
          </m:dPr>
          <m:e>
            <m:r>
              <m:t>K</m:t>
            </m:r>
          </m:e>
        </m:d>
        <m:r>
          <m:rPr>
            <m:sty m:val="p"/>
          </m:rPr>
          <m:t>&gt;</m:t>
        </m:r>
        <m:r>
          <m:t>0</m:t>
        </m:r>
      </m:oMath>
      <w:r>
        <w:t xml:space="preserve">, so</w:t>
      </w:r>
      <w:r>
        <w:t xml:space="preserve"> </w:t>
      </w:r>
      <m:oMath>
        <m:sSup>
          <m:e>
            <m:r>
              <m:t>v</m:t>
            </m:r>
          </m:e>
          <m:sup>
            <m:r>
              <m:rPr>
                <m:sty m:val="p"/>
              </m:rPr>
              <m:t>*</m:t>
            </m:r>
          </m:sup>
        </m:sSup>
      </m:oMath>
      <w:r>
        <w:t xml:space="preserve"> </w:t>
      </w:r>
      <w:r>
        <w:t xml:space="preserve">is increasing in</w:t>
      </w:r>
      <w:r>
        <w:t xml:space="preserve"> </w:t>
      </w:r>
      <m:oMath>
        <m:r>
          <m:t>μ</m:t>
        </m:r>
      </m:oMath>
      <w:r>
        <w:t xml:space="preserve">. (iii) At any fixed</w:t>
      </w:r>
      <w:r>
        <w:t xml:space="preserve"> </w:t>
      </w:r>
      <m:oMath>
        <m:r>
          <m:t>β</m:t>
        </m:r>
        <m:r>
          <m:rPr>
            <m:sty m:val="p"/>
          </m:rPr>
          <m:t>&gt;</m:t>
        </m:r>
        <m:r>
          <m:t>1</m:t>
        </m:r>
      </m:oMath>
      <w:r>
        <w:t xml:space="preserve">,</w:t>
      </w:r>
      <w:r>
        <w:t xml:space="preserve"> </w:t>
      </w:r>
      <m:oMath>
        <m:r>
          <m:t>Q</m:t>
        </m:r>
      </m:oMath>
      <w:r>
        <w:t xml:space="preserve"> </w:t>
      </w:r>
      <w:r>
        <w:t xml:space="preserve">is increasing in</w:t>
      </w:r>
      <w:r>
        <w:t xml:space="preserve"> </w:t>
      </w:r>
      <m:oMath>
        <m:r>
          <m:t>σ</m:t>
        </m:r>
      </m:oMath>
      <w:r>
        <w:t xml:space="preserve"> </w:t>
      </w:r>
      <w:r>
        <w:t xml:space="preserve">and</w:t>
      </w:r>
      <w:r>
        <w:t xml:space="preserve"> </w:t>
      </w:r>
      <m:oMath>
        <m:r>
          <m:t>Q</m:t>
        </m:r>
        <m:r>
          <m:rPr>
            <m:sty m:val="p"/>
          </m:rPr>
          <m:t>′</m:t>
        </m:r>
        <m:r>
          <m:rPr>
            <m:sty m:val="p"/>
          </m:rPr>
          <m:t>&gt;</m:t>
        </m:r>
        <m:r>
          <m:t>0</m:t>
        </m:r>
      </m:oMath>
      <w:r>
        <w:t xml:space="preserve"> </w:t>
      </w:r>
      <w:r>
        <w:t xml:space="preserve">at the root, so</w:t>
      </w:r>
      <w:r>
        <w:t xml:space="preserve"> </w:t>
      </w:r>
      <m:oMath>
        <m:r>
          <m:t>β</m:t>
        </m:r>
      </m:oMath>
      <w:r>
        <w:t xml:space="preserve"> </w:t>
      </w:r>
      <w:r>
        <w:t xml:space="preserve">is decreasing in</w:t>
      </w:r>
      <w:r>
        <w:t xml:space="preserve"> </w:t>
      </w:r>
      <m:oMath>
        <m:r>
          <m:t>σ</m:t>
        </m:r>
      </m:oMath>
      <w:r>
        <w:t xml:space="preserve">. Since</w:t>
      </w:r>
      <w:r>
        <w:t xml:space="preserve"> </w:t>
      </w:r>
      <m:oMath>
        <m:r>
          <m:t>β</m:t>
        </m:r>
        <m:r>
          <m:rPr>
            <m:sty m:val="p"/>
          </m:rPr>
          <m:t>/</m:t>
        </m:r>
        <m:d>
          <m:dPr>
            <m:begChr m:val="("/>
            <m:endChr m:val=")"/>
            <m:sepChr m:val=""/>
            <m:grow/>
          </m:dPr>
          <m:e>
            <m:r>
              <m:t>β</m:t>
            </m:r>
            <m:r>
              <m:rPr>
                <m:sty m:val="p"/>
              </m:rPr>
              <m:t>−</m:t>
            </m:r>
            <m:r>
              <m:t>1</m:t>
            </m:r>
          </m:e>
        </m:d>
      </m:oMath>
      <w:r>
        <w:t xml:space="preserve"> </w:t>
      </w:r>
      <w:r>
        <w:t xml:space="preserve">is decreasing in</w:t>
      </w:r>
      <w:r>
        <w:t xml:space="preserve"> </w:t>
      </w:r>
      <m:oMath>
        <m:r>
          <m:t>β</m:t>
        </m:r>
      </m:oMath>
      <w:r>
        <w:t xml:space="preserve">, the threshold increases in</w:t>
      </w:r>
      <w:r>
        <w:t xml:space="preserve"> </w:t>
      </w:r>
      <m:oMath>
        <m:r>
          <m:t>σ</m:t>
        </m:r>
      </m:oMath>
      <w:r>
        <w:t xml:space="preserve">. (iv)</w:t>
      </w:r>
      <w:r>
        <w:t xml:space="preserve"> </w:t>
      </w:r>
      <m:oMath>
        <m:r>
          <m:t>β</m:t>
        </m:r>
        <m:r>
          <m:rPr>
            <m:sty m:val="p"/>
          </m:rPr>
          <m:t>/</m:t>
        </m:r>
        <m:d>
          <m:dPr>
            <m:begChr m:val="("/>
            <m:endChr m:val=")"/>
            <m:sepChr m:val=""/>
            <m:grow/>
          </m:dPr>
          <m:e>
            <m:r>
              <m:t>β</m:t>
            </m:r>
            <m:r>
              <m:rPr>
                <m:sty m:val="p"/>
              </m:rPr>
              <m:t>−</m:t>
            </m:r>
            <m:r>
              <m:t>1</m:t>
            </m:r>
          </m:e>
        </m:d>
        <m:r>
          <m:rPr>
            <m:sty m:val="p"/>
          </m:rPr>
          <m:t>&gt;</m:t>
        </m:r>
        <m:r>
          <m:t>1</m:t>
        </m:r>
      </m:oMath>
      <w:r>
        <w:t xml:space="preserve"> </w:t>
      </w:r>
      <w:r>
        <w:t xml:space="preserve">gives the strict excess over the NPV threshold.</w:t>
      </w:r>
      <w:r>
        <w:t xml:space="preserve"> </w:t>
      </w:r>
      <m:oMath>
        <m:r>
          <m:rPr>
            <m:sty m:val="p"/>
          </m:rPr>
          <m:t>▫</m:t>
        </m:r>
      </m:oMath>
    </w:p>
    <w:p>
      <w:pPr>
        <w:pStyle w:val="FirstParagraph"/>
      </w:pPr>
      <w:r>
        <w:rPr>
          <w:bCs/>
          <w:b/>
        </w:rPr>
        <w:t xml:space="preserve">Proof of Proposition 2.</w:t>
      </w:r>
      <w:r>
        <w:t xml:space="preserve"> </w:t>
      </w:r>
      <w:r>
        <w:t xml:space="preserve">(a) An option is worth at least its immediate exercise value, so</w:t>
      </w:r>
      <w:r>
        <w:t xml:space="preserve"> </w:t>
      </w:r>
      <m:oMath>
        <m:sSub>
          <m:e>
            <m:r>
              <m:t>F</m:t>
            </m:r>
          </m:e>
          <m:sub>
            <m:r>
              <m:t>C</m:t>
            </m:r>
          </m:sub>
        </m:sSub>
        <m:d>
          <m:dPr>
            <m:begChr m:val="("/>
            <m:endChr m:val=")"/>
            <m:sepChr m:val=""/>
            <m:grow/>
          </m:dPr>
          <m:e>
            <m:r>
              <m:t>v</m:t>
            </m:r>
          </m:e>
        </m:d>
        <m:r>
          <m:rPr>
            <m:sty m:val="p"/>
          </m:rPr>
          <m:t>≥</m:t>
        </m:r>
        <m:sSub>
          <m:e>
            <m:r>
              <m:t>k</m:t>
            </m:r>
          </m:e>
          <m:sub>
            <m:r>
              <m:t>C</m:t>
            </m:r>
          </m:sub>
        </m:sSub>
        <m:r>
          <m:t>v</m:t>
        </m:r>
        <m:r>
          <m:rPr>
            <m:sty m:val="p"/>
          </m:rPr>
          <m:t>−</m:t>
        </m:r>
        <m:sSub>
          <m:e>
            <m:r>
              <m:t>C</m:t>
            </m:r>
          </m:e>
          <m:sub>
            <m:r>
              <m:t>N</m:t>
            </m:r>
          </m:sub>
        </m:sSub>
      </m:oMath>
      <w:r>
        <w:t xml:space="preserve">, that is</w:t>
      </w:r>
      <w:r>
        <w:t xml:space="preserve"> </w:t>
      </w:r>
      <m:oMath>
        <m:sSub>
          <m:e>
            <m:r>
              <m:t>W</m:t>
            </m:r>
          </m:e>
          <m:sub>
            <m:r>
              <m:t>C</m:t>
            </m:r>
          </m:sub>
        </m:sSub>
        <m:d>
          <m:dPr>
            <m:begChr m:val="("/>
            <m:endChr m:val=")"/>
            <m:sepChr m:val=""/>
            <m:grow/>
          </m:dPr>
          <m:e>
            <m:r>
              <m:t>v</m:t>
            </m:r>
          </m:e>
        </m:d>
        <m:r>
          <m:rPr>
            <m:sty m:val="p"/>
          </m:rPr>
          <m:t>≤</m:t>
        </m:r>
        <m:sSub>
          <m:e>
            <m:r>
              <m:t>C</m:t>
            </m:r>
          </m:e>
          <m:sub>
            <m:r>
              <m:t>N</m:t>
            </m:r>
          </m:sub>
        </m:sSub>
      </m:oMath>
      <w:r>
        <w:t xml:space="preserve">. Equality holds only on</w:t>
      </w:r>
      <w:r>
        <w:t xml:space="preserve"> </w:t>
      </w:r>
      <m:oMath>
        <m:r>
          <m:t>v</m:t>
        </m:r>
        <m:r>
          <m:rPr>
            <m:sty m:val="p"/>
          </m:rPr>
          <m:t>≥</m:t>
        </m:r>
        <m:sSubSup>
          <m:e>
            <m:r>
              <m:t>v</m:t>
            </m:r>
          </m:e>
          <m:sub>
            <m:r>
              <m:t>C</m:t>
            </m:r>
          </m:sub>
          <m:sup>
            <m:r>
              <m:rPr>
                <m:sty m:val="p"/>
              </m:rPr>
              <m:t>*</m:t>
            </m:r>
          </m:sup>
        </m:sSubSup>
      </m:oMath>
      <w:r>
        <w:t xml:space="preserve">. (b) Any</w:t>
      </w:r>
      <w:r>
        <w:t xml:space="preserve"> </w:t>
      </w:r>
      <m:oMath>
        <m:r>
          <m:t>v</m:t>
        </m:r>
      </m:oMath>
      <w:r>
        <w:t xml:space="preserve"> </w:t>
      </w:r>
      <w:r>
        <w:t xml:space="preserve">at which</w:t>
      </w:r>
      <w:r>
        <w:t xml:space="preserve"> </w:t>
      </w:r>
      <m:oMath>
        <m:r>
          <m:t>A</m:t>
        </m:r>
      </m:oMath>
      <w:r>
        <w:t xml:space="preserve"> </w:t>
      </w:r>
      <w:r>
        <w:t xml:space="preserve">is uniquely optimal must satisfy</w:t>
      </w:r>
      <w:r>
        <w:t xml:space="preserve"> </w:t>
      </w:r>
      <m:oMath>
        <m:sSub>
          <m:e>
            <m:r>
              <m:t>W</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oMath>
      <w:r>
        <w:t xml:space="preserve">. Because</w:t>
      </w:r>
      <w:r>
        <w:t xml:space="preserve"> </w:t>
      </w:r>
      <m:oMath>
        <m:sSub>
          <m:e>
            <m:r>
              <m:t>W</m:t>
            </m:r>
          </m:e>
          <m:sub>
            <m:r>
              <m:t>A</m:t>
            </m:r>
          </m:sub>
        </m:sSub>
        <m:d>
          <m:dPr>
            <m:begChr m:val="("/>
            <m:endChr m:val=")"/>
            <m:sepChr m:val=""/>
            <m:grow/>
          </m:dPr>
          <m:e>
            <m:r>
              <m:t>v</m:t>
            </m:r>
          </m:e>
        </m:d>
        <m:r>
          <m:rPr>
            <m:sty m:val="p"/>
          </m:rPr>
          <m:t>=</m:t>
        </m:r>
        <m:sSub>
          <m:e>
            <m:r>
              <m:t>C</m:t>
            </m:r>
          </m:e>
          <m:sub>
            <m:r>
              <m:t>A</m:t>
            </m:r>
          </m:sub>
        </m:sSub>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oMath>
      <w:r>
        <w:t xml:space="preserve">, the highest</w:t>
      </w:r>
      <w:r>
        <w:t xml:space="preserve"> </w:t>
      </w:r>
      <m:oMath>
        <m:sSub>
          <m:e>
            <m:r>
              <m:t>C</m:t>
            </m:r>
          </m:e>
          <m:sub>
            <m:r>
              <m:t>A</m:t>
            </m:r>
          </m:sub>
        </m:sSub>
      </m:oMath>
      <w:r>
        <w:t xml:space="preserve"> </w:t>
      </w:r>
      <w:r>
        <w:t xml:space="preserve">that can satisfy the inequality for some</w:t>
      </w:r>
      <w:r>
        <w:t xml:space="preserve"> </w:t>
      </w:r>
      <m:oMath>
        <m:r>
          <m:t>v</m:t>
        </m:r>
      </m:oMath>
      <w:r>
        <w:t xml:space="preserve"> </w:t>
      </w:r>
      <w:r>
        <w:t xml:space="preserve">is</w:t>
      </w:r>
    </w:p>
    <w:p>
      <w:pPr>
        <w:pStyle w:val="BodyText"/>
      </w:pPr>
      <m:oMathPara>
        <m:oMathParaPr>
          <m:jc m:val="center"/>
        </m:oMathParaPr>
        <m:oMath>
          <m:r>
            <m:t>Γ</m:t>
          </m:r>
          <m:r>
            <m:rPr>
              <m:sty m:val="p"/>
            </m:rPr>
            <m:t>=</m:t>
          </m:r>
          <m:limLow>
            <m:e>
              <m:r>
                <m:rPr>
                  <m:sty m:val="p"/>
                </m:rPr>
                <m:t>sup</m:t>
              </m:r>
            </m:e>
            <m:lim>
              <m:r>
                <m:t>v</m:t>
              </m:r>
            </m:lim>
          </m:limLow>
          <m:d>
            <m:dPr>
              <m:begChr m:val="("/>
              <m:endChr m:val=")"/>
              <m:sepChr m:val=""/>
              <m:grow/>
            </m:dPr>
            <m:e>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e>
          </m:d>
          <m:r>
            <m:rPr>
              <m:sty m:val="p"/>
            </m:rPr>
            <m:t>.</m:t>
          </m:r>
        </m:oMath>
      </m:oMathPara>
    </w:p>
    <w:p>
      <w:pPr>
        <w:pStyle w:val="FirstParagraph"/>
      </w:pPr>
      <w:r>
        <w:t xml:space="preserve">The optimizer cannot lie in</w:t>
      </w:r>
      <w:r>
        <w:t xml:space="preserve"> </w:t>
      </w:r>
      <m:oMath>
        <m:r>
          <m:t>v</m:t>
        </m:r>
        <m:r>
          <m:rPr>
            <m:sty m:val="p"/>
          </m:rPr>
          <m:t>≥</m:t>
        </m:r>
        <m:sSubSup>
          <m:e>
            <m:r>
              <m:t>v</m:t>
            </m:r>
          </m:e>
          <m:sub>
            <m:r>
              <m:t>C</m:t>
            </m:r>
          </m:sub>
          <m:sup>
            <m:r>
              <m:rPr>
                <m:sty m:val="p"/>
              </m:rPr>
              <m:t>*</m:t>
            </m:r>
          </m:sup>
        </m:sSubSup>
      </m:oMath>
      <w:r>
        <w:t xml:space="preserve">, where both copy and immediate retraining cost</w:t>
      </w:r>
      <w:r>
        <w:t xml:space="preserve"> </w:t>
      </w:r>
      <m:oMath>
        <m:sSub>
          <m:e>
            <m:r>
              <m:t>C</m:t>
            </m:r>
          </m:e>
          <m:sub>
            <m:r>
              <m:t>N</m:t>
            </m:r>
          </m:sub>
        </m:sSub>
      </m:oMath>
      <w:r>
        <w:t xml:space="preserve"> </w:t>
      </w:r>
      <w:r>
        <w:t xml:space="preserve">and</w:t>
      </w:r>
      <w:r>
        <w:t xml:space="preserve"> </w:t>
      </w:r>
      <m:oMath>
        <m:sSub>
          <m:e>
            <m:r>
              <m:t>W</m:t>
            </m:r>
          </m:e>
          <m:sub>
            <m:r>
              <m:t>A</m:t>
            </m:r>
          </m:sub>
        </m:sSub>
        <m:r>
          <m:rPr>
            <m:sty m:val="p"/>
          </m:rPr>
          <m:t>≥</m:t>
        </m:r>
        <m:sSub>
          <m:e>
            <m:r>
              <m:t>C</m:t>
            </m:r>
          </m:e>
          <m:sub>
            <m:r>
              <m:t>A</m:t>
            </m:r>
          </m:sub>
        </m:sSub>
      </m:oMath>
      <w:r>
        <w:t xml:space="preserve">, nor at</w:t>
      </w:r>
      <w:r>
        <w:t xml:space="preserve"> </w:t>
      </w:r>
      <m:oMath>
        <m:r>
          <m:t>v</m:t>
        </m:r>
        <m:r>
          <m:rPr>
            <m:sty m:val="p"/>
          </m:rPr>
          <m:t>=</m:t>
        </m:r>
        <m:r>
          <m:t>0</m:t>
        </m:r>
      </m:oMath>
      <w:r>
        <w:t xml:space="preserve">, where</w:t>
      </w:r>
      <w:r>
        <w:t xml:space="preserve"> </w:t>
      </w:r>
      <m:oMath>
        <m:sSub>
          <m:e>
            <m:r>
              <m:t>W</m:t>
            </m:r>
          </m:e>
          <m:sub>
            <m:r>
              <m:t>A</m:t>
            </m:r>
          </m:sub>
        </m:sSub>
        <m:r>
          <m:rPr>
            <m:sty m:val="p"/>
          </m:rPr>
          <m:t>=</m:t>
        </m:r>
        <m:sSub>
          <m:e>
            <m:r>
              <m:t>C</m:t>
            </m:r>
          </m:e>
          <m:sub>
            <m:r>
              <m:t>A</m:t>
            </m:r>
          </m:sub>
        </m:sSub>
        <m:r>
          <m:rPr>
            <m:sty m:val="p"/>
          </m:rPr>
          <m:t>&gt;</m:t>
        </m:r>
        <m:sSub>
          <m:e>
            <m:r>
              <m:t>W</m:t>
            </m:r>
          </m:e>
          <m:sub>
            <m:r>
              <m:t>C</m:t>
            </m:r>
          </m:sub>
        </m:sSub>
        <m:r>
          <m:rPr>
            <m:sty m:val="p"/>
          </m:rPr>
          <m:t>=</m:t>
        </m:r>
        <m:r>
          <m:t>0</m:t>
        </m:r>
      </m:oMath>
      <w:r>
        <w:t xml:space="preserve"> </w:t>
      </w:r>
      <w:r>
        <w:t xml:space="preserve">whenever</w:t>
      </w:r>
      <w:r>
        <w:t xml:space="preserve"> </w:t>
      </w:r>
      <m:oMath>
        <m:sSub>
          <m:e>
            <m:r>
              <m:t>C</m:t>
            </m:r>
          </m:e>
          <m:sub>
            <m:r>
              <m:t>A</m:t>
            </m:r>
          </m:sub>
        </m:sSub>
        <m:r>
          <m:rPr>
            <m:sty m:val="p"/>
          </m:rPr>
          <m:t>&gt;</m:t>
        </m:r>
        <m:r>
          <m:t>0</m:t>
        </m:r>
      </m:oMath>
      <w:r>
        <w:t xml:space="preserve">. Hence the</w:t>
      </w:r>
      <w:r>
        <w:t xml:space="preserve"> </w:t>
      </w:r>
      <m:oMath>
        <m:r>
          <m:t>A</m:t>
        </m:r>
      </m:oMath>
      <w:r>
        <w:t xml:space="preserve">-region, when nonempty, is intermediate.</w:t>
      </w:r>
      <w:r>
        <w:t xml:space="preserve"> </w:t>
      </w:r>
      <m:oMath>
        <m:r>
          <m:rPr>
            <m:sty m:val="p"/>
          </m:rPr>
          <m:t>▫</m:t>
        </m:r>
      </m:oMath>
    </w:p>
    <w:p>
      <w:pPr>
        <w:pStyle w:val="BodyText"/>
      </w:pPr>
      <w:r>
        <w:rPr>
          <w:bCs/>
          <w:b/>
        </w:rPr>
        <w:t xml:space="preserve">Proof of Proposition 3.</w:t>
      </w:r>
      <w:r>
        <w:t xml:space="preserve"> </w:t>
      </w:r>
      <w:r>
        <w:t xml:space="preserve">(a) The owner’s first-order condition is</w:t>
      </w:r>
      <w:r>
        <w:t xml:space="preserve"> </w:t>
      </w:r>
      <m:oMath>
        <m:r>
          <m:t>ψ</m:t>
        </m:r>
        <m:r>
          <m:rPr>
            <m:sty m:val="p"/>
          </m:rPr>
          <m:t>−</m:t>
        </m:r>
        <m:r>
          <m:t>c</m:t>
        </m:r>
        <m:r>
          <m:t>μ</m:t>
        </m:r>
        <m:r>
          <m:rPr>
            <m:sty m:val="p"/>
          </m:rPr>
          <m:t>+</m:t>
        </m:r>
        <m:r>
          <m:t>θ</m:t>
        </m:r>
        <m:r>
          <m:t>n</m:t>
        </m:r>
        <m:d>
          <m:dPr>
            <m:begChr m:val="("/>
            <m:endChr m:val=")"/>
            <m:sepChr m:val=""/>
            <m:grow/>
          </m:dPr>
          <m:e>
            <m:r>
              <m:t>b</m:t>
            </m:r>
            <m:r>
              <m:rPr>
                <m:sty m:val="p"/>
              </m:rPr>
              <m:t>−</m:t>
            </m:r>
            <m:r>
              <m:rPr>
                <m:sty m:val="p"/>
              </m:rPr>
              <m:t>∂</m:t>
            </m:r>
            <m:r>
              <m:t>E</m:t>
            </m:r>
            <m:d>
              <m:dPr>
                <m:begChr m:val="["/>
                <m:endChr m:val="]"/>
                <m:sepChr m:val=""/>
                <m:grow/>
              </m:dPr>
              <m:e>
                <m:r>
                  <m:t>m</m:t>
                </m:r>
              </m:e>
            </m:d>
            <m:r>
              <m:rPr>
                <m:sty m:val="p"/>
              </m:rPr>
              <m:t>/</m:t>
            </m:r>
            <m:r>
              <m:rPr>
                <m:sty m:val="p"/>
              </m:rPr>
              <m:t>∂</m:t>
            </m:r>
            <m:r>
              <m:t>μ</m:t>
            </m:r>
          </m:e>
        </m:d>
        <m:r>
          <m:rPr>
            <m:sty m:val="p"/>
          </m:rPr>
          <m:t>=</m:t>
        </m:r>
        <m:r>
          <m:t>0</m:t>
        </m:r>
      </m:oMath>
      <w:r>
        <w:t xml:space="preserve">. At</w:t>
      </w:r>
      <w:r>
        <w:t xml:space="preserve"> </w:t>
      </w:r>
      <m:oMath>
        <m:acc>
          <m:accPr>
            <m:chr m:val="̂"/>
          </m:accPr>
          <m:e>
            <m:r>
              <m:t>v</m:t>
            </m:r>
          </m:e>
        </m:acc>
      </m:oMath>
      <w:r>
        <w:t xml:space="preserve"> </w:t>
      </w:r>
      <w:r>
        <w:t xml:space="preserve">the two instruments have equal burden, so the Leibniz term from moving</w:t>
      </w:r>
      <w:r>
        <w:t xml:space="preserve"> </w:t>
      </w:r>
      <m:oMath>
        <m:acc>
          <m:accPr>
            <m:chr m:val="̂"/>
          </m:accPr>
          <m:e>
            <m:r>
              <m:t>v</m:t>
            </m:r>
          </m:e>
        </m:acc>
      </m:oMath>
      <w:r>
        <w:t xml:space="preserve"> </w:t>
      </w:r>
      <w:r>
        <w:t xml:space="preserve">vanishes. Under the uniform law with</w:t>
      </w:r>
      <w:r>
        <w:t xml:space="preserve"> </w:t>
      </w:r>
      <m:oMath>
        <m:r>
          <m:t>κ</m:t>
        </m:r>
        <m:d>
          <m:dPr>
            <m:begChr m:val="("/>
            <m:endChr m:val=")"/>
            <m:sepChr m:val=""/>
            <m:grow/>
          </m:dPr>
          <m:e>
            <m:r>
              <m:t>ρ</m:t>
            </m:r>
            <m:r>
              <m:rPr>
                <m:sty m:val="p"/>
              </m:rPr>
              <m:t>+</m:t>
            </m:r>
            <m:r>
              <m:t>μ</m:t>
            </m:r>
          </m:e>
        </m:d>
        <m:r>
          <m:rPr>
            <m:sty m:val="p"/>
          </m:rPr>
          <m:t>≤</m:t>
        </m:r>
        <m:r>
          <m:t>1</m:t>
        </m:r>
      </m:oMath>
      <w:r>
        <w:t xml:space="preserve">,</w:t>
      </w:r>
    </w:p>
    <w:p>
      <w:pPr>
        <w:pStyle w:val="BodyText"/>
      </w:pPr>
      <m:oMathPara>
        <m:oMathParaPr>
          <m:jc m:val="center"/>
        </m:oMathParaPr>
        <m:oMath>
          <m:r>
            <m:t>E</m:t>
          </m:r>
          <m:d>
            <m:dPr>
              <m:begChr m:val="["/>
              <m:endChr m:val="]"/>
              <m:sepChr m:val=""/>
              <m:grow/>
            </m:dPr>
            <m:e>
              <m:r>
                <m:t>m</m:t>
              </m:r>
            </m:e>
          </m:d>
          <m:r>
            <m:rPr>
              <m:sty m:val="p"/>
            </m:rPr>
            <m:t>=</m:t>
          </m:r>
          <m:nary>
            <m:naryPr>
              <m:chr m:val="∫"/>
              <m:limLoc m:val="subSup"/>
              <m:subHide m:val="off"/>
              <m:supHide m:val="off"/>
            </m:naryPr>
            <m:sub>
              <m:r>
                <m:t>0</m:t>
              </m:r>
            </m:sub>
            <m:sup>
              <m:acc>
                <m:accPr>
                  <m:chr m:val="̂"/>
                </m:accPr>
                <m:e>
                  <m:r>
                    <m:t>v</m:t>
                  </m:r>
                </m:e>
              </m:acc>
            </m:sup>
            <m:e>
              <m:f>
                <m:fPr>
                  <m:type m:val="bar"/>
                </m:fPr>
                <m:num>
                  <m:d>
                    <m:dPr>
                      <m:begChr m:val="("/>
                      <m:endChr m:val=")"/>
                      <m:sepChr m:val=""/>
                      <m:grow/>
                    </m:dPr>
                    <m:e>
                      <m:r>
                        <m:t>1</m:t>
                      </m:r>
                      <m:r>
                        <m:rPr>
                          <m:sty m:val="p"/>
                        </m:rPr>
                        <m:t>−</m:t>
                      </m:r>
                      <m:r>
                        <m:t>R</m:t>
                      </m:r>
                    </m:e>
                  </m:d>
                  <m:r>
                    <m:t>v</m:t>
                  </m:r>
                  <m:r>
                    <m:t>μ</m:t>
                  </m:r>
                </m:num>
                <m:den>
                  <m:r>
                    <m:t>ρ</m:t>
                  </m:r>
                  <m:d>
                    <m:dPr>
                      <m:begChr m:val="("/>
                      <m:endChr m:val=")"/>
                      <m:sepChr m:val=""/>
                      <m:grow/>
                    </m:dPr>
                    <m:e>
                      <m:r>
                        <m:t>ρ</m:t>
                      </m:r>
                      <m:r>
                        <m:rPr>
                          <m:sty m:val="p"/>
                        </m:rPr>
                        <m:t>+</m:t>
                      </m:r>
                      <m:r>
                        <m:t>μ</m:t>
                      </m:r>
                    </m:e>
                  </m:d>
                </m:den>
              </m:f>
            </m:e>
          </m:nary>
          <m:f>
            <m:fPr>
              <m:type m:val="bar"/>
            </m:fPr>
            <m:num>
              <m:r>
                <m:t>d</m:t>
              </m:r>
              <m:r>
                <m:t>v</m:t>
              </m:r>
            </m:num>
            <m:den>
              <m:acc>
                <m:accPr>
                  <m:chr m:val="‾"/>
                </m:accPr>
                <m:e>
                  <m:r>
                    <m:t>v</m:t>
                  </m:r>
                </m:e>
              </m:acc>
            </m:den>
          </m:f>
          <m:r>
            <m:rPr>
              <m:sty m:val="p"/>
            </m:rPr>
            <m:t>+</m:t>
          </m:r>
          <m:nary>
            <m:naryPr>
              <m:chr m:val="∫"/>
              <m:limLoc m:val="subSup"/>
              <m:subHide m:val="off"/>
              <m:supHide m:val="off"/>
            </m:naryPr>
            <m:sub>
              <m:acc>
                <m:accPr>
                  <m:chr m:val="̂"/>
                </m:accPr>
                <m:e>
                  <m:r>
                    <m:t>v</m:t>
                  </m:r>
                </m:e>
              </m:acc>
            </m:sub>
            <m:sup>
              <m:acc>
                <m:accPr>
                  <m:chr m:val="‾"/>
                </m:accPr>
                <m:e>
                  <m:r>
                    <m:t>v</m:t>
                  </m:r>
                </m:e>
              </m:acc>
            </m:sup>
            <m:e>
              <m:f>
                <m:fPr>
                  <m:type m:val="bar"/>
                </m:fPr>
                <m:num>
                  <m:r>
                    <m:t>μ</m:t>
                  </m:r>
                  <m:sSub>
                    <m:e>
                      <m:r>
                        <m:t>C</m:t>
                      </m:r>
                    </m:e>
                    <m:sub>
                      <m:r>
                        <m:t>N</m:t>
                      </m:r>
                    </m:sub>
                  </m:sSub>
                </m:num>
                <m:den>
                  <m:r>
                    <m:t>ρ</m:t>
                  </m:r>
                </m:den>
              </m:f>
            </m:e>
          </m:nary>
          <m:f>
            <m:fPr>
              <m:type m:val="bar"/>
            </m:fPr>
            <m:num>
              <m:r>
                <m:t>d</m:t>
              </m:r>
              <m:r>
                <m:t>v</m:t>
              </m:r>
            </m:num>
            <m:den>
              <m:acc>
                <m:accPr>
                  <m:chr m:val="‾"/>
                </m:accPr>
                <m:e>
                  <m:r>
                    <m:t>v</m:t>
                  </m:r>
                </m:e>
              </m:acc>
            </m:den>
          </m:f>
          <m:r>
            <m:rPr>
              <m:sty m:val="p"/>
            </m:rPr>
            <m:t>=</m:t>
          </m:r>
          <m:f>
            <m:fPr>
              <m:type m:val="bar"/>
            </m:fPr>
            <m:num>
              <m:r>
                <m:t>μ</m:t>
              </m:r>
              <m:sSub>
                <m:e>
                  <m:r>
                    <m:t>C</m:t>
                  </m:r>
                </m:e>
                <m:sub>
                  <m:r>
                    <m:t>N</m:t>
                  </m:r>
                </m:sub>
              </m:sSub>
            </m:num>
            <m:den>
              <m:r>
                <m:t>ρ</m:t>
              </m:r>
            </m:den>
          </m:f>
          <m:d>
            <m:dPr>
              <m:begChr m:val="("/>
              <m:endChr m:val=")"/>
              <m:sepChr m:val=""/>
              <m:grow/>
            </m:dPr>
            <m:e>
              <m:r>
                <m:t>1</m:t>
              </m:r>
              <m:r>
                <m:rPr>
                  <m:sty m:val="p"/>
                </m:rPr>
                <m:t>−</m:t>
              </m:r>
              <m:f>
                <m:fPr>
                  <m:type m:val="bar"/>
                </m:fPr>
                <m:num>
                  <m:r>
                    <m:t>κ</m:t>
                  </m:r>
                  <m:d>
                    <m:dPr>
                      <m:begChr m:val="("/>
                      <m:endChr m:val=")"/>
                      <m:sepChr m:val=""/>
                      <m:grow/>
                    </m:dPr>
                    <m:e>
                      <m:r>
                        <m:t>ρ</m:t>
                      </m:r>
                      <m:r>
                        <m:rPr>
                          <m:sty m:val="p"/>
                        </m:rPr>
                        <m:t>+</m:t>
                      </m:r>
                      <m:r>
                        <m:t>μ</m:t>
                      </m:r>
                    </m:e>
                  </m:d>
                </m:num>
                <m:den>
                  <m:r>
                    <m:t>2</m:t>
                  </m:r>
                </m:den>
              </m:f>
            </m:e>
          </m:d>
          <m:r>
            <m:rPr>
              <m:sty m:val="p"/>
            </m:rPr>
            <m:t>.</m:t>
          </m:r>
        </m:oMath>
      </m:oMathPara>
    </w:p>
    <w:p>
      <w:pPr>
        <w:pStyle w:val="FirstParagraph"/>
      </w:pPr>
      <w:r>
        <w:t xml:space="preserve">Then</w:t>
      </w:r>
      <w:r>
        <w:t xml:space="preserve"> </w:t>
      </w:r>
      <m:oMath>
        <m:r>
          <m:rPr>
            <m:sty m:val="p"/>
          </m:rPr>
          <m:t>∂</m:t>
        </m:r>
        <m:r>
          <m:t>E</m:t>
        </m:r>
        <m:d>
          <m:dPr>
            <m:begChr m:val="["/>
            <m:endChr m:val="]"/>
            <m:sepChr m:val=""/>
            <m:grow/>
          </m:dPr>
          <m:e>
            <m:r>
              <m:t>m</m:t>
            </m:r>
          </m:e>
        </m:d>
        <m:r>
          <m:rPr>
            <m:sty m:val="p"/>
          </m:rPr>
          <m:t>/</m:t>
        </m:r>
        <m:r>
          <m:rPr>
            <m:sty m:val="p"/>
          </m:rPr>
          <m:t>∂</m:t>
        </m:r>
        <m:r>
          <m:t>μ</m:t>
        </m:r>
        <m:r>
          <m:rPr>
            <m:sty m:val="p"/>
          </m:rPr>
          <m:t>=</m:t>
        </m:r>
        <m:d>
          <m:dPr>
            <m:begChr m:val="("/>
            <m:endChr m:val=")"/>
            <m:sepChr m:val=""/>
            <m:grow/>
          </m:dPr>
          <m:e>
            <m:sSub>
              <m:e>
                <m:r>
                  <m:t>C</m:t>
                </m:r>
              </m:e>
              <m:sub>
                <m:r>
                  <m:t>N</m:t>
                </m:r>
              </m:sub>
            </m:sSub>
            <m:r>
              <m:rPr>
                <m:sty m:val="p"/>
              </m:rPr>
              <m:t>/</m:t>
            </m:r>
            <m:r>
              <m:t>ρ</m:t>
            </m:r>
          </m:e>
        </m:d>
        <m:d>
          <m:dPr>
            <m:begChr m:val="("/>
            <m:endChr m:val=")"/>
            <m:sepChr m:val=""/>
            <m:grow/>
          </m:dPr>
          <m:e>
            <m:r>
              <m:t>1</m:t>
            </m:r>
            <m:r>
              <m:rPr>
                <m:sty m:val="p"/>
              </m:rPr>
              <m:t>−</m:t>
            </m:r>
            <m:r>
              <m:t>κ</m:t>
            </m:r>
            <m:r>
              <m:t>ρ</m:t>
            </m:r>
            <m:r>
              <m:rPr>
                <m:sty m:val="p"/>
              </m:rPr>
              <m:t>/</m:t>
            </m:r>
            <m:r>
              <m:t>2</m:t>
            </m:r>
          </m:e>
        </m:d>
        <m:r>
          <m:rPr>
            <m:sty m:val="p"/>
          </m:rPr>
          <m:t>−</m:t>
        </m:r>
        <m:r>
          <m:t>μ</m:t>
        </m:r>
        <m:sSub>
          <m:e>
            <m:r>
              <m:t>C</m:t>
            </m:r>
          </m:e>
          <m:sub>
            <m:r>
              <m:t>N</m:t>
            </m:r>
          </m:sub>
        </m:sSub>
        <m:r>
          <m:t>κ</m:t>
        </m:r>
        <m:r>
          <m:rPr>
            <m:sty m:val="p"/>
          </m:rPr>
          <m:t>/</m:t>
        </m:r>
        <m:r>
          <m:t>ρ</m:t>
        </m:r>
      </m:oMath>
      <w:r>
        <w:t xml:space="preserve">, which produces</w:t>
      </w:r>
      <w:r>
        <w:t xml:space="preserve"> </w:t>
      </w:r>
      <m:oMath>
        <m:r>
          <m:t>X</m:t>
        </m:r>
      </m:oMath>
      <w:r>
        <w:t xml:space="preserve"> </w:t>
      </w:r>
      <w:r>
        <w:t xml:space="preserve">and</w:t>
      </w:r>
      <w:r>
        <w:t xml:space="preserve"> </w:t>
      </w:r>
      <m:oMath>
        <m:r>
          <m:t>Y</m:t>
        </m:r>
      </m:oMath>
      <w:r>
        <w:t xml:space="preserve"> </w:t>
      </w:r>
      <w:r>
        <w:t xml:space="preserve">and the closed form. Concavity requires</w:t>
      </w:r>
      <w:r>
        <w:t xml:space="preserve"> </w:t>
      </w:r>
      <m:oMath>
        <m:r>
          <m:t>c</m:t>
        </m:r>
        <m:r>
          <m:rPr>
            <m:sty m:val="p"/>
          </m:rPr>
          <m:t>&gt;</m:t>
        </m:r>
        <m:r>
          <m:t>θ</m:t>
        </m:r>
        <m:r>
          <m:t>Y</m:t>
        </m:r>
      </m:oMath>
      <w:r>
        <w:t xml:space="preserve">.</w:t>
      </w:r>
    </w:p>
    <w:p>
      <w:pPr>
        <w:numPr>
          <w:ilvl w:val="0"/>
          <w:numId w:val="1003"/>
        </w:numPr>
        <w:pStyle w:val="Compact"/>
      </w:pPr>
      <w:r>
        <w:t xml:space="preserve">Substituting the owner’s first-order condition into the planner’s derivative gives</w:t>
      </w:r>
      <w:r>
        <w:t xml:space="preserve"> </w:t>
      </w:r>
      <m:oMath>
        <m:r>
          <m:rPr>
            <m:sty m:val="p"/>
            <m:scr m:val="script"/>
          </m:rPr>
          <m:t>W</m:t>
        </m:r>
        <m:r>
          <m:rPr>
            <m:sty m:val="p"/>
          </m:rPr>
          <m:t>′</m:t>
        </m:r>
        <m:d>
          <m:dPr>
            <m:begChr m:val="("/>
            <m:endChr m:val=")"/>
            <m:sepChr m:val=""/>
            <m:grow/>
          </m:dPr>
          <m:e>
            <m:sSub>
              <m:e>
                <m:r>
                  <m:t>μ</m:t>
                </m:r>
              </m:e>
              <m:sub>
                <m:r>
                  <m:t>V</m:t>
                </m:r>
              </m:sub>
            </m:sSub>
          </m:e>
        </m:d>
        <m:r>
          <m:rPr>
            <m:sty m:val="p"/>
          </m:rPr>
          <m:t>=</m:t>
        </m:r>
        <m:d>
          <m:dPr>
            <m:begChr m:val="("/>
            <m:endChr m:val=")"/>
            <m:sepChr m:val=""/>
            <m:grow/>
          </m:dPr>
          <m:e>
            <m:r>
              <m:t>1</m:t>
            </m:r>
            <m:r>
              <m:rPr>
                <m:sty m:val="p"/>
              </m:rPr>
              <m:t>−</m:t>
            </m:r>
            <m:r>
              <m:t>θ</m:t>
            </m:r>
          </m:e>
        </m:d>
        <m:r>
          <m:t> </m:t>
        </m:r>
        <m:r>
          <m:t>n</m:t>
        </m:r>
        <m:r>
          <m:t> </m:t>
        </m:r>
        <m:r>
          <m:t>E</m:t>
        </m:r>
        <m:d>
          <m:dPr>
            <m:begChr m:val="["/>
            <m:endChr m:val="]"/>
            <m:sepChr m:val=""/>
            <m:grow/>
          </m:dPr>
          <m:e>
            <m:sSub>
              <m:e>
                <m:r>
                  <m:t>s</m:t>
                </m:r>
              </m:e>
              <m:sub>
                <m:r>
                  <m:t>μ</m:t>
                </m:r>
              </m:sub>
            </m:sSub>
            <m:d>
              <m:dPr>
                <m:begChr m:val="("/>
                <m:endChr m:val=")"/>
                <m:sepChr m:val=""/>
                <m:grow/>
              </m:dPr>
              <m:e>
                <m:sSub>
                  <m:e>
                    <m:r>
                      <m:t>μ</m:t>
                    </m:r>
                  </m:e>
                  <m:sub>
                    <m:r>
                      <m:t>V</m:t>
                    </m:r>
                  </m:sub>
                </m:sSub>
              </m:e>
            </m:d>
          </m:e>
        </m:d>
      </m:oMath>
      <w:r>
        <w:t xml:space="preserve">, which is negative if and only if</w:t>
      </w:r>
      <w:r>
        <w:t xml:space="preserve"> </w:t>
      </w:r>
      <m:oMath>
        <m:sSub>
          <m:e>
            <m:r>
              <m:t>μ</m:t>
            </m:r>
          </m:e>
          <m:sub>
            <m:r>
              <m:t>P</m:t>
            </m:r>
          </m:sub>
        </m:sSub>
        <m:r>
          <m:rPr>
            <m:sty m:val="p"/>
          </m:rPr>
          <m:t>&lt;</m:t>
        </m:r>
        <m:sSub>
          <m:e>
            <m:r>
              <m:t>μ</m:t>
            </m:r>
          </m:e>
          <m:sub>
            <m:r>
              <m:t>V</m:t>
            </m:r>
          </m:sub>
        </m:sSub>
      </m:oMath>
      <w:r>
        <w:t xml:space="preserve"> </w:t>
      </w:r>
      <w:r>
        <w:t xml:space="preserve">when</w:t>
      </w:r>
      <w:r>
        <w:t xml:space="preserve"> </w:t>
      </w:r>
      <m:oMath>
        <m:r>
          <m:rPr>
            <m:sty m:val="p"/>
            <m:scr m:val="script"/>
          </m:rPr>
          <m:t>W</m:t>
        </m:r>
      </m:oMath>
      <w:r>
        <w:t xml:space="preserve"> </w:t>
      </w:r>
      <w:r>
        <w:t xml:space="preserve">is concave. For the uniform case write</w:t>
      </w:r>
      <w:r>
        <w:t xml:space="preserve"> </w:t>
      </w:r>
      <m:oMath>
        <m:r>
          <m:t>μ</m:t>
        </m:r>
        <m:d>
          <m:dPr>
            <m:begChr m:val="("/>
            <m:endChr m:val=")"/>
            <m:sepChr m:val=""/>
            <m:grow/>
          </m:dPr>
          <m:e>
            <m:r>
              <m:t>θ</m:t>
            </m:r>
          </m:e>
        </m:d>
        <m:r>
          <m:rPr>
            <m:sty m:val="p"/>
          </m:rPr>
          <m:t>=</m:t>
        </m:r>
        <m:d>
          <m:dPr>
            <m:begChr m:val="("/>
            <m:endChr m:val=")"/>
            <m:sepChr m:val=""/>
            <m:grow/>
          </m:dPr>
          <m:e>
            <m:r>
              <m:t>ψ</m:t>
            </m:r>
            <m:r>
              <m:rPr>
                <m:sty m:val="p"/>
              </m:rPr>
              <m:t>+</m:t>
            </m:r>
            <m:r>
              <m:t>θ</m:t>
            </m:r>
            <m:r>
              <m:t>X</m:t>
            </m:r>
          </m:e>
        </m:d>
        <m:r>
          <m:rPr>
            <m:sty m:val="p"/>
          </m:rPr>
          <m:t>/</m:t>
        </m:r>
        <m:d>
          <m:dPr>
            <m:begChr m:val="("/>
            <m:endChr m:val=")"/>
            <m:sepChr m:val=""/>
            <m:grow/>
          </m:dPr>
          <m:e>
            <m:r>
              <m:t>c</m:t>
            </m:r>
            <m:r>
              <m:rPr>
                <m:sty m:val="p"/>
              </m:rPr>
              <m:t>−</m:t>
            </m:r>
            <m:r>
              <m:t>θ</m:t>
            </m:r>
            <m:r>
              <m:t>Y</m:t>
            </m:r>
          </m:e>
        </m:d>
      </m:oMath>
      <w:r>
        <w:t xml:space="preserve">. Then</w:t>
      </w:r>
      <w:r>
        <w:t xml:space="preserve"> </w:t>
      </w:r>
      <m:oMath>
        <m:r>
          <m:t>d</m:t>
        </m:r>
        <m:r>
          <m:t>μ</m:t>
        </m:r>
        <m:r>
          <m:rPr>
            <m:sty m:val="p"/>
          </m:rPr>
          <m:t>/</m:t>
        </m:r>
        <m:r>
          <m:t>d</m:t>
        </m:r>
        <m:r>
          <m:t>θ</m:t>
        </m:r>
      </m:oMath>
      <w:r>
        <w:t xml:space="preserve"> </w:t>
      </w:r>
      <w:r>
        <w:t xml:space="preserve">has the sign of</w:t>
      </w:r>
      <w:r>
        <w:t xml:space="preserve"> </w:t>
      </w:r>
      <m:oMath>
        <m:r>
          <m:t>c</m:t>
        </m:r>
        <m:r>
          <m:t>X</m:t>
        </m:r>
        <m:r>
          <m:rPr>
            <m:sty m:val="p"/>
          </m:rPr>
          <m:t>+</m:t>
        </m:r>
        <m:r>
          <m:t>ψ</m:t>
        </m:r>
        <m:r>
          <m:t>Y</m:t>
        </m:r>
      </m:oMath>
      <w:r>
        <w:t xml:space="preserve">, which does not depend on</w:t>
      </w:r>
      <w:r>
        <w:t xml:space="preserve"> </w:t>
      </w:r>
      <m:oMath>
        <m:r>
          <m:t>θ</m:t>
        </m:r>
      </m:oMath>
      <w:r>
        <w:t xml:space="preserve">. Thus</w:t>
      </w:r>
      <w:r>
        <w:t xml:space="preserve"> </w:t>
      </w:r>
      <m:oMath>
        <m:r>
          <m:t>μ</m:t>
        </m:r>
        <m:d>
          <m:dPr>
            <m:begChr m:val="("/>
            <m:endChr m:val=")"/>
            <m:sepChr m:val=""/>
            <m:grow/>
          </m:dPr>
          <m:e>
            <m:r>
              <m:t>θ</m:t>
            </m:r>
          </m:e>
        </m:d>
        <m:r>
          <m:rPr>
            <m:sty m:val="p"/>
          </m:rPr>
          <m:t>&gt;</m:t>
        </m:r>
        <m:r>
          <m:t>μ</m:t>
        </m:r>
        <m:d>
          <m:dPr>
            <m:begChr m:val="("/>
            <m:endChr m:val=")"/>
            <m:sepChr m:val=""/>
            <m:grow/>
          </m:dPr>
          <m:e>
            <m:r>
              <m:t>1</m:t>
            </m:r>
          </m:e>
        </m:d>
      </m:oMath>
      <w:r>
        <w:t xml:space="preserve"> </w:t>
      </w:r>
      <w:r>
        <w:t xml:space="preserve">for</w:t>
      </w:r>
      <w:r>
        <w:t xml:space="preserve"> </w:t>
      </w:r>
      <m:oMath>
        <m:r>
          <m:t>θ</m:t>
        </m:r>
        <m:r>
          <m:rPr>
            <m:sty m:val="p"/>
          </m:rPr>
          <m:t>&lt;</m:t>
        </m:r>
        <m:r>
          <m:t>1</m:t>
        </m:r>
      </m:oMath>
      <w:r>
        <w:t xml:space="preserve"> </w:t>
      </w:r>
      <w:r>
        <w:t xml:space="preserve">if and only if</w:t>
      </w:r>
      <w:r>
        <w:t xml:space="preserve"> </w:t>
      </w:r>
      <m:oMath>
        <m:r>
          <m:t>c</m:t>
        </m:r>
        <m:r>
          <m:t>X</m:t>
        </m:r>
        <m:r>
          <m:rPr>
            <m:sty m:val="p"/>
          </m:rPr>
          <m:t>+</m:t>
        </m:r>
        <m:r>
          <m:t>ψ</m:t>
        </m:r>
        <m:r>
          <m:t>Y</m:t>
        </m:r>
        <m:r>
          <m:rPr>
            <m:sty m:val="p"/>
          </m:rPr>
          <m:t>&lt;</m:t>
        </m:r>
        <m:r>
          <m:t>0</m:t>
        </m:r>
      </m:oMath>
      <w:r>
        <w:t xml:space="preserve">.</w:t>
      </w:r>
      <w:r>
        <w:t xml:space="preserve"> </w:t>
      </w:r>
      <m:oMath>
        <m:r>
          <m:rPr>
            <m:sty m:val="p"/>
          </m:rPr>
          <m:t>▫</m:t>
        </m:r>
      </m:oMath>
    </w:p>
    <w:p>
      <w:pPr>
        <w:pStyle w:val="FirstParagraph"/>
      </w:pPr>
      <w:r>
        <w:rPr>
          <w:bCs/>
          <w:b/>
        </w:rPr>
        <w:t xml:space="preserve">Proof of Proposition 4.</w:t>
      </w:r>
      <w:r>
        <w:t xml:space="preserve"> </w:t>
      </w:r>
      <w:r>
        <w:t xml:space="preserve">(a)</w:t>
      </w:r>
      <w:r>
        <w:t xml:space="preserve"> </w:t>
      </w:r>
      <m:oMath>
        <m:r>
          <m:t>d</m:t>
        </m:r>
        <m:sSub>
          <m:e>
            <m:r>
              <m:t>μ</m:t>
            </m:r>
          </m:e>
          <m:sub>
            <m:r>
              <m:t>V</m:t>
            </m:r>
          </m:sub>
        </m:sSub>
        <m:r>
          <m:rPr>
            <m:sty m:val="p"/>
          </m:rPr>
          <m:t>/</m:t>
        </m:r>
        <m:r>
          <m:t>d</m:t>
        </m:r>
        <m:r>
          <m:t>R</m:t>
        </m:r>
        <m:r>
          <m:rPr>
            <m:sty m:val="p"/>
          </m:rPr>
          <m:t>=</m:t>
        </m:r>
        <m:r>
          <m:rPr>
            <m:sty m:val="p"/>
          </m:rPr>
          <m:t>−</m:t>
        </m:r>
        <m:sSub>
          <m:e>
            <m:r>
              <m:t>Π</m:t>
            </m:r>
          </m:e>
          <m:sub>
            <m:r>
              <m:t>μ</m:t>
            </m:r>
            <m:r>
              <m:t>R</m:t>
            </m:r>
          </m:sub>
        </m:sSub>
        <m:r>
          <m:rPr>
            <m:sty m:val="p"/>
          </m:rPr>
          <m:t>/</m:t>
        </m:r>
        <m:sSub>
          <m:e>
            <m:r>
              <m:t>Π</m:t>
            </m:r>
          </m:e>
          <m:sub>
            <m:r>
              <m:t>μ</m:t>
            </m:r>
            <m:r>
              <m:t>μ</m:t>
            </m:r>
          </m:sub>
        </m:sSub>
      </m:oMath>
      <w:r>
        <w:t xml:space="preserve"> </w:t>
      </w:r>
      <w:r>
        <w:t xml:space="preserve">with</w:t>
      </w:r>
      <w:r>
        <w:t xml:space="preserve"> </w:t>
      </w:r>
      <m:oMath>
        <m:sSub>
          <m:e>
            <m:r>
              <m:t>Π</m:t>
            </m:r>
          </m:e>
          <m:sub>
            <m:r>
              <m:t>μ</m:t>
            </m:r>
            <m:r>
              <m:t>μ</m:t>
            </m:r>
          </m:sub>
        </m:sSub>
        <m:r>
          <m:rPr>
            <m:sty m:val="p"/>
          </m:rPr>
          <m:t>&lt;</m:t>
        </m:r>
        <m:r>
          <m:t>0</m:t>
        </m:r>
      </m:oMath>
      <w:r>
        <w:t xml:space="preserve">. Differentiating the first-order condition with respect to</w:t>
      </w:r>
      <w:r>
        <w:t xml:space="preserve"> </w:t>
      </w:r>
      <m:oMath>
        <m:r>
          <m:t>R</m:t>
        </m:r>
      </m:oMath>
      <w:r>
        <w:t xml:space="preserve">,</w:t>
      </w:r>
    </w:p>
    <w:p>
      <w:pPr>
        <w:pStyle w:val="BodyText"/>
      </w:pPr>
      <m:oMathPara>
        <m:oMathParaPr>
          <m:jc m:val="center"/>
        </m:oMathParaPr>
        <m:oMath>
          <m:sSub>
            <m:e>
              <m:r>
                <m:t>Π</m:t>
              </m:r>
            </m:e>
            <m:sub>
              <m:r>
                <m:t>μ</m:t>
              </m:r>
              <m:r>
                <m:t>R</m:t>
              </m:r>
            </m:sub>
          </m:sSub>
          <m:r>
            <m:rPr>
              <m:sty m:val="p"/>
            </m:rPr>
            <m:t>=</m:t>
          </m:r>
          <m:r>
            <m:rPr>
              <m:sty m:val="p"/>
            </m:rPr>
            <m:t>−</m:t>
          </m:r>
          <m:r>
            <m:t>θ</m:t>
          </m:r>
          <m:r>
            <m:t>n</m:t>
          </m:r>
          <m:r>
            <m:rPr>
              <m:sty m:val="p"/>
            </m:rPr>
            <m:t>⋅</m:t>
          </m:r>
          <m:f>
            <m:fPr>
              <m:type m:val="bar"/>
            </m:fPr>
            <m:num>
              <m:sSup>
                <m:e>
                  <m:r>
                    <m:rPr>
                      <m:sty m:val="p"/>
                    </m:rPr>
                    <m:t>∂</m:t>
                  </m:r>
                </m:e>
                <m:sup>
                  <m:r>
                    <m:t>2</m:t>
                  </m:r>
                </m:sup>
              </m:sSup>
              <m:r>
                <m:t>E</m:t>
              </m:r>
              <m:d>
                <m:dPr>
                  <m:begChr m:val="["/>
                  <m:endChr m:val="]"/>
                  <m:sepChr m:val=""/>
                  <m:grow/>
                </m:dPr>
                <m:e>
                  <m:r>
                    <m:t>m</m:t>
                  </m:r>
                </m:e>
              </m:d>
            </m:num>
            <m:den>
              <m:r>
                <m:rPr>
                  <m:sty m:val="p"/>
                </m:rPr>
                <m:t>∂</m:t>
              </m:r>
              <m:r>
                <m:t>μ</m:t>
              </m:r>
              <m:r>
                <m:t> </m:t>
              </m:r>
              <m:r>
                <m:rPr>
                  <m:sty m:val="p"/>
                </m:rPr>
                <m:t>∂</m:t>
              </m:r>
              <m:r>
                <m:t>R</m:t>
              </m:r>
            </m:den>
          </m:f>
          <m:r>
            <m:rPr>
              <m:sty m:val="p"/>
            </m:rPr>
            <m:t>.</m:t>
          </m:r>
        </m:oMath>
      </m:oMathPara>
    </w:p>
    <w:p>
      <w:pPr>
        <w:pStyle w:val="FirstParagraph"/>
      </w:pPr>
      <w:r>
        <w:t xml:space="preserve">The first term in that cross-partial, holding</w:t>
      </w:r>
      <w:r>
        <w:t xml:space="preserve"> </w:t>
      </w:r>
      <m:oMath>
        <m:acc>
          <m:accPr>
            <m:chr m:val="̂"/>
          </m:accPr>
          <m:e>
            <m:r>
              <m:t>v</m:t>
            </m:r>
          </m:e>
        </m:acc>
      </m:oMath>
      <w:r>
        <w:t xml:space="preserve"> </w:t>
      </w:r>
      <w:r>
        <w:t xml:space="preserve">fixed, is negative because a higher</w:t>
      </w:r>
      <w:r>
        <w:t xml:space="preserve"> </w:t>
      </w:r>
      <m:oMath>
        <m:r>
          <m:t>R</m:t>
        </m:r>
      </m:oMath>
      <w:r>
        <w:t xml:space="preserve"> </w:t>
      </w:r>
      <w:r>
        <w:t xml:space="preserve">lowers the marginal burden of transferring firms. The second term comes from</w:t>
      </w:r>
      <w:r>
        <w:t xml:space="preserve"> </w:t>
      </w:r>
      <m:oMath>
        <m:r>
          <m:rPr>
            <m:sty m:val="p"/>
          </m:rPr>
          <m:t>∂</m:t>
        </m:r>
        <m:acc>
          <m:accPr>
            <m:chr m:val="̂"/>
          </m:accPr>
          <m:e>
            <m:r>
              <m:t>v</m:t>
            </m:r>
          </m:e>
        </m:acc>
        <m:r>
          <m:rPr>
            <m:sty m:val="p"/>
          </m:rPr>
          <m:t>/</m:t>
        </m:r>
        <m:r>
          <m:rPr>
            <m:sty m:val="p"/>
          </m:rPr>
          <m:t>∂</m:t>
        </m:r>
        <m:r>
          <m:t>R</m:t>
        </m:r>
        <m:r>
          <m:rPr>
            <m:sty m:val="p"/>
          </m:rPr>
          <m:t>=</m:t>
        </m:r>
        <m:sSub>
          <m:e>
            <m:r>
              <m:t>C</m:t>
            </m:r>
          </m:e>
          <m:sub>
            <m:r>
              <m:t>N</m:t>
            </m:r>
          </m:sub>
        </m:sSub>
        <m:d>
          <m:dPr>
            <m:begChr m:val="("/>
            <m:endChr m:val=")"/>
            <m:sepChr m:val=""/>
            <m:grow/>
          </m:dPr>
          <m:e>
            <m:r>
              <m:t>ρ</m:t>
            </m:r>
            <m:r>
              <m:rPr>
                <m:sty m:val="p"/>
              </m:rPr>
              <m:t>+</m:t>
            </m:r>
            <m:r>
              <m:t>μ</m:t>
            </m:r>
          </m:e>
        </m:d>
        <m:r>
          <m:rPr>
            <m:sty m:val="p"/>
          </m:rPr>
          <m:t>/</m:t>
        </m:r>
        <m:sSup>
          <m:e>
            <m:d>
              <m:dPr>
                <m:begChr m:val="("/>
                <m:endChr m:val=")"/>
                <m:sepChr m:val=""/>
                <m:grow/>
              </m:dPr>
              <m:e>
                <m:r>
                  <m:t>1</m:t>
                </m:r>
                <m:r>
                  <m:rPr>
                    <m:sty m:val="p"/>
                  </m:rPr>
                  <m:t>−</m:t>
                </m:r>
                <m:r>
                  <m:t>R</m:t>
                </m:r>
              </m:e>
            </m:d>
          </m:e>
          <m:sup>
            <m:r>
              <m:t>2</m:t>
            </m:r>
          </m:sup>
        </m:sSup>
        <m:r>
          <m:rPr>
            <m:sty m:val="p"/>
          </m:rPr>
          <m:t>&gt;</m:t>
        </m:r>
        <m:r>
          <m:t>0</m:t>
        </m:r>
      </m:oMath>
      <w:r>
        <w:t xml:space="preserve">. At</w:t>
      </w:r>
      <w:r>
        <w:t xml:space="preserve"> </w:t>
      </w:r>
      <m:oMath>
        <m:acc>
          <m:accPr>
            <m:chr m:val="̂"/>
          </m:accPr>
          <m:e>
            <m:r>
              <m:t>v</m:t>
            </m:r>
          </m:e>
        </m:acc>
      </m:oMath>
      <w:r>
        <w:t xml:space="preserve"> </w:t>
      </w:r>
      <w:r>
        <w:t xml:space="preserve">a transferring firm’s marginal burden</w:t>
      </w:r>
      <w:r>
        <w:t xml:space="preserve"> </w:t>
      </w:r>
      <m:oMath>
        <m:sSub>
          <m:e>
            <m:r>
              <m:t>C</m:t>
            </m:r>
          </m:e>
          <m:sub>
            <m:r>
              <m:t>N</m:t>
            </m:r>
          </m:sub>
        </m:sSub>
        <m:r>
          <m:rPr>
            <m:sty m:val="p"/>
          </m:rPr>
          <m:t>/</m:t>
        </m:r>
        <m:d>
          <m:dPr>
            <m:begChr m:val="("/>
            <m:endChr m:val=")"/>
            <m:sepChr m:val=""/>
            <m:grow/>
          </m:dPr>
          <m:e>
            <m:r>
              <m:t>ρ</m:t>
            </m:r>
            <m:r>
              <m:rPr>
                <m:sty m:val="p"/>
              </m:rPr>
              <m:t>+</m:t>
            </m:r>
            <m:r>
              <m:t>μ</m:t>
            </m:r>
          </m:e>
        </m:d>
      </m:oMath>
      <w:r>
        <w:t xml:space="preserve"> </w:t>
      </w:r>
      <w:r>
        <w:t xml:space="preserve">lies below a retraining firm’s</w:t>
      </w:r>
      <w:r>
        <w:t xml:space="preserve"> </w:t>
      </w:r>
      <m:oMath>
        <m:sSub>
          <m:e>
            <m:r>
              <m:t>C</m:t>
            </m:r>
          </m:e>
          <m:sub>
            <m:r>
              <m:t>N</m:t>
            </m:r>
          </m:sub>
        </m:sSub>
        <m:r>
          <m:rPr>
            <m:sty m:val="p"/>
          </m:rPr>
          <m:t>/</m:t>
        </m:r>
        <m:r>
          <m:t>ρ</m:t>
        </m:r>
      </m:oMath>
      <w:r>
        <w:t xml:space="preserve">. Raising</w:t>
      </w:r>
      <w:r>
        <w:t xml:space="preserve"> </w:t>
      </w:r>
      <m:oMath>
        <m:acc>
          <m:accPr>
            <m:chr m:val="̂"/>
          </m:accPr>
          <m:e>
            <m:r>
              <m:t>v</m:t>
            </m:r>
          </m:e>
        </m:acc>
      </m:oMath>
      <w:r>
        <w:t xml:space="preserve"> </w:t>
      </w:r>
      <w:r>
        <w:t xml:space="preserve">therefore replaces a high marginal burden with a lower one, which again lowers</w:t>
      </w:r>
      <w:r>
        <w:t xml:space="preserve"> </w:t>
      </w:r>
      <m:oMath>
        <m:r>
          <m:rPr>
            <m:sty m:val="p"/>
          </m:rPr>
          <m:t>∂</m:t>
        </m:r>
        <m:r>
          <m:t>E</m:t>
        </m:r>
        <m:d>
          <m:dPr>
            <m:begChr m:val="["/>
            <m:endChr m:val="]"/>
            <m:sepChr m:val=""/>
            <m:grow/>
          </m:dPr>
          <m:e>
            <m:r>
              <m:t>m</m:t>
            </m:r>
          </m:e>
        </m:d>
        <m:r>
          <m:rPr>
            <m:sty m:val="p"/>
          </m:rPr>
          <m:t>/</m:t>
        </m:r>
        <m:r>
          <m:rPr>
            <m:sty m:val="p"/>
          </m:rPr>
          <m:t>∂</m:t>
        </m:r>
        <m:r>
          <m:t>μ</m:t>
        </m:r>
      </m:oMath>
      <w:r>
        <w:t xml:space="preserve">. Both terms vanish if no firm transfers or no firm retrains. Hence</w:t>
      </w:r>
      <w:r>
        <w:t xml:space="preserve"> </w:t>
      </w:r>
      <m:oMath>
        <m:sSub>
          <m:e>
            <m:r>
              <m:t>Π</m:t>
            </m:r>
          </m:e>
          <m:sub>
            <m:r>
              <m:t>μ</m:t>
            </m:r>
            <m:r>
              <m:t>R</m:t>
            </m:r>
          </m:sub>
        </m:sSub>
        <m:r>
          <m:rPr>
            <m:sty m:val="p"/>
          </m:rPr>
          <m:t>&gt;</m:t>
        </m:r>
        <m:r>
          <m:t>0</m:t>
        </m:r>
      </m:oMath>
      <w:r>
        <w:t xml:space="preserve"> </w:t>
      </w:r>
      <w:r>
        <w:t xml:space="preserve">and</w:t>
      </w:r>
      <w:r>
        <w:t xml:space="preserve"> </w:t>
      </w:r>
      <m:oMath>
        <m:r>
          <m:t>d</m:t>
        </m:r>
        <m:sSub>
          <m:e>
            <m:r>
              <m:t>μ</m:t>
            </m:r>
          </m:e>
          <m:sub>
            <m:r>
              <m:t>V</m:t>
            </m:r>
          </m:sub>
        </m:sSub>
        <m:r>
          <m:rPr>
            <m:sty m:val="p"/>
          </m:rPr>
          <m:t>/</m:t>
        </m:r>
        <m:r>
          <m:t>d</m:t>
        </m:r>
        <m:r>
          <m:t>R</m:t>
        </m:r>
        <m:r>
          <m:rPr>
            <m:sty m:val="p"/>
          </m:rPr>
          <m:t>&gt;</m:t>
        </m:r>
        <m:r>
          <m:t>0</m:t>
        </m:r>
      </m:oMath>
      <w:r>
        <w:t xml:space="preserve"> </w:t>
      </w:r>
      <w:r>
        <w:t xml:space="preserve">when</w:t>
      </w:r>
      <w:r>
        <w:t xml:space="preserve"> </w:t>
      </w:r>
      <m:oMath>
        <m:r>
          <m:t>F</m:t>
        </m:r>
      </m:oMath>
      <w:r>
        <w:t xml:space="preserve"> </w:t>
      </w:r>
      <w:r>
        <w:t xml:space="preserve">puts mass on both sides of</w:t>
      </w:r>
      <w:r>
        <w:t xml:space="preserve"> </w:t>
      </w:r>
      <m:oMath>
        <m:acc>
          <m:accPr>
            <m:chr m:val="̂"/>
          </m:accPr>
          <m:e>
            <m:r>
              <m:t>v</m:t>
            </m:r>
          </m:e>
        </m:acc>
      </m:oMath>
      <w:r>
        <w:t xml:space="preserve">.</w:t>
      </w:r>
    </w:p>
    <w:p>
      <w:pPr>
        <w:numPr>
          <w:ilvl w:val="0"/>
          <w:numId w:val="1004"/>
        </w:numPr>
        <w:pStyle w:val="Compact"/>
      </w:pPr>
      <w:r>
        <w:t xml:space="preserve">Differentiate</w:t>
      </w:r>
      <w:r>
        <w:t xml:space="preserve"> </w:t>
      </w:r>
      <m:oMath>
        <m:r>
          <m:t>s</m:t>
        </m:r>
        <m:d>
          <m:dPr>
            <m:begChr m:val="("/>
            <m:endChr m:val=")"/>
            <m:sepChr m:val=""/>
            <m:grow/>
          </m:dPr>
          <m:e>
            <m:sSub>
              <m:e>
                <m:r>
                  <m:t>μ</m:t>
                </m:r>
              </m:e>
              <m:sub>
                <m:r>
                  <m:t>V</m:t>
                </m:r>
              </m:sub>
            </m:sSub>
            <m:d>
              <m:dPr>
                <m:begChr m:val="("/>
                <m:endChr m:val=")"/>
                <m:sepChr m:val=""/>
                <m:grow/>
              </m:dPr>
              <m:e>
                <m:r>
                  <m:t>R</m:t>
                </m:r>
              </m:e>
            </m:d>
            <m:r>
              <m:rPr>
                <m:sty m:val="p"/>
              </m:rPr>
              <m:t>,</m:t>
            </m:r>
            <m:r>
              <m:t>v</m:t>
            </m:r>
            <m:r>
              <m:rPr>
                <m:sty m:val="p"/>
              </m:rPr>
              <m:t>;</m:t>
            </m:r>
            <m:r>
              <m:t>R</m:t>
            </m:r>
          </m:e>
        </m:d>
      </m:oMath>
      <w:r>
        <w:t xml:space="preserve"> </w:t>
      </w:r>
      <w:r>
        <w:t xml:space="preserve">and use part (a). A retraining firm has</w:t>
      </w:r>
      <w:r>
        <w:t xml:space="preserve"> </w:t>
      </w:r>
      <m:oMath>
        <m:r>
          <m:rPr>
            <m:sty m:val="p"/>
          </m:rPr>
          <m:t>∂</m:t>
        </m:r>
        <m:r>
          <m:t>s</m:t>
        </m:r>
        <m:r>
          <m:rPr>
            <m:sty m:val="p"/>
          </m:rPr>
          <m:t>/</m:t>
        </m:r>
        <m:r>
          <m:rPr>
            <m:sty m:val="p"/>
          </m:rPr>
          <m:t>∂</m:t>
        </m:r>
        <m:r>
          <m:t>R</m:t>
        </m:r>
        <m:sSub>
          <m:e>
            <m:r>
              <m:rPr>
                <m:sty m:val="p"/>
              </m:rPr>
              <m:t>|</m:t>
            </m:r>
          </m:e>
          <m:sub>
            <m:r>
              <m:t>μ</m:t>
            </m:r>
          </m:sub>
        </m:sSub>
        <m:r>
          <m:rPr>
            <m:sty m:val="p"/>
          </m:rPr>
          <m:t>=</m:t>
        </m:r>
        <m:r>
          <m:t>0</m:t>
        </m:r>
      </m:oMath>
      <w:r>
        <w:t xml:space="preserve"> </w:t>
      </w:r>
      <w:r>
        <w:t xml:space="preserve">and</w:t>
      </w:r>
      <w:r>
        <w:t xml:space="preserve"> </w:t>
      </w:r>
      <m:oMath>
        <m:sSub>
          <m:e>
            <m:r>
              <m:t>s</m:t>
            </m:r>
          </m:e>
          <m:sub>
            <m:r>
              <m:t>μ</m:t>
            </m:r>
          </m:sub>
        </m:sSub>
        <m:r>
          <m:rPr>
            <m:sty m:val="p"/>
          </m:rPr>
          <m:t>=</m:t>
        </m:r>
        <m:r>
          <m:t>b</m:t>
        </m:r>
        <m:r>
          <m:rPr>
            <m:sty m:val="p"/>
          </m:rPr>
          <m:t>−</m:t>
        </m:r>
        <m:sSub>
          <m:e>
            <m:r>
              <m:t>C</m:t>
            </m:r>
          </m:e>
          <m:sub>
            <m:r>
              <m:t>N</m:t>
            </m:r>
          </m:sub>
        </m:sSub>
        <m:r>
          <m:rPr>
            <m:sty m:val="p"/>
          </m:rPr>
          <m:t>/</m:t>
        </m:r>
        <m:r>
          <m:t>ρ</m:t>
        </m:r>
      </m:oMath>
      <w:r>
        <w:t xml:space="preserve">, which is negative under the maintained condition. A transferring firm with</w:t>
      </w:r>
      <w:r>
        <w:t xml:space="preserve"> </w:t>
      </w:r>
      <m:oMath>
        <m:r>
          <m:t>v</m:t>
        </m:r>
        <m:r>
          <m:rPr>
            <m:sty m:val="p"/>
          </m:rPr>
          <m:t>→</m:t>
        </m:r>
        <m:r>
          <m:t>0</m:t>
        </m:r>
      </m:oMath>
      <w:r>
        <w:t xml:space="preserve"> </w:t>
      </w:r>
      <w:r>
        <w:t xml:space="preserve">has</w:t>
      </w:r>
      <w:r>
        <w:t xml:space="preserve"> </w:t>
      </w:r>
      <m:oMath>
        <m:sSub>
          <m:e>
            <m:r>
              <m:t>s</m:t>
            </m:r>
          </m:e>
          <m:sub>
            <m:r>
              <m:t>μ</m:t>
            </m:r>
          </m:sub>
        </m:sSub>
        <m:r>
          <m:rPr>
            <m:sty m:val="p"/>
          </m:rPr>
          <m:t>→</m:t>
        </m:r>
        <m:r>
          <m:t>b</m:t>
        </m:r>
        <m:r>
          <m:rPr>
            <m:sty m:val="p"/>
          </m:rPr>
          <m:t>&gt;</m:t>
        </m:r>
        <m:r>
          <m:t>0</m:t>
        </m:r>
      </m:oMath>
      <w:r>
        <w:t xml:space="preserve"> </w:t>
      </w:r>
      <w:r>
        <w:t xml:space="preserve">and a strictly positive direct effect. Average surplus moves with</w:t>
      </w:r>
      <w:r>
        <w:t xml:space="preserve"> </w:t>
      </w:r>
      <m:oMath>
        <m:r>
          <m:t>E</m:t>
        </m:r>
        <m:d>
          <m:dPr>
            <m:begChr m:val="["/>
            <m:endChr m:val="]"/>
            <m:sepChr m:val=""/>
            <m:grow/>
          </m:dPr>
          <m:e>
            <m:sSub>
              <m:e>
                <m:r>
                  <m:t>s</m:t>
                </m:r>
              </m:e>
              <m:sub>
                <m:r>
                  <m:t>μ</m:t>
                </m:r>
              </m:sub>
            </m:sSub>
          </m:e>
        </m:d>
        <m:r>
          <m:t> </m:t>
        </m:r>
        <m:r>
          <m:t>d</m:t>
        </m:r>
        <m:sSub>
          <m:e>
            <m:r>
              <m:t>μ</m:t>
            </m:r>
          </m:e>
          <m:sub>
            <m:r>
              <m:t>V</m:t>
            </m:r>
          </m:sub>
        </m:sSub>
        <m:r>
          <m:rPr>
            <m:sty m:val="p"/>
          </m:rPr>
          <m:t>/</m:t>
        </m:r>
        <m:r>
          <m:t>d</m:t>
        </m:r>
        <m:r>
          <m:t>R</m:t>
        </m:r>
      </m:oMath>
      <w:r>
        <w:t xml:space="preserve"> </w:t>
      </w:r>
      <w:r>
        <w:t xml:space="preserve">plus the average direct effect; the first term is negative in the over-release region.</w:t>
      </w:r>
      <w:r>
        <w:t xml:space="preserve"> </w:t>
      </w:r>
      <m:oMath>
        <m:r>
          <m:rPr>
            <m:sty m:val="p"/>
          </m:rPr>
          <m:t>▫</m:t>
        </m:r>
      </m:oMath>
    </w:p>
    <w:p>
      <w:pPr>
        <w:pStyle w:val="FirstParagraph"/>
      </w:pPr>
      <w:r>
        <w:rPr>
          <w:bCs/>
          <w:b/>
        </w:rPr>
        <w:t xml:space="preserve">Proof of Proposition 5.</w:t>
      </w:r>
      <w:r>
        <w:t xml:space="preserve"> </w:t>
      </w:r>
      <w:r>
        <w:t xml:space="preserve">(a), (b), (c) At the symmetric point every type chooses each owner with probability</w:t>
      </w:r>
      <w:r>
        <w:t xml:space="preserve"> </w:t>
      </w:r>
      <m:oMath>
        <m:r>
          <m:t>φ</m:t>
        </m:r>
        <m:d>
          <m:dPr>
            <m:begChr m:val="("/>
            <m:endChr m:val=")"/>
            <m:sepChr m:val=""/>
            <m:grow/>
          </m:dPr>
          <m:e>
            <m:r>
              <m:t>v</m:t>
            </m:r>
          </m:e>
        </m:d>
        <m:r>
          <m:rPr>
            <m:sty m:val="p"/>
          </m:rPr>
          <m:t>=</m:t>
        </m:r>
        <m:r>
          <m:t>1</m:t>
        </m:r>
        <m:r>
          <m:rPr>
            <m:sty m:val="p"/>
          </m:rPr>
          <m:t>/</m:t>
        </m:r>
        <m:r>
          <m:t>2</m:t>
        </m:r>
      </m:oMath>
      <w:r>
        <w:t xml:space="preserve">, so the price first-order condition</w:t>
      </w:r>
      <w:r>
        <w:t xml:space="preserve"> </w:t>
      </w:r>
      <m:oMath>
        <m:r>
          <m:t>p</m:t>
        </m:r>
        <m:r>
          <m:rPr>
            <m:sty m:val="p"/>
          </m:rPr>
          <m:t>=</m:t>
        </m:r>
        <m:r>
          <m:t>η</m:t>
        </m:r>
        <m:r>
          <m:t>E</m:t>
        </m:r>
        <m:d>
          <m:dPr>
            <m:begChr m:val="["/>
            <m:endChr m:val="]"/>
            <m:sepChr m:val=""/>
            <m:grow/>
          </m:dPr>
          <m:e>
            <m:r>
              <m:t>φ</m:t>
            </m:r>
          </m:e>
        </m:d>
        <m:r>
          <m:rPr>
            <m:sty m:val="p"/>
          </m:rPr>
          <m:t>/</m:t>
        </m:r>
        <m:r>
          <m:t>E</m:t>
        </m:r>
        <m:d>
          <m:dPr>
            <m:begChr m:val="["/>
            <m:endChr m:val="]"/>
            <m:sepChr m:val=""/>
            <m:grow/>
          </m:dPr>
          <m:e>
            <m:r>
              <m:t>φ</m:t>
            </m:r>
            <m:d>
              <m:dPr>
                <m:begChr m:val="("/>
                <m:endChr m:val=")"/>
                <m:sepChr m:val=""/>
                <m:grow/>
              </m:dPr>
              <m:e>
                <m:r>
                  <m:t>1</m:t>
                </m:r>
                <m:r>
                  <m:rPr>
                    <m:sty m:val="p"/>
                  </m:rPr>
                  <m:t>−</m:t>
                </m:r>
                <m:r>
                  <m:t>φ</m:t>
                </m:r>
              </m:e>
            </m:d>
          </m:e>
        </m:d>
      </m:oMath>
      <w:r>
        <w:t xml:space="preserve"> </w:t>
      </w:r>
      <w:r>
        <w:t xml:space="preserve">gives</w:t>
      </w:r>
      <w:r>
        <w:t xml:space="preserve"> </w:t>
      </w:r>
      <m:oMath>
        <m:r>
          <m:t>p</m:t>
        </m:r>
        <m:r>
          <m:rPr>
            <m:sty m:val="p"/>
          </m:rPr>
          <m:t>=</m:t>
        </m:r>
        <m:r>
          <m:t>2</m:t>
        </m:r>
        <m:r>
          <m:t>η</m:t>
        </m:r>
      </m:oMath>
      <w:r>
        <w:t xml:space="preserve">. Raising</w:t>
      </w:r>
      <w:r>
        <w:t xml:space="preserve"> </w:t>
      </w:r>
      <m:oMath>
        <m:sSub>
          <m:e>
            <m:r>
              <m:t>μ</m:t>
            </m:r>
          </m:e>
          <m:sub>
            <m:r>
              <m:t>1</m:t>
            </m:r>
          </m:sub>
        </m:sSub>
      </m:oMath>
      <w:r>
        <w:t xml:space="preserve"> </w:t>
      </w:r>
      <w:r>
        <w:t xml:space="preserve">slightly gives</w:t>
      </w:r>
    </w:p>
    <w:p>
      <w:pPr>
        <w:pStyle w:val="BodyText"/>
      </w:pPr>
      <m:oMathPara>
        <m:oMathParaPr>
          <m:jc m:val="center"/>
        </m:oMathParaPr>
        <m:oMath>
          <m:f>
            <m:fPr>
              <m:type m:val="bar"/>
            </m:fPr>
            <m:num>
              <m:r>
                <m:rPr>
                  <m:sty m:val="p"/>
                </m:rPr>
                <m:t>∂</m:t>
              </m:r>
              <m:r>
                <m:t>E</m:t>
              </m:r>
              <m:d>
                <m:dPr>
                  <m:begChr m:val="["/>
                  <m:endChr m:val="]"/>
                  <m:sepChr m:val=""/>
                  <m:grow/>
                </m:dPr>
                <m:e>
                  <m:r>
                    <m:t>φ</m:t>
                  </m:r>
                </m:e>
              </m:d>
            </m:num>
            <m:den>
              <m:r>
                <m:rPr>
                  <m:sty m:val="p"/>
                </m:rPr>
                <m:t>∂</m:t>
              </m:r>
              <m:sSub>
                <m:e>
                  <m:r>
                    <m:t>μ</m:t>
                  </m:r>
                </m:e>
                <m:sub>
                  <m:r>
                    <m:t>1</m:t>
                  </m:r>
                </m:sub>
              </m:sSub>
            </m:den>
          </m:f>
          <m:r>
            <m:rPr>
              <m:sty m:val="p"/>
            </m:rPr>
            <m:t>=</m:t>
          </m:r>
          <m:f>
            <m:fPr>
              <m:type m:val="bar"/>
            </m:fPr>
            <m:num>
              <m:r>
                <m:t>E</m:t>
              </m:r>
              <m:d>
                <m:dPr>
                  <m:begChr m:val="["/>
                  <m:endChr m:val="]"/>
                  <m:sepChr m:val=""/>
                  <m:grow/>
                </m:dPr>
                <m:e>
                  <m:sSub>
                    <m:e>
                      <m:r>
                        <m:t>s</m:t>
                      </m:r>
                    </m:e>
                    <m:sub>
                      <m:r>
                        <m:t>μ</m:t>
                      </m:r>
                    </m:sub>
                  </m:sSub>
                </m:e>
              </m:d>
            </m:num>
            <m:den>
              <m:r>
                <m:t>4</m:t>
              </m:r>
              <m:r>
                <m:t>η</m:t>
              </m:r>
            </m:den>
          </m:f>
          <m:r>
            <m:rPr>
              <m:sty m:val="p"/>
            </m:rPr>
            <m:t>,</m:t>
          </m:r>
          <m:r>
            <m:t>  </m:t>
          </m:r>
          <m:f>
            <m:fPr>
              <m:type m:val="bar"/>
            </m:fPr>
            <m:num>
              <m:r>
                <m:rPr>
                  <m:sty m:val="p"/>
                </m:rPr>
                <m:t>∂</m:t>
              </m:r>
              <m:r>
                <m:t>E</m:t>
              </m:r>
              <m:d>
                <m:dPr>
                  <m:begChr m:val="["/>
                  <m:endChr m:val="]"/>
                  <m:sepChr m:val=""/>
                  <m:grow/>
                </m:dPr>
                <m:e>
                  <m:r>
                    <m:t>φ</m:t>
                  </m:r>
                  <m:d>
                    <m:dPr>
                      <m:begChr m:val="("/>
                      <m:endChr m:val=")"/>
                      <m:sepChr m:val=""/>
                      <m:grow/>
                    </m:dPr>
                    <m:e>
                      <m:r>
                        <m:t>1</m:t>
                      </m:r>
                      <m:r>
                        <m:rPr>
                          <m:sty m:val="p"/>
                        </m:rPr>
                        <m:t>−</m:t>
                      </m:r>
                      <m:r>
                        <m:t>φ</m:t>
                      </m:r>
                    </m:e>
                  </m:d>
                </m:e>
              </m:d>
            </m:num>
            <m:den>
              <m:r>
                <m:rPr>
                  <m:sty m:val="p"/>
                </m:rPr>
                <m:t>∂</m:t>
              </m:r>
              <m:sSub>
                <m:e>
                  <m:r>
                    <m:t>μ</m:t>
                  </m:r>
                </m:e>
                <m:sub>
                  <m:r>
                    <m:t>1</m:t>
                  </m:r>
                </m:sub>
              </m:sSub>
            </m:den>
          </m:f>
          <m:r>
            <m:rPr>
              <m:sty m:val="p"/>
            </m:rPr>
            <m:t>=</m:t>
          </m:r>
          <m:r>
            <m:t>0</m:t>
          </m:r>
          <m:r>
            <m:rPr>
              <m:sty m:val="p"/>
            </m:rPr>
            <m:t>.</m:t>
          </m:r>
        </m:oMath>
      </m:oMathPara>
    </w:p>
    <w:p>
      <w:pPr>
        <w:pStyle w:val="FirstParagraph"/>
      </w:pPr>
      <w:r>
        <w:t xml:space="preserve">To first order the price subgame responds as if every firm received the same quality advantage</w:t>
      </w:r>
      <w:r>
        <w:t xml:space="preserve"> </w:t>
      </w:r>
      <m:oMath>
        <m:r>
          <m:t>d</m:t>
        </m:r>
        <m:r>
          <m:t>δ</m:t>
        </m:r>
        <m:r>
          <m:rPr>
            <m:sty m:val="p"/>
          </m:rPr>
          <m:t>=</m:t>
        </m:r>
        <m:r>
          <m:t>E</m:t>
        </m:r>
        <m:d>
          <m:dPr>
            <m:begChr m:val="["/>
            <m:endChr m:val="]"/>
            <m:sepChr m:val=""/>
            <m:grow/>
          </m:dPr>
          <m:e>
            <m:sSub>
              <m:e>
                <m:r>
                  <m:t>s</m:t>
                </m:r>
              </m:e>
              <m:sub>
                <m:r>
                  <m:t>μ</m:t>
                </m:r>
              </m:sub>
            </m:sSub>
          </m:e>
        </m:d>
        <m:r>
          <m:t> </m:t>
        </m:r>
        <m:r>
          <m:t>d</m:t>
        </m:r>
        <m:sSub>
          <m:e>
            <m:r>
              <m:t>μ</m:t>
            </m:r>
          </m:e>
          <m:sub>
            <m:r>
              <m:t>1</m:t>
            </m:r>
          </m:sub>
        </m:sSub>
      </m:oMath>
      <w:r>
        <w:t xml:space="preserve">. In a logit duopoly a quality advantage</w:t>
      </w:r>
      <w:r>
        <w:t xml:space="preserve"> </w:t>
      </w:r>
      <m:oMath>
        <m:r>
          <m:t>d</m:t>
        </m:r>
        <m:r>
          <m:t>δ</m:t>
        </m:r>
      </m:oMath>
      <w:r>
        <w:t xml:space="preserve"> </w:t>
      </w:r>
      <w:r>
        <w:t xml:space="preserve">yields</w:t>
      </w:r>
      <w:r>
        <w:t xml:space="preserve"> </w:t>
      </w:r>
      <m:oMath>
        <m:r>
          <m:t>d</m:t>
        </m:r>
        <m:d>
          <m:dPr>
            <m:begChr m:val="("/>
            <m:endChr m:val=")"/>
            <m:sepChr m:val=""/>
            <m:grow/>
          </m:dPr>
          <m:e>
            <m:sSub>
              <m:e>
                <m:r>
                  <m:t>p</m:t>
                </m:r>
              </m:e>
              <m:sub>
                <m:r>
                  <m:t>1</m:t>
                </m:r>
              </m:sub>
            </m:sSub>
            <m:r>
              <m:rPr>
                <m:sty m:val="p"/>
              </m:rPr>
              <m:t>−</m:t>
            </m:r>
            <m:sSub>
              <m:e>
                <m:r>
                  <m:t>p</m:t>
                </m:r>
              </m:e>
              <m:sub>
                <m:r>
                  <m:t>2</m:t>
                </m:r>
              </m:sub>
            </m:sSub>
          </m:e>
        </m:d>
        <m:r>
          <m:rPr>
            <m:sty m:val="p"/>
          </m:rPr>
          <m:t>=</m:t>
        </m:r>
        <m:d>
          <m:dPr>
            <m:begChr m:val="("/>
            <m:endChr m:val=")"/>
            <m:sepChr m:val=""/>
            <m:grow/>
          </m:dPr>
          <m:e>
            <m:r>
              <m:t>2</m:t>
            </m:r>
            <m:r>
              <m:rPr>
                <m:sty m:val="p"/>
              </m:rPr>
              <m:t>/</m:t>
            </m:r>
            <m:r>
              <m:t>3</m:t>
            </m:r>
          </m:e>
        </m:d>
        <m:r>
          <m:t>d</m:t>
        </m:r>
        <m:r>
          <m:t>δ</m:t>
        </m:r>
      </m:oMath>
      <w:r>
        <w:t xml:space="preserve">,</w:t>
      </w:r>
      <w:r>
        <w:t xml:space="preserve"> </w:t>
      </w:r>
      <m:oMath>
        <m:r>
          <m:t>d</m:t>
        </m:r>
        <m:sSub>
          <m:e>
            <m:r>
              <m:t>p</m:t>
            </m:r>
          </m:e>
          <m:sub>
            <m:r>
              <m:t>1</m:t>
            </m:r>
          </m:sub>
        </m:sSub>
        <m:r>
          <m:rPr>
            <m:sty m:val="p"/>
          </m:rPr>
          <m:t>=</m:t>
        </m:r>
        <m:r>
          <m:t>d</m:t>
        </m:r>
        <m:r>
          <m:t>δ</m:t>
        </m:r>
        <m:r>
          <m:rPr>
            <m:sty m:val="p"/>
          </m:rPr>
          <m:t>/</m:t>
        </m:r>
        <m:r>
          <m:t>3</m:t>
        </m:r>
      </m:oMath>
      <w:r>
        <w:t xml:space="preserve"> </w:t>
      </w:r>
      <w:r>
        <w:t xml:space="preserve">and</w:t>
      </w:r>
      <w:r>
        <w:t xml:space="preserve"> </w:t>
      </w:r>
      <m:oMath>
        <m:r>
          <m:t>d</m:t>
        </m:r>
        <m:sSub>
          <m:e>
            <m:r>
              <m:t>φ</m:t>
            </m:r>
          </m:e>
          <m:sub>
            <m:r>
              <m:t>1</m:t>
            </m:r>
          </m:sub>
        </m:sSub>
        <m:r>
          <m:rPr>
            <m:sty m:val="p"/>
          </m:rPr>
          <m:t>=</m:t>
        </m:r>
        <m:r>
          <m:t>d</m:t>
        </m:r>
        <m:r>
          <m:t>δ</m:t>
        </m:r>
        <m:r>
          <m:rPr>
            <m:sty m:val="p"/>
          </m:rPr>
          <m:t>/</m:t>
        </m:r>
        <m:d>
          <m:dPr>
            <m:begChr m:val="("/>
            <m:endChr m:val=")"/>
            <m:sepChr m:val=""/>
            <m:grow/>
          </m:dPr>
          <m:e>
            <m:r>
              <m:t>12</m:t>
            </m:r>
            <m:r>
              <m:t>η</m:t>
            </m:r>
          </m:e>
        </m:d>
      </m:oMath>
      <w:r>
        <w:t xml:space="preserve">. Enterprise profit therefore changes by</w:t>
      </w:r>
      <w:r>
        <w:t xml:space="preserve"> </w:t>
      </w:r>
      <m:oMath>
        <m:r>
          <m:t>φ</m:t>
        </m:r>
        <m:r>
          <m:t> </m:t>
        </m:r>
        <m:r>
          <m:t>d</m:t>
        </m:r>
        <m:sSub>
          <m:e>
            <m:r>
              <m:t>p</m:t>
            </m:r>
          </m:e>
          <m:sub>
            <m:r>
              <m:t>1</m:t>
            </m:r>
          </m:sub>
        </m:sSub>
        <m:r>
          <m:rPr>
            <m:sty m:val="p"/>
          </m:rPr>
          <m:t>+</m:t>
        </m:r>
        <m:sSub>
          <m:e>
            <m:r>
              <m:t>p</m:t>
            </m:r>
          </m:e>
          <m:sub>
            <m:r>
              <m:t>1</m:t>
            </m:r>
          </m:sub>
        </m:sSub>
        <m:r>
          <m:t> </m:t>
        </m:r>
        <m:r>
          <m:t>d</m:t>
        </m:r>
        <m:sSub>
          <m:e>
            <m:r>
              <m:t>φ</m:t>
            </m:r>
          </m:e>
          <m:sub>
            <m:r>
              <m:t>1</m:t>
            </m:r>
          </m:sub>
        </m:sSub>
        <m:r>
          <m:rPr>
            <m:sty m:val="p"/>
          </m:rPr>
          <m:t>=</m:t>
        </m:r>
        <m:r>
          <m:t>d</m:t>
        </m:r>
        <m:r>
          <m:t>δ</m:t>
        </m:r>
        <m:r>
          <m:rPr>
            <m:sty m:val="p"/>
          </m:rPr>
          <m:t>/</m:t>
        </m:r>
        <m:r>
          <m:t>3</m:t>
        </m:r>
      </m:oMath>
      <w:r>
        <w:t xml:space="preserve">. The race term contributes</w:t>
      </w:r>
      <w:r>
        <w:t xml:space="preserve"> </w:t>
      </w:r>
      <m:oMath>
        <m:r>
          <m:t>H</m:t>
        </m:r>
        <m:r>
          <m:rPr>
            <m:sty m:val="p"/>
          </m:rPr>
          <m:t>/</m:t>
        </m:r>
        <m:d>
          <m:dPr>
            <m:begChr m:val="("/>
            <m:endChr m:val=")"/>
            <m:sepChr m:val=""/>
            <m:grow/>
          </m:dPr>
          <m:e>
            <m:r>
              <m:t>4</m:t>
            </m:r>
            <m:r>
              <m:t>μ</m:t>
            </m:r>
          </m:e>
        </m:d>
      </m:oMath>
      <w:r>
        <w:t xml:space="preserve"> </w:t>
      </w:r>
      <w:r>
        <w:t xml:space="preserve">at the symmetric point.</w:t>
      </w:r>
    </w:p>
    <w:p>
      <w:pPr>
        <w:numPr>
          <w:ilvl w:val="0"/>
          <w:numId w:val="1005"/>
        </w:numPr>
        <w:pStyle w:val="Compact"/>
      </w:pPr>
      <w:r>
        <w:t xml:space="preserve">At the symmetric point the planner’s marginal welfare per owner is</w:t>
      </w:r>
      <w:r>
        <w:t xml:space="preserve"> </w:t>
      </w:r>
      <m:oMath>
        <m:r>
          <m:t>a</m:t>
        </m:r>
        <m:r>
          <m:rPr>
            <m:sty m:val="p"/>
          </m:rPr>
          <m:t>+</m:t>
        </m:r>
        <m:d>
          <m:dPr>
            <m:begChr m:val="("/>
            <m:endChr m:val=")"/>
            <m:sepChr m:val=""/>
            <m:grow/>
          </m:dPr>
          <m:e>
            <m:r>
              <m:t>n</m:t>
            </m:r>
            <m:r>
              <m:rPr>
                <m:sty m:val="p"/>
              </m:rPr>
              <m:t>/</m:t>
            </m:r>
            <m:r>
              <m:t>2</m:t>
            </m:r>
          </m:e>
        </m:d>
        <m:r>
          <m:t>E</m:t>
        </m:r>
        <m:d>
          <m:dPr>
            <m:begChr m:val="["/>
            <m:endChr m:val="]"/>
            <m:sepChr m:val=""/>
            <m:grow/>
          </m:dPr>
          <m:e>
            <m:sSub>
              <m:e>
                <m:r>
                  <m:t>s</m:t>
                </m:r>
              </m:e>
              <m:sub>
                <m:r>
                  <m:t>μ</m:t>
                </m:r>
              </m:sub>
            </m:sSub>
          </m:e>
        </m:d>
        <m:r>
          <m:rPr>
            <m:sty m:val="p"/>
          </m:rPr>
          <m:t>−</m:t>
        </m:r>
        <m:r>
          <m:t>c</m:t>
        </m:r>
        <m:r>
          <m:t>μ</m:t>
        </m:r>
      </m:oMath>
      <w:r>
        <w:t xml:space="preserve">. Substituting</w:t>
      </w:r>
      <w:r>
        <w:t xml:space="preserve"> </w:t>
      </w:r>
      <m:oMath>
        <m:r>
          <m:t>c</m:t>
        </m:r>
        <m:sSup>
          <m:e>
            <m:r>
              <m:t>μ</m:t>
            </m:r>
          </m:e>
          <m:sup>
            <m:r>
              <m:rPr>
                <m:sty m:val="p"/>
              </m:rPr>
              <m:t>*</m:t>
            </m:r>
          </m:sup>
        </m:sSup>
      </m:oMath>
      <w:r>
        <w:t xml:space="preserve"> </w:t>
      </w:r>
      <w:r>
        <w:t xml:space="preserve">from part (b) gives</w:t>
      </w:r>
      <w:r>
        <w:t xml:space="preserve"> </w:t>
      </w:r>
      <m:oMath>
        <m:r>
          <m:t>a</m:t>
        </m:r>
        <m:r>
          <m:rPr>
            <m:sty m:val="p"/>
          </m:rPr>
          <m:t>+</m:t>
        </m:r>
        <m:d>
          <m:dPr>
            <m:begChr m:val="("/>
            <m:endChr m:val=")"/>
            <m:sepChr m:val=""/>
            <m:grow/>
          </m:dPr>
          <m:e>
            <m:r>
              <m:t>n</m:t>
            </m:r>
            <m:r>
              <m:rPr>
                <m:sty m:val="p"/>
              </m:rPr>
              <m:t>/</m:t>
            </m:r>
            <m:r>
              <m:t>6</m:t>
            </m:r>
          </m:e>
        </m:d>
        <m:r>
          <m:t>E</m:t>
        </m:r>
        <m:d>
          <m:dPr>
            <m:begChr m:val="["/>
            <m:endChr m:val="]"/>
            <m:sepChr m:val=""/>
            <m:grow/>
          </m:dPr>
          <m:e>
            <m:sSub>
              <m:e>
                <m:r>
                  <m:t>s</m:t>
                </m:r>
              </m:e>
              <m:sub>
                <m:r>
                  <m:t>μ</m:t>
                </m:r>
              </m:sub>
            </m:sSub>
          </m:e>
        </m:d>
        <m:r>
          <m:rPr>
            <m:sty m:val="p"/>
          </m:rPr>
          <m:t>−</m:t>
        </m:r>
        <m:r>
          <m:t>H</m:t>
        </m:r>
        <m:r>
          <m:rPr>
            <m:sty m:val="p"/>
          </m:rPr>
          <m:t>/</m:t>
        </m:r>
        <m:d>
          <m:dPr>
            <m:begChr m:val="("/>
            <m:endChr m:val=")"/>
            <m:sepChr m:val=""/>
            <m:grow/>
          </m:dPr>
          <m:e>
            <m:r>
              <m:t>4</m:t>
            </m:r>
            <m:sSup>
              <m:e>
                <m:r>
                  <m:t>μ</m:t>
                </m:r>
              </m:e>
              <m:sup>
                <m:r>
                  <m:rPr>
                    <m:sty m:val="p"/>
                  </m:rPr>
                  <m:t>*</m:t>
                </m:r>
              </m:sup>
            </m:sSup>
          </m:e>
        </m:d>
      </m:oMath>
      <w:r>
        <w:t xml:space="preserve">, which is negative if and only if</w:t>
      </w:r>
      <w:r>
        <w:t xml:space="preserve"> </w:t>
      </w:r>
      <m:oMath>
        <m:sSup>
          <m:e>
            <m:r>
              <m:t>μ</m:t>
            </m:r>
          </m:e>
          <m:sup>
            <m:r>
              <m:rPr>
                <m:sty m:val="p"/>
              </m:rPr>
              <m:t>*</m:t>
            </m:r>
          </m:sup>
        </m:sSup>
        <m:r>
          <m:rPr>
            <m:sty m:val="p"/>
          </m:rPr>
          <m:t>&gt;</m:t>
        </m:r>
        <m:sSub>
          <m:e>
            <m:r>
              <m:t>μ</m:t>
            </m:r>
          </m:e>
          <m:sub>
            <m:r>
              <m:t>P</m:t>
            </m:r>
          </m:sub>
        </m:sSub>
      </m:oMath>
      <w:r>
        <w:t xml:space="preserve"> </w:t>
      </w:r>
      <w:r>
        <w:t xml:space="preserve">when the planner’s objective is concave.</w:t>
      </w:r>
      <w:r>
        <w:t xml:space="preserve"> </w:t>
      </w:r>
      <m:oMath>
        <m:r>
          <m:rPr>
            <m:sty m:val="p"/>
          </m:rPr>
          <m:t>▫</m:t>
        </m:r>
      </m:oMath>
    </w:p>
    <w:p>
      <w:pPr>
        <w:pStyle w:val="FirstParagraph"/>
      </w:pPr>
      <w:r>
        <w:rPr>
          <w:bCs/>
          <w:b/>
        </w:rPr>
        <w:t xml:space="preserve">Proof of Proposition 6.</w:t>
      </w:r>
      <w:r>
        <w:t xml:space="preserve"> </w:t>
      </w:r>
      <w:r>
        <w:t xml:space="preserve">Let</w:t>
      </w:r>
      <w:r>
        <w:t xml:space="preserve"> </w:t>
      </w:r>
      <m:oMath>
        <m:r>
          <m:t>Φ</m:t>
        </m:r>
        <m:d>
          <m:dPr>
            <m:begChr m:val="("/>
            <m:endChr m:val=")"/>
            <m:sepChr m:val=""/>
            <m:grow/>
          </m:dPr>
          <m:e>
            <m:r>
              <m:t>μ</m:t>
            </m:r>
            <m:r>
              <m:rPr>
                <m:sty m:val="p"/>
              </m:rPr>
              <m:t>,</m:t>
            </m:r>
            <m:r>
              <m:t>R</m:t>
            </m:r>
          </m:e>
        </m:d>
      </m:oMath>
      <w:r>
        <w:t xml:space="preserve"> </w:t>
      </w:r>
      <w:r>
        <w:t xml:space="preserve">be the left-hand side of the duopoly first-order condition.</w:t>
      </w:r>
      <w:r>
        <w:t xml:space="preserve"> </w:t>
      </w:r>
      <m:oMath>
        <m:sSub>
          <m:e>
            <m:r>
              <m:t>Φ</m:t>
            </m:r>
          </m:e>
          <m:sub>
            <m:r>
              <m:t>R</m:t>
            </m:r>
          </m:sub>
        </m:sSub>
        <m:r>
          <m:rPr>
            <m:sty m:val="p"/>
          </m:rPr>
          <m:t>=</m:t>
        </m:r>
        <m:r>
          <m:rPr>
            <m:sty m:val="p"/>
          </m:rPr>
          <m:t>−</m:t>
        </m:r>
        <m:d>
          <m:dPr>
            <m:begChr m:val="("/>
            <m:endChr m:val=")"/>
            <m:sepChr m:val=""/>
            <m:grow/>
          </m:dPr>
          <m:e>
            <m:r>
              <m:t>n</m:t>
            </m:r>
            <m:r>
              <m:rPr>
                <m:sty m:val="p"/>
              </m:rPr>
              <m:t>/</m:t>
            </m:r>
            <m:r>
              <m:t>3</m:t>
            </m:r>
          </m:e>
        </m:d>
        <m:r>
          <m:t> </m:t>
        </m:r>
        <m:sSup>
          <m:e>
            <m:r>
              <m:rPr>
                <m:sty m:val="p"/>
              </m:rPr>
              <m:t>∂</m:t>
            </m:r>
          </m:e>
          <m:sup>
            <m:r>
              <m:t>2</m:t>
            </m:r>
          </m:sup>
        </m:sSup>
        <m:r>
          <m:t>E</m:t>
        </m:r>
        <m:d>
          <m:dPr>
            <m:begChr m:val="["/>
            <m:endChr m:val="]"/>
            <m:sepChr m:val=""/>
            <m:grow/>
          </m:dPr>
          <m:e>
            <m:r>
              <m:t>m</m:t>
            </m:r>
          </m:e>
        </m:d>
        <m:r>
          <m:rPr>
            <m:sty m:val="p"/>
          </m:rPr>
          <m:t>/</m:t>
        </m:r>
        <m:r>
          <m:rPr>
            <m:sty m:val="p"/>
          </m:rPr>
          <m:t>∂</m:t>
        </m:r>
        <m:r>
          <m:t>μ</m:t>
        </m:r>
        <m:r>
          <m:t> </m:t>
        </m:r>
        <m:r>
          <m:rPr>
            <m:sty m:val="p"/>
          </m:rPr>
          <m:t>∂</m:t>
        </m:r>
        <m:r>
          <m:t>R</m:t>
        </m:r>
        <m:r>
          <m:rPr>
            <m:sty m:val="p"/>
          </m:rPr>
          <m:t>&gt;</m:t>
        </m:r>
        <m:r>
          <m:t>0</m:t>
        </m:r>
      </m:oMath>
      <w:r>
        <w:t xml:space="preserve"> </w:t>
      </w:r>
      <w:r>
        <w:t xml:space="preserve">by the proof of Proposition 4. Apply the implicit function theorem with</w:t>
      </w:r>
      <w:r>
        <w:t xml:space="preserve"> </w:t>
      </w:r>
      <m:oMath>
        <m:sSub>
          <m:e>
            <m:r>
              <m:t>Φ</m:t>
            </m:r>
          </m:e>
          <m:sub>
            <m:r>
              <m:t>μ</m:t>
            </m:r>
          </m:sub>
        </m:sSub>
        <m:r>
          <m:rPr>
            <m:sty m:val="p"/>
          </m:rPr>
          <m:t>&lt;</m:t>
        </m:r>
        <m:r>
          <m:t>0</m:t>
        </m:r>
      </m:oMath>
      <w:r>
        <w:t xml:space="preserve">. The comparison of slopes follows from</w:t>
      </w:r>
      <w:r>
        <w:t xml:space="preserve"> </w:t>
      </w:r>
      <m:oMath>
        <m:r>
          <m:t>E</m:t>
        </m:r>
        <m:d>
          <m:dPr>
            <m:begChr m:val="["/>
            <m:endChr m:val="]"/>
            <m:sepChr m:val=""/>
            <m:grow/>
          </m:dPr>
          <m:e>
            <m:sSub>
              <m:e>
                <m:r>
                  <m:t>s</m:t>
                </m:r>
              </m:e>
              <m:sub>
                <m:r>
                  <m:t>μ</m:t>
                </m:r>
                <m:r>
                  <m:t>μ</m:t>
                </m:r>
              </m:sub>
            </m:sSub>
          </m:e>
        </m:d>
        <m:r>
          <m:rPr>
            <m:sty m:val="p"/>
          </m:rPr>
          <m:t>&gt;</m:t>
        </m:r>
        <m:r>
          <m:t>0</m:t>
        </m:r>
      </m:oMath>
      <w:r>
        <w:t xml:space="preserve"> </w:t>
      </w:r>
      <w:r>
        <w:t xml:space="preserve">(convexity of</w:t>
      </w:r>
      <w:r>
        <w:t xml:space="preserve"> </w:t>
      </w:r>
      <m:oMath>
        <m:r>
          <m:t>s</m:t>
        </m:r>
      </m:oMath>
      <w:r>
        <w:t xml:space="preserve"> </w:t>
      </w:r>
      <w:r>
        <w:t xml:space="preserve">in</w:t>
      </w:r>
      <w:r>
        <w:t xml:space="preserve"> </w:t>
      </w:r>
      <m:oMath>
        <m:r>
          <m:t>μ</m:t>
        </m:r>
      </m:oMath>
      <w:r>
        <w:t xml:space="preserve"> </w:t>
      </w:r>
      <w:r>
        <w:t xml:space="preserve">for retraining firms, and the race term).</w:t>
      </w:r>
      <w:r>
        <w:t xml:space="preserve"> </w:t>
      </w:r>
      <m:oMath>
        <m:r>
          <m:rPr>
            <m:sty m:val="p"/>
          </m:rPr>
          <m:t>▫</m:t>
        </m:r>
      </m:oMath>
    </w:p>
    <w:p>
      <w:pPr>
        <w:pStyle w:val="BodyText"/>
      </w:pPr>
      <w:r>
        <w:t xml:space="preserve">Numerical Finding 1 is a grid search, not a proof. The two-period switching extension in Section 7.3 is a first-order characterization, not an equilibrium existence theorem.</w:t>
      </w:r>
    </w:p>
    <w:bookmarkEnd w:id="58"/>
    <w:bookmarkStart w:id="59" w:name="appendix-b.-additional-results"/>
    <w:p>
      <w:pPr>
        <w:pStyle w:val="Heading2"/>
      </w:pPr>
      <w:r>
        <w:t xml:space="preserve">Appendix B. Additional Results</w:t>
      </w:r>
    </w:p>
    <w:p>
      <w:pPr>
        <w:pStyle w:val="FirstParagraph"/>
      </w:pPr>
      <w:r>
        <w:rPr>
          <w:bCs/>
          <w:b/>
        </w:rPr>
        <w:t xml:space="preserve">Proposition B1 (Endogenous compatibility).</w:t>
      </w:r>
      <w:r>
        <w:t xml:space="preserve"> </w:t>
      </w:r>
      <w:r>
        <w:t xml:space="preserve">If the owner also chooses</w:t>
      </w:r>
      <w:r>
        <w:t xml:space="preserve"> </w:t>
      </w:r>
      <m:oMath>
        <m:r>
          <m:t>R</m:t>
        </m:r>
      </m:oMath>
      <w:r>
        <w:t xml:space="preserve"> </w:t>
      </w:r>
      <w:r>
        <w:t xml:space="preserve">at an increasing convex cost</w:t>
      </w:r>
      <w:r>
        <w:t xml:space="preserve"> </w:t>
      </w:r>
      <m:oMath>
        <m:r>
          <m:t>Z</m:t>
        </m:r>
        <m:d>
          <m:dPr>
            <m:begChr m:val="("/>
            <m:endChr m:val=")"/>
            <m:sepChr m:val=""/>
            <m:grow/>
          </m:dPr>
          <m:e>
            <m:r>
              <m:t>R</m:t>
            </m:r>
          </m:e>
        </m:d>
      </m:oMath>
      <w:r>
        <w:t xml:space="preserve">, the objective is supermodular in</w:t>
      </w:r>
      <w:r>
        <w:t xml:space="preserve"> </w:t>
      </w:r>
      <m:oMath>
        <m:d>
          <m:dPr>
            <m:begChr m:val="("/>
            <m:endChr m:val=")"/>
            <m:sepChr m:val=""/>
            <m:grow/>
          </m:dPr>
          <m:e>
            <m:r>
              <m:t>μ</m:t>
            </m:r>
            <m:r>
              <m:rPr>
                <m:sty m:val="p"/>
              </m:rPr>
              <m:t>,</m:t>
            </m:r>
            <m:r>
              <m:t>R</m:t>
            </m:r>
          </m:e>
        </m:d>
      </m:oMath>
      <w:r>
        <w:t xml:space="preserve"> </w:t>
      </w:r>
      <w:r>
        <w:t xml:space="preserve">and has increasing differences in</w:t>
      </w:r>
      <w:r>
        <w:t xml:space="preserve"> </w:t>
      </w:r>
      <m:oMath>
        <m:d>
          <m:dPr>
            <m:begChr m:val="("/>
            <m:endChr m:val=")"/>
            <m:sepChr m:val=""/>
            <m:grow/>
          </m:dPr>
          <m:e>
            <m:r>
              <m:t>μ</m:t>
            </m:r>
            <m:r>
              <m:rPr>
                <m:sty m:val="p"/>
              </m:rPr>
              <m:t>,</m:t>
            </m:r>
            <m:r>
              <m:t>ψ</m:t>
            </m:r>
          </m:e>
        </m:d>
      </m:oMath>
      <w:r>
        <w:t xml:space="preserve">. The largest and smallest optimizers</w:t>
      </w:r>
      <w:r>
        <w:t xml:space="preserve"> </w:t>
      </w:r>
      <m:oMath>
        <m:d>
          <m:dPr>
            <m:begChr m:val="("/>
            <m:endChr m:val=")"/>
            <m:sepChr m:val=""/>
            <m:grow/>
          </m:dPr>
          <m:e>
            <m:sSup>
              <m:e>
                <m:r>
                  <m:t>μ</m:t>
                </m:r>
              </m:e>
              <m:sup>
                <m:r>
                  <m:rPr>
                    <m:sty m:val="p"/>
                  </m:rPr>
                  <m:t>*</m:t>
                </m:r>
              </m:sup>
            </m:sSup>
            <m:r>
              <m:rPr>
                <m:sty m:val="p"/>
              </m:rPr>
              <m:t>,</m:t>
            </m:r>
            <m:sSup>
              <m:e>
                <m:r>
                  <m:t>R</m:t>
                </m:r>
              </m:e>
              <m:sup>
                <m:r>
                  <m:rPr>
                    <m:sty m:val="p"/>
                  </m:rPr>
                  <m:t>*</m:t>
                </m:r>
              </m:sup>
            </m:sSup>
          </m:e>
        </m:d>
      </m:oMath>
      <w:r>
        <w:t xml:space="preserve"> </w:t>
      </w:r>
      <w:r>
        <w:t xml:space="preserve">are therefore nondecreasing in</w:t>
      </w:r>
      <w:r>
        <w:t xml:space="preserve"> </w:t>
      </w:r>
      <m:oMath>
        <m:r>
          <m:t>ψ</m:t>
        </m:r>
      </m:oMath>
      <w:r>
        <w:t xml:space="preserve">.</w:t>
      </w:r>
    </w:p>
    <w:p>
      <w:pPr>
        <w:pStyle w:val="BodyText"/>
      </w:pPr>
      <w:r>
        <w:rPr>
          <w:iCs/>
          <w:i/>
        </w:rPr>
        <w:t xml:space="preserve">Proof.</w:t>
      </w:r>
      <w:r>
        <w:t xml:space="preserve"> </w:t>
      </w:r>
      <m:oMath>
        <m:r>
          <m:t>Π</m:t>
        </m:r>
        <m:d>
          <m:dPr>
            <m:begChr m:val="("/>
            <m:endChr m:val=")"/>
            <m:sepChr m:val=""/>
            <m:grow/>
          </m:dPr>
          <m:e>
            <m:r>
              <m:t>μ</m:t>
            </m:r>
            <m:r>
              <m:rPr>
                <m:sty m:val="p"/>
              </m:rPr>
              <m:t>,</m:t>
            </m:r>
            <m:r>
              <m:t>R</m:t>
            </m:r>
            <m:r>
              <m:rPr>
                <m:sty m:val="p"/>
              </m:rPr>
              <m:t>;</m:t>
            </m:r>
            <m:r>
              <m:t>ψ</m:t>
            </m:r>
          </m:e>
        </m:d>
        <m:r>
          <m:rPr>
            <m:sty m:val="p"/>
          </m:rPr>
          <m:t>=</m:t>
        </m:r>
        <m:r>
          <m:t>ψ</m:t>
        </m:r>
        <m:r>
          <m:t>μ</m:t>
        </m:r>
        <m:r>
          <m:rPr>
            <m:sty m:val="p"/>
          </m:rPr>
          <m:t>−</m:t>
        </m:r>
        <m:f>
          <m:fPr>
            <m:type m:val="lin"/>
          </m:fPr>
          <m:num>
            <m:r>
              <m:t>1</m:t>
            </m:r>
          </m:num>
          <m:den>
            <m:r>
              <m:t>2</m:t>
            </m:r>
          </m:den>
        </m:f>
        <m:r>
          <m:t>c</m:t>
        </m:r>
        <m:sSup>
          <m:e>
            <m:r>
              <m:t>μ</m:t>
            </m:r>
          </m:e>
          <m:sup>
            <m:r>
              <m:t>2</m:t>
            </m:r>
          </m:sup>
        </m:sSup>
        <m:r>
          <m:rPr>
            <m:sty m:val="p"/>
          </m:rPr>
          <m:t>−</m:t>
        </m:r>
        <m:r>
          <m:t>Z</m:t>
        </m:r>
        <m:d>
          <m:dPr>
            <m:begChr m:val="("/>
            <m:endChr m:val=")"/>
            <m:sepChr m:val=""/>
            <m:grow/>
          </m:dPr>
          <m:e>
            <m:r>
              <m:t>R</m:t>
            </m:r>
          </m:e>
        </m:d>
        <m:r>
          <m:rPr>
            <m:sty m:val="p"/>
          </m:rPr>
          <m:t>+</m:t>
        </m:r>
        <m:r>
          <m:t>θ</m:t>
        </m:r>
        <m:r>
          <m:t>n</m:t>
        </m:r>
        <m:r>
          <m:t>E</m:t>
        </m:r>
        <m:d>
          <m:dPr>
            <m:begChr m:val="["/>
            <m:endChr m:val="]"/>
            <m:sepChr m:val=""/>
            <m:grow/>
          </m:dPr>
          <m:e>
            <m:r>
              <m:t>s</m:t>
            </m:r>
            <m:d>
              <m:dPr>
                <m:begChr m:val="("/>
                <m:endChr m:val=")"/>
                <m:sepChr m:val=""/>
                <m:grow/>
              </m:dPr>
              <m:e>
                <m:r>
                  <m:t>μ</m:t>
                </m:r>
                <m:r>
                  <m:rPr>
                    <m:sty m:val="p"/>
                  </m:rPr>
                  <m:t>,</m:t>
                </m:r>
                <m:r>
                  <m:t>v</m:t>
                </m:r>
                <m:r>
                  <m:rPr>
                    <m:sty m:val="p"/>
                  </m:rPr>
                  <m:t>;</m:t>
                </m:r>
                <m:r>
                  <m:t>R</m:t>
                </m:r>
              </m:e>
            </m:d>
          </m:e>
        </m:d>
      </m:oMath>
      <w:r>
        <w:t xml:space="preserve"> </w:t>
      </w:r>
      <w:r>
        <w:t xml:space="preserve">is supermodular in</w:t>
      </w:r>
      <w:r>
        <w:t xml:space="preserve"> </w:t>
      </w:r>
      <m:oMath>
        <m:d>
          <m:dPr>
            <m:begChr m:val="("/>
            <m:endChr m:val=")"/>
            <m:sepChr m:val=""/>
            <m:grow/>
          </m:dPr>
          <m:e>
            <m:r>
              <m:t>μ</m:t>
            </m:r>
            <m:r>
              <m:rPr>
                <m:sty m:val="p"/>
              </m:rPr>
              <m:t>,</m:t>
            </m:r>
            <m:r>
              <m:t>R</m:t>
            </m:r>
          </m:e>
        </m:d>
      </m:oMath>
      <w:r>
        <w:t xml:space="preserve"> </w:t>
      </w:r>
      <w:r>
        <w:t xml:space="preserve">by Proposition 4(a), has increasing differences in</w:t>
      </w:r>
      <w:r>
        <w:t xml:space="preserve"> </w:t>
      </w:r>
      <m:oMath>
        <m:d>
          <m:dPr>
            <m:begChr m:val="("/>
            <m:endChr m:val=")"/>
            <m:sepChr m:val=""/>
            <m:grow/>
          </m:dPr>
          <m:e>
            <m:r>
              <m:t>μ</m:t>
            </m:r>
            <m:r>
              <m:rPr>
                <m:sty m:val="p"/>
              </m:rPr>
              <m:t>,</m:t>
            </m:r>
            <m:r>
              <m:t>ψ</m:t>
            </m:r>
          </m:e>
        </m:d>
      </m:oMath>
      <w:r>
        <w:t xml:space="preserve">, and has zero cross-partial in</w:t>
      </w:r>
      <w:r>
        <w:t xml:space="preserve"> </w:t>
      </w:r>
      <m:oMath>
        <m:d>
          <m:dPr>
            <m:begChr m:val="("/>
            <m:endChr m:val=")"/>
            <m:sepChr m:val=""/>
            <m:grow/>
          </m:dPr>
          <m:e>
            <m:r>
              <m:t>R</m:t>
            </m:r>
            <m:r>
              <m:rPr>
                <m:sty m:val="p"/>
              </m:rPr>
              <m:t>,</m:t>
            </m:r>
            <m:r>
              <m:t>ψ</m:t>
            </m:r>
          </m:e>
        </m:d>
      </m:oMath>
      <w:r>
        <w:t xml:space="preserve">. Topkis’s theorem (Milgrom and Shannon 1994) yields monotonicity of the extremal optimizers in</w:t>
      </w:r>
      <w:r>
        <w:t xml:space="preserve"> </w:t>
      </w:r>
      <m:oMath>
        <m:r>
          <m:t>ψ</m:t>
        </m:r>
      </m:oMath>
      <w:r>
        <w:t xml:space="preserve">. Holding</w:t>
      </w:r>
      <w:r>
        <w:t xml:space="preserve"> </w:t>
      </w:r>
      <m:oMath>
        <m:r>
          <m:t>μ</m:t>
        </m:r>
      </m:oMath>
      <w:r>
        <w:t xml:space="preserve"> </w:t>
      </w:r>
      <w:r>
        <w:t xml:space="preserve">fixed,</w:t>
      </w:r>
      <w:r>
        <w:t xml:space="preserve"> </w:t>
      </w:r>
      <m:oMath>
        <m:sSub>
          <m:e>
            <m:r>
              <m:t>Π</m:t>
            </m:r>
          </m:e>
          <m:sub>
            <m:r>
              <m:t>R</m:t>
            </m:r>
            <m:r>
              <m:t>θ</m:t>
            </m:r>
          </m:sub>
        </m:sSub>
        <m:r>
          <m:rPr>
            <m:sty m:val="p"/>
          </m:rPr>
          <m:t>=</m:t>
        </m:r>
        <m:r>
          <m:rPr>
            <m:sty m:val="p"/>
          </m:rPr>
          <m:t>−</m:t>
        </m:r>
        <m:r>
          <m:t>n</m:t>
        </m:r>
        <m:r>
          <m:t> </m:t>
        </m:r>
        <m:r>
          <m:rPr>
            <m:sty m:val="p"/>
          </m:rPr>
          <m:t>∂</m:t>
        </m:r>
        <m:r>
          <m:t>E</m:t>
        </m:r>
        <m:d>
          <m:dPr>
            <m:begChr m:val="["/>
            <m:endChr m:val="]"/>
            <m:sepChr m:val=""/>
            <m:grow/>
          </m:dPr>
          <m:e>
            <m:r>
              <m:t>m</m:t>
            </m:r>
          </m:e>
        </m:d>
        <m:r>
          <m:rPr>
            <m:sty m:val="p"/>
          </m:rPr>
          <m:t>/</m:t>
        </m:r>
        <m:r>
          <m:rPr>
            <m:sty m:val="p"/>
          </m:rPr>
          <m:t>∂</m:t>
        </m:r>
        <m:r>
          <m:t>R</m:t>
        </m:r>
        <m:r>
          <m:rPr>
            <m:sty m:val="p"/>
          </m:rPr>
          <m:t>&gt;</m:t>
        </m:r>
        <m:r>
          <m:t>0</m:t>
        </m:r>
      </m:oMath>
      <w:r>
        <w:t xml:space="preserve">.</w:t>
      </w:r>
      <w:r>
        <w:t xml:space="preserve"> </w:t>
      </w:r>
      <m:oMath>
        <m:r>
          <m:rPr>
            <m:sty m:val="p"/>
          </m:rPr>
          <m:t>▫</m:t>
        </m:r>
      </m:oMath>
    </w:p>
    <w:bookmarkEnd w:id="59"/>
    <w:bookmarkStart w:id="60" w:name="X0f31936179fd3bd470ed8a078b91c99dbb3660c"/>
    <w:p>
      <w:pPr>
        <w:pStyle w:val="Heading2"/>
      </w:pPr>
      <w:r>
        <w:t xml:space="preserve">Appendix C. Online Appendix: Calibration Pairs</w:t>
      </w:r>
    </w:p>
    <w:p>
      <w:pPr>
        <w:pStyle w:val="FirstParagraph"/>
      </w:pPr>
      <w:r>
        <w:t xml:space="preserve">The tables below report the measurements used to pin</w:t>
      </w:r>
      <w:r>
        <w:t xml:space="preserve"> </w:t>
      </w:r>
      <m:oMath>
        <m:d>
          <m:dPr>
            <m:begChr m:val="("/>
            <m:endChr m:val=")"/>
            <m:sepChr m:val=""/>
            <m:grow/>
          </m:dPr>
          <m:e>
            <m:r>
              <m:t>R</m:t>
            </m:r>
            <m:r>
              <m:rPr>
                <m:sty m:val="p"/>
              </m:rPr>
              <m:t>,</m:t>
            </m:r>
            <m:r>
              <m:t>C</m:t>
            </m:r>
          </m:e>
        </m:d>
      </m:oMath>
      <w:r>
        <w:t xml:space="preserve"> </w:t>
      </w:r>
      <w:r>
        <w:t xml:space="preserve">in Section 3.3. Tables C.1 and C.2 cover math reasoning (GSM8K), with 160M to 0.5B parameters in Table C.1 and 1.4B to 3B parameters in Table C.2; the other two tasks are described below and reported in Table C.3. All runs use a short training budget (500 training problems and 300 steps). Each pair was run with five seeds (0 to 4) on a single GPU in float32. The seed resamples the training and calibration rows and the training order, and the 200 evaluation rows are fixed. Recovery is</w:t>
      </w:r>
      <w:r>
        <w:t xml:space="preserve"> </w:t>
      </w:r>
      <m:oMath>
        <m:r>
          <m:t>R</m:t>
        </m:r>
        <m:r>
          <m:rPr>
            <m:sty m:val="p"/>
          </m:rPr>
          <m:t>=</m:t>
        </m:r>
        <m:d>
          <m:dPr>
            <m:begChr m:val="("/>
            <m:endChr m:val=")"/>
            <m:sepChr m:val=""/>
            <m:grow/>
          </m:dPr>
          <m:e>
            <m:sSub>
              <m:e>
                <m:r>
                  <m:t>L</m:t>
                </m:r>
              </m:e>
              <m:sub>
                <m:r>
                  <m:t>0</m:t>
                </m:r>
              </m:sub>
            </m:sSub>
            <m:r>
              <m:rPr>
                <m:sty m:val="p"/>
              </m:rPr>
              <m:t>−</m:t>
            </m:r>
            <m:sSub>
              <m:e>
                <m:r>
                  <m:t>L</m:t>
                </m:r>
              </m:e>
              <m:sub>
                <m:r>
                  <m:t>m</m:t>
                </m:r>
              </m:sub>
            </m:sSub>
          </m:e>
        </m:d>
        <m:r>
          <m:rPr>
            <m:sty m:val="p"/>
          </m:rPr>
          <m:t>/</m:t>
        </m:r>
        <m:d>
          <m:dPr>
            <m:begChr m:val="("/>
            <m:endChr m:val=")"/>
            <m:sepChr m:val=""/>
            <m:grow/>
          </m:dPr>
          <m:e>
            <m:sSub>
              <m:e>
                <m:r>
                  <m:t>L</m:t>
                </m:r>
              </m:e>
              <m:sub>
                <m:r>
                  <m:t>0</m:t>
                </m:r>
              </m:sub>
            </m:sSub>
            <m:r>
              <m:rPr>
                <m:sty m:val="p"/>
              </m:rPr>
              <m:t>−</m:t>
            </m:r>
            <m:sSub>
              <m:e>
                <m:r>
                  <m:t>L</m:t>
                </m:r>
              </m:e>
              <m:sub>
                <m:r>
                  <m:rPr>
                    <m:nor/>
                    <m:sty m:val="p"/>
                  </m:rPr>
                  <m:t>retrain</m:t>
                </m:r>
              </m:sub>
            </m:sSub>
          </m:e>
        </m:d>
      </m:oMath>
      <w:r>
        <w:t xml:space="preserve"> </w:t>
      </w:r>
      <w:r>
        <w:t xml:space="preserve">on held-out negative log-likelihood. These are calibration inputs, not production estimates.</w:t>
      </w:r>
    </w:p>
    <w:tbl>
      <w:tblPr>
        <w:tblStyle w:val="Table"/>
        <w:tblW w:type="pct" w:w="5000"/>
        <w:tblLook w:firstRow="1" w:lastRow="0" w:firstColumn="0" w:lastColumn="0" w:noHBand="0" w:noVBand="0" w:val="0020"/>
        <w:jc w:val="start"/>
      </w:tblPr>
      <w:tblGrid>
        <w:gridCol w:w="1377"/>
        <w:gridCol w:w="1721"/>
        <w:gridCol w:w="1721"/>
        <w:gridCol w:w="1721"/>
        <w:gridCol w:w="1377"/>
      </w:tblGrid>
      <w:tr>
        <w:trPr>
          <w:tblHeader w:val="true"/>
        </w:trPr>
        <w:tc>
          <w:tcPr/>
          <w:p>
            <w:pPr>
              <w:pStyle w:val="Compact"/>
              <w:jc w:val="left"/>
            </w:pPr>
            <w:r>
              <w:t xml:space="preserve">Pair</w:t>
            </w:r>
          </w:p>
        </w:tc>
        <w:tc>
          <w:tcPr/>
          <w:p>
            <w:pPr>
              <w:pStyle w:val="Compact"/>
              <w:jc w:val="center"/>
            </w:pPr>
            <m:oMath>
              <m:sSub>
                <m:e>
                  <m:r>
                    <m:t>R</m:t>
                  </m:r>
                </m:e>
                <m:sub>
                  <m:r>
                    <m:t>C</m:t>
                  </m:r>
                </m:sub>
              </m:sSub>
            </m:oMath>
            <w:r>
              <w:t xml:space="preserve"> </w:t>
            </w:r>
            <w:r>
              <w:t xml:space="preserve">mean [95% CI]</w:t>
            </w:r>
          </w:p>
        </w:tc>
        <w:tc>
          <w:tcPr/>
          <w:p>
            <w:pPr>
              <w:pStyle w:val="Compact"/>
              <w:jc w:val="center"/>
            </w:pPr>
            <m:oMath>
              <m:sSub>
                <m:e>
                  <m:r>
                    <m:t>R</m:t>
                  </m:r>
                </m:e>
                <m:sub>
                  <m:r>
                    <m:t>A</m:t>
                  </m:r>
                </m:sub>
              </m:sSub>
            </m:oMath>
            <w:r>
              <w:t xml:space="preserve"> </w:t>
            </w:r>
            <w:r>
              <w:t xml:space="preserve">mean [95% CI]</w:t>
            </w:r>
          </w:p>
        </w:tc>
        <w:tc>
          <w:tcPr/>
          <w:p>
            <w:pPr>
              <w:pStyle w:val="Compact"/>
              <w:jc w:val="center"/>
            </w:pPr>
            <w:r>
              <w:t xml:space="preserve">Seeds with</w:t>
            </w:r>
            <w:r>
              <w:t xml:space="preserve"> </w:t>
            </w:r>
            <m:oMath>
              <m:sSub>
                <m:e>
                  <m:r>
                    <m:t>R</m:t>
                  </m:r>
                </m:e>
                <m:sub>
                  <m:r>
                    <m:t>A</m:t>
                  </m:r>
                </m:sub>
              </m:sSub>
              <m:r>
                <m:rPr>
                  <m:sty m:val="p"/>
                </m:rPr>
                <m:t>&gt;</m:t>
              </m:r>
              <m:sSub>
                <m:e>
                  <m:r>
                    <m:t>R</m:t>
                  </m:r>
                </m:e>
                <m:sub>
                  <m:r>
                    <m:t>C</m:t>
                  </m:r>
                </m:sub>
              </m:sSub>
            </m:oMath>
          </w:p>
        </w:tc>
        <w:tc>
          <w:tcPr/>
          <w:p>
            <w:pPr>
              <w:pStyle w:val="Compact"/>
              <w:jc w:val="right"/>
            </w:pPr>
            <m:oMath>
              <m:sSub>
                <m:e>
                  <m:r>
                    <m:t>C</m:t>
                  </m:r>
                </m:e>
                <m:sub>
                  <m:r>
                    <m:t>A</m:t>
                  </m:r>
                </m:sub>
              </m:sSub>
              <m:r>
                <m:rPr>
                  <m:sty m:val="p"/>
                </m:rPr>
                <m:t>/</m:t>
              </m:r>
              <m:sSub>
                <m:e>
                  <m:r>
                    <m:t>C</m:t>
                  </m:r>
                </m:e>
                <m:sub>
                  <m:r>
                    <m:t>N</m:t>
                  </m:r>
                </m:sub>
              </m:sSub>
            </m:oMath>
          </w:p>
        </w:tc>
      </w:tr>
      <w:tr>
        <w:tc>
          <w:tcPr/>
          <w:p>
            <w:pPr>
              <w:pStyle w:val="Compact"/>
              <w:jc w:val="left"/>
            </w:pPr>
            <w:r>
              <w:t xml:space="preserve">Pythia-160M, +10k steps</w:t>
            </w:r>
          </w:p>
        </w:tc>
        <w:tc>
          <w:tcPr/>
          <w:p>
            <w:pPr>
              <w:pStyle w:val="Compact"/>
              <w:jc w:val="center"/>
            </w:pPr>
            <w:r>
              <w:t xml:space="preserve">0.948 [0.929, 0.967]</w:t>
            </w:r>
          </w:p>
        </w:tc>
        <w:tc>
          <w:tcPr/>
          <w:p>
            <w:pPr>
              <w:pStyle w:val="Compact"/>
              <w:jc w:val="center"/>
            </w:pPr>
            <w:r>
              <w:t xml:space="preserve">0.944 [0.921, 0.967]</w:t>
            </w:r>
          </w:p>
        </w:tc>
        <w:tc>
          <w:tcPr/>
          <w:p>
            <w:pPr>
              <w:pStyle w:val="Compact"/>
              <w:jc w:val="center"/>
            </w:pPr>
            <w:r>
              <w:t xml:space="preserve">0 of 5</w:t>
            </w:r>
          </w:p>
        </w:tc>
        <w:tc>
          <w:tcPr/>
          <w:p>
            <w:pPr>
              <w:pStyle w:val="Compact"/>
              <w:jc w:val="right"/>
            </w:pPr>
            <w:r>
              <w:t xml:space="preserve">0.377</w:t>
            </w:r>
          </w:p>
        </w:tc>
      </w:tr>
      <w:tr>
        <w:tc>
          <w:tcPr/>
          <w:p>
            <w:pPr>
              <w:pStyle w:val="Compact"/>
              <w:jc w:val="left"/>
            </w:pPr>
            <w:r>
              <w:t xml:space="preserve">Pythia-160M, +30k steps</w:t>
            </w:r>
          </w:p>
        </w:tc>
        <w:tc>
          <w:tcPr/>
          <w:p>
            <w:pPr>
              <w:pStyle w:val="Compact"/>
              <w:jc w:val="center"/>
            </w:pPr>
            <w:r>
              <w:t xml:space="preserve">0.923 [0.902, 0.944]</w:t>
            </w:r>
          </w:p>
        </w:tc>
        <w:tc>
          <w:tcPr/>
          <w:p>
            <w:pPr>
              <w:pStyle w:val="Compact"/>
              <w:jc w:val="center"/>
            </w:pPr>
            <w:r>
              <w:t xml:space="preserve">0.936 [0.916, 0.956]</w:t>
            </w:r>
          </w:p>
        </w:tc>
        <w:tc>
          <w:tcPr/>
          <w:p>
            <w:pPr>
              <w:pStyle w:val="Compact"/>
              <w:jc w:val="center"/>
            </w:pPr>
            <w:r>
              <w:t xml:space="preserve">5 of 5</w:t>
            </w:r>
          </w:p>
        </w:tc>
        <w:tc>
          <w:tcPr/>
          <w:p>
            <w:pPr>
              <w:pStyle w:val="Compact"/>
              <w:jc w:val="right"/>
            </w:pPr>
            <w:r>
              <w:t xml:space="preserve">0.348</w:t>
            </w:r>
          </w:p>
        </w:tc>
      </w:tr>
      <w:tr>
        <w:tc>
          <w:tcPr/>
          <w:p>
            <w:pPr>
              <w:pStyle w:val="Compact"/>
              <w:jc w:val="left"/>
            </w:pPr>
            <w:r>
              <w:t xml:space="preserve">Pythia-160M, +70k steps</w:t>
            </w:r>
          </w:p>
        </w:tc>
        <w:tc>
          <w:tcPr/>
          <w:p>
            <w:pPr>
              <w:pStyle w:val="Compact"/>
              <w:jc w:val="center"/>
            </w:pPr>
            <w:r>
              <w:t xml:space="preserve">0.404 [0.309, 0.499]</w:t>
            </w:r>
          </w:p>
        </w:tc>
        <w:tc>
          <w:tcPr/>
          <w:p>
            <w:pPr>
              <w:pStyle w:val="Compact"/>
              <w:jc w:val="center"/>
            </w:pPr>
            <w:r>
              <w:t xml:space="preserve">0.725 [0.643, 0.806]</w:t>
            </w:r>
          </w:p>
        </w:tc>
        <w:tc>
          <w:tcPr/>
          <w:p>
            <w:pPr>
              <w:pStyle w:val="Compact"/>
              <w:jc w:val="center"/>
            </w:pPr>
            <w:r>
              <w:t xml:space="preserve">5 of 5</w:t>
            </w:r>
          </w:p>
        </w:tc>
        <w:tc>
          <w:tcPr/>
          <w:p>
            <w:pPr>
              <w:pStyle w:val="Compact"/>
              <w:jc w:val="right"/>
            </w:pPr>
            <w:r>
              <w:t xml:space="preserve">0.359</w:t>
            </w:r>
          </w:p>
        </w:tc>
      </w:tr>
      <w:tr>
        <w:tc>
          <w:tcPr/>
          <w:p>
            <w:pPr>
              <w:pStyle w:val="Compact"/>
              <w:jc w:val="left"/>
            </w:pPr>
            <w:r>
              <w:t xml:space="preserve">SmolLM2-360M, Base → Instruct</w:t>
            </w:r>
          </w:p>
        </w:tc>
        <w:tc>
          <w:tcPr/>
          <w:p>
            <w:pPr>
              <w:pStyle w:val="Compact"/>
              <w:jc w:val="center"/>
            </w:pPr>
            <w:r>
              <w:t xml:space="preserve">0.734 [0.702, 0.767]</w:t>
            </w:r>
          </w:p>
        </w:tc>
        <w:tc>
          <w:tcPr/>
          <w:p>
            <w:pPr>
              <w:pStyle w:val="Compact"/>
              <w:jc w:val="center"/>
            </w:pPr>
            <w:r>
              <w:t xml:space="preserve">0.734 [0.694, 0.775]</w:t>
            </w:r>
          </w:p>
        </w:tc>
        <w:tc>
          <w:tcPr/>
          <w:p>
            <w:pPr>
              <w:pStyle w:val="Compact"/>
              <w:jc w:val="center"/>
            </w:pPr>
            <w:r>
              <w:t xml:space="preserve">1 of 5</w:t>
            </w:r>
          </w:p>
        </w:tc>
        <w:tc>
          <w:tcPr/>
          <w:p>
            <w:pPr>
              <w:pStyle w:val="Compact"/>
              <w:jc w:val="right"/>
            </w:pPr>
            <w:r>
              <w:t xml:space="preserve">0.612</w:t>
            </w:r>
          </w:p>
        </w:tc>
      </w:tr>
      <w:tr>
        <w:tc>
          <w:tcPr/>
          <w:p>
            <w:pPr>
              <w:pStyle w:val="Compact"/>
              <w:jc w:val="left"/>
            </w:pPr>
            <w:r>
              <w:t xml:space="preserve">Qwen2.5-0.5B, Base → Instruct</w:t>
            </w:r>
          </w:p>
        </w:tc>
        <w:tc>
          <w:tcPr/>
          <w:p>
            <w:pPr>
              <w:pStyle w:val="Compact"/>
              <w:jc w:val="center"/>
            </w:pPr>
            <w:r>
              <w:t xml:space="preserve">0.745 [0.571, 0.919]</w:t>
            </w:r>
          </w:p>
        </w:tc>
        <w:tc>
          <w:tcPr/>
          <w:p>
            <w:pPr>
              <w:pStyle w:val="Compact"/>
              <w:jc w:val="center"/>
            </w:pPr>
            <w:r>
              <w:t xml:space="preserve">0.782 [0.613, 0.951]</w:t>
            </w:r>
          </w:p>
        </w:tc>
        <w:tc>
          <w:tcPr/>
          <w:p>
            <w:pPr>
              <w:pStyle w:val="Compact"/>
              <w:jc w:val="center"/>
            </w:pPr>
            <w:r>
              <w:t xml:space="preserve">5 of 5</w:t>
            </w:r>
          </w:p>
        </w:tc>
        <w:tc>
          <w:tcPr/>
          <w:p>
            <w:pPr>
              <w:pStyle w:val="Compact"/>
              <w:jc w:val="right"/>
            </w:pPr>
            <w:r>
              <w:t xml:space="preserve">0.433</w:t>
            </w:r>
          </w:p>
        </w:tc>
      </w:tr>
    </w:tbl>
    <w:p>
      <w:pPr>
        <w:pStyle w:val="BodyText"/>
      </w:pPr>
      <w:r>
        <w:rPr>
          <w:iCs/>
          <w:i/>
        </w:rPr>
        <w:t xml:space="preserve">Table C.1. Recovery rates over five seeds and compute-only cost ratios on five open model pairs.</w:t>
      </w:r>
      <w:r>
        <w:t xml:space="preserve"> </w:t>
      </w:r>
      <w:r>
        <w:t xml:space="preserve">The cost ratios are wall-clock ratios from CPU runs (seed 0 for the Pythia +10k and +70k pairs, and a single earlier CPU run for the other three). On a GPU the fixed overhead of the calibration method dominates, so the ratio is not informative there. Recovery on CPU with seed 0 is 0.940 and 0.941 for Pythia +10k and 0.242 and 0.584 for Pythia +70k (copy and calibration method), so the recovery estimates do not depend on the device beyond the sampling spread. The large-upgrade copy recovery has the widest spread across seeds (0.31 to 0.51 on GPU).</w:t>
      </w:r>
    </w:p>
    <w:p>
      <w:pPr>
        <w:pStyle w:val="BodyText"/>
      </w:pPr>
      <w:r>
        <w:t xml:space="preserve">The calibration method matches, at each layer, the change in hidden activations that the source adapter produces on unlabeled inputs, with a ridge term that anchors the solution to naive copy. As the ridge diverges, the method equals copy. Its cost is forward passes plus per-layer linear algebra. The full protocol uses public checkpoints from EleutherAI/pythia-160m (steps 73000, 113000, and 133000, each upgraded to step 143000), HuggingFaceTB/SmolLM2-360M, and Qwen/Qwen2.5-0.5B, with rank-8 LoRA on every linear layer in the decoder, 500 GSM8K training problems, 300 AdamW steps, and 128 unlabeled calibration prompts.</w:t>
      </w:r>
    </w:p>
    <w:p>
      <w:pPr>
        <w:pStyle w:val="BodyText"/>
      </w:pPr>
      <w:r>
        <w:rPr>
          <w:bCs/>
          <w:b/>
        </w:rPr>
        <w:t xml:space="preserve">Tasks and protocol.</w:t>
      </w:r>
      <w:r>
        <w:t xml:space="preserve"> </w:t>
      </w:r>
      <w:r>
        <w:t xml:space="preserve">Math reasoning is GSM8K (prompt</w:t>
      </w:r>
      <w:r>
        <w:t xml:space="preserve"> </w:t>
      </w:r>
      <w:r>
        <w:t xml:space="preserve">“</w:t>
      </w:r>
      <w:r>
        <w:t xml:space="preserve">Question: … Answer:</w:t>
      </w:r>
      <w:r>
        <w:t xml:space="preserve">”</w:t>
      </w:r>
      <w:r>
        <w:t xml:space="preserve">). Summarization is DialogSum (prompt</w:t>
      </w:r>
      <w:r>
        <w:t xml:space="preserve"> </w:t>
      </w:r>
      <w:r>
        <w:t xml:space="preserve">“</w:t>
      </w:r>
      <w:r>
        <w:t xml:space="preserve">Summarize the dialogue. … Summary:</w:t>
      </w:r>
      <w:r>
        <w:t xml:space="preserve">”</w:t>
      </w:r>
      <w:r>
        <w:t xml:space="preserve">, evaluation on the test split, maximum length 512 tokens). Text-to-SQL is sql-create-context (prompt</w:t>
      </w:r>
      <w:r>
        <w:t xml:space="preserve"> </w:t>
      </w:r>
      <w:r>
        <w:t xml:space="preserve">“</w:t>
      </w:r>
      <w:r>
        <w:t xml:space="preserve">Schema: … Question: … SQL:</w:t>
      </w:r>
      <w:r>
        <w:t xml:space="preserve">”</w:t>
      </w:r>
      <w:r>
        <w:t xml:space="preserve">). That dataset has no test split, so a fixed pool of 2,000 rows is held out for evaluation and the training and calibration rows of every seed are drawn from the rest. All other settings are as above. A seed is dropped when its retraining gain (the loss without an adapter minus the loss after retraining) is less than half the median gain of the same pair, because the recovery ratio is meaningless once the retraining upper bound has failed. This rule dropped one seed (Pythia-160M +30k on SQL, with a retraining loss of 1.27 against 0.50 to 0.59 for the other seeds) and none in the other cells.</w:t>
      </w:r>
    </w:p>
    <w:p>
      <w:pPr>
        <w:pStyle w:val="BodyText"/>
      </w:pPr>
      <w:r>
        <w:rPr>
          <w:bCs/>
          <w:b/>
        </w:rPr>
        <w:t xml:space="preserve">Larger models.</w:t>
      </w:r>
      <w:r>
        <w:t xml:space="preserve"> </w:t>
      </w:r>
      <w:r>
        <w:t xml:space="preserve">Table C.2 repeats the design with 1.4B to 3B parameters, using the same task, hyperparameters, and float32 precision. Seeds were run on one GPU. The Qwen2.5-3B pair has four seeds because the fifth was cut off by the time limit of the run.</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Pair</w:t>
            </w:r>
          </w:p>
        </w:tc>
        <w:tc>
          <w:tcPr/>
          <w:p>
            <w:pPr>
              <w:pStyle w:val="Compact"/>
              <w:jc w:val="center"/>
            </w:pPr>
            <m:oMath>
              <m:sSub>
                <m:e>
                  <m:r>
                    <m:t>R</m:t>
                  </m:r>
                </m:e>
                <m:sub>
                  <m:r>
                    <m:t>C</m:t>
                  </m:r>
                </m:sub>
              </m:sSub>
            </m:oMath>
            <w:r>
              <w:t xml:space="preserve"> </w:t>
            </w:r>
            <w:r>
              <w:t xml:space="preserve">mean [95% CI]</w:t>
            </w:r>
          </w:p>
        </w:tc>
        <w:tc>
          <w:tcPr/>
          <w:p>
            <w:pPr>
              <w:pStyle w:val="Compact"/>
              <w:jc w:val="center"/>
            </w:pPr>
            <m:oMath>
              <m:sSub>
                <m:e>
                  <m:r>
                    <m:t>R</m:t>
                  </m:r>
                </m:e>
                <m:sub>
                  <m:r>
                    <m:t>A</m:t>
                  </m:r>
                </m:sub>
              </m:sSub>
            </m:oMath>
            <w:r>
              <w:t xml:space="preserve"> </w:t>
            </w:r>
            <w:r>
              <w:t xml:space="preserve">mean [95% CI]</w:t>
            </w:r>
          </w:p>
        </w:tc>
        <w:tc>
          <w:tcPr/>
          <w:p>
            <w:pPr>
              <w:pStyle w:val="Compact"/>
              <w:jc w:val="center"/>
            </w:pPr>
            <w:r>
              <w:t xml:space="preserve">Seeds with</w:t>
            </w:r>
            <w:r>
              <w:t xml:space="preserve"> </w:t>
            </w:r>
            <m:oMath>
              <m:sSub>
                <m:e>
                  <m:r>
                    <m:t>R</m:t>
                  </m:r>
                </m:e>
                <m:sub>
                  <m:r>
                    <m:t>A</m:t>
                  </m:r>
                </m:sub>
              </m:sSub>
              <m:r>
                <m:rPr>
                  <m:sty m:val="p"/>
                </m:rPr>
                <m:t>&gt;</m:t>
              </m:r>
              <m:sSub>
                <m:e>
                  <m:r>
                    <m:t>R</m:t>
                  </m:r>
                </m:e>
                <m:sub>
                  <m:r>
                    <m:t>C</m:t>
                  </m:r>
                </m:sub>
              </m:sSub>
            </m:oMath>
          </w:p>
        </w:tc>
        <w:tc>
          <w:tcPr/>
          <w:p>
            <w:pPr>
              <w:pStyle w:val="Compact"/>
              <w:jc w:val="center"/>
            </w:pPr>
            <w:r>
              <w:t xml:space="preserve">NLL: none / retrain</w:t>
            </w:r>
          </w:p>
        </w:tc>
      </w:tr>
      <w:tr>
        <w:tc>
          <w:tcPr/>
          <w:p>
            <w:pPr>
              <w:pStyle w:val="Compact"/>
              <w:jc w:val="left"/>
            </w:pPr>
            <w:r>
              <w:t xml:space="preserve">Pythia-1.4B, +10k steps</w:t>
            </w:r>
          </w:p>
        </w:tc>
        <w:tc>
          <w:tcPr/>
          <w:p>
            <w:pPr>
              <w:pStyle w:val="Compact"/>
              <w:jc w:val="center"/>
            </w:pPr>
            <w:r>
              <w:t xml:space="preserve">0.987 [0.947, 1.028]</w:t>
            </w:r>
          </w:p>
        </w:tc>
        <w:tc>
          <w:tcPr/>
          <w:p>
            <w:pPr>
              <w:pStyle w:val="Compact"/>
              <w:jc w:val="center"/>
            </w:pPr>
            <w:r>
              <w:t xml:space="preserve">0.991 [0.952, 1.030]</w:t>
            </w:r>
          </w:p>
        </w:tc>
        <w:tc>
          <w:tcPr/>
          <w:p>
            <w:pPr>
              <w:pStyle w:val="Compact"/>
              <w:jc w:val="center"/>
            </w:pPr>
            <w:r>
              <w:t xml:space="preserve">5 of 5</w:t>
            </w:r>
          </w:p>
        </w:tc>
        <w:tc>
          <w:tcPr/>
          <w:p>
            <w:pPr>
              <w:pStyle w:val="Compact"/>
              <w:jc w:val="center"/>
            </w:pPr>
            <w:r>
              <w:t xml:space="preserve">2.06 / 0.99 to 1.02</w:t>
            </w:r>
          </w:p>
        </w:tc>
      </w:tr>
      <w:tr>
        <w:tc>
          <w:tcPr/>
          <w:p>
            <w:pPr>
              <w:pStyle w:val="Compact"/>
              <w:jc w:val="left"/>
            </w:pPr>
            <w:r>
              <w:t xml:space="preserve">Pythia-1.4B, +70k steps</w:t>
            </w:r>
          </w:p>
        </w:tc>
        <w:tc>
          <w:tcPr/>
          <w:p>
            <w:pPr>
              <w:pStyle w:val="Compact"/>
              <w:jc w:val="center"/>
            </w:pPr>
            <w:r>
              <w:t xml:space="preserve">0.786 [0.722, 0.850]</w:t>
            </w:r>
          </w:p>
        </w:tc>
        <w:tc>
          <w:tcPr/>
          <w:p>
            <w:pPr>
              <w:pStyle w:val="Compact"/>
              <w:jc w:val="center"/>
            </w:pPr>
            <w:r>
              <w:t xml:space="preserve">0.809 [0.754, 0.863]</w:t>
            </w:r>
          </w:p>
        </w:tc>
        <w:tc>
          <w:tcPr/>
          <w:p>
            <w:pPr>
              <w:pStyle w:val="Compact"/>
              <w:jc w:val="center"/>
            </w:pPr>
            <w:r>
              <w:t xml:space="preserve">5 of 5</w:t>
            </w:r>
          </w:p>
        </w:tc>
        <w:tc>
          <w:tcPr/>
          <w:p>
            <w:pPr>
              <w:pStyle w:val="Compact"/>
              <w:jc w:val="center"/>
            </w:pPr>
            <w:r>
              <w:t xml:space="preserve">2.06 / 0.97 to 1.03</w:t>
            </w:r>
          </w:p>
        </w:tc>
      </w:tr>
      <w:tr>
        <w:tc>
          <w:tcPr/>
          <w:p>
            <w:pPr>
              <w:pStyle w:val="Compact"/>
              <w:jc w:val="left"/>
            </w:pPr>
            <w:r>
              <w:t xml:space="preserve">Qwen2.5-1.5B, Base → Instruct</w:t>
            </w:r>
          </w:p>
        </w:tc>
        <w:tc>
          <w:tcPr/>
          <w:p>
            <w:pPr>
              <w:pStyle w:val="Compact"/>
              <w:jc w:val="center"/>
            </w:pPr>
            <w:r>
              <w:t xml:space="preserve">0.810 [0.584, 1.036]</w:t>
            </w:r>
          </w:p>
        </w:tc>
        <w:tc>
          <w:tcPr/>
          <w:p>
            <w:pPr>
              <w:pStyle w:val="Compact"/>
              <w:jc w:val="center"/>
            </w:pPr>
            <w:r>
              <w:t xml:space="preserve">0.822 [0.590, 1.055]</w:t>
            </w:r>
          </w:p>
        </w:tc>
        <w:tc>
          <w:tcPr/>
          <w:p>
            <w:pPr>
              <w:pStyle w:val="Compact"/>
              <w:jc w:val="center"/>
            </w:pPr>
            <w:r>
              <w:t xml:space="preserve">5 of 5</w:t>
            </w:r>
          </w:p>
        </w:tc>
        <w:tc>
          <w:tcPr/>
          <w:p>
            <w:pPr>
              <w:pStyle w:val="Compact"/>
              <w:jc w:val="center"/>
            </w:pPr>
            <w:r>
              <w:t xml:space="preserve">0.87 / 0.58 to 0.64</w:t>
            </w:r>
          </w:p>
        </w:tc>
      </w:tr>
      <w:tr>
        <w:tc>
          <w:tcPr/>
          <w:p>
            <w:pPr>
              <w:pStyle w:val="Compact"/>
              <w:jc w:val="left"/>
            </w:pPr>
            <w:r>
              <w:t xml:space="preserve">Qwen2.5-3B, Base → Instruct (4 seeds)</w:t>
            </w:r>
          </w:p>
        </w:tc>
        <w:tc>
          <w:tcPr/>
          <w:p>
            <w:pPr>
              <w:pStyle w:val="Compact"/>
              <w:jc w:val="center"/>
            </w:pPr>
            <w:r>
              <w:t xml:space="preserve">0.645 [0.396, 0.895]</w:t>
            </w:r>
          </w:p>
        </w:tc>
        <w:tc>
          <w:tcPr/>
          <w:p>
            <w:pPr>
              <w:pStyle w:val="Compact"/>
              <w:jc w:val="center"/>
            </w:pPr>
            <w:r>
              <w:t xml:space="preserve">0.625 [0.362, 0.888]</w:t>
            </w:r>
          </w:p>
        </w:tc>
        <w:tc>
          <w:tcPr/>
          <w:p>
            <w:pPr>
              <w:pStyle w:val="Compact"/>
              <w:jc w:val="center"/>
            </w:pPr>
            <w:r>
              <w:t xml:space="preserve">0 of 4</w:t>
            </w:r>
          </w:p>
        </w:tc>
        <w:tc>
          <w:tcPr/>
          <w:p>
            <w:pPr>
              <w:pStyle w:val="Compact"/>
              <w:jc w:val="center"/>
            </w:pPr>
            <w:r>
              <w:t xml:space="preserve">1.20 / 0.63 to 0.66</w:t>
            </w:r>
          </w:p>
        </w:tc>
      </w:tr>
      <w:tr>
        <w:tc>
          <w:tcPr/>
          <w:p>
            <w:pPr>
              <w:pStyle w:val="Compact"/>
              <w:jc w:val="left"/>
            </w:pPr>
            <w:r>
              <w:t xml:space="preserve">SmolLM2-1.7B, Base → Instruct</w:t>
            </w:r>
          </w:p>
        </w:tc>
        <w:tc>
          <w:tcPr/>
          <w:p>
            <w:pPr>
              <w:pStyle w:val="Compact"/>
              <w:jc w:val="center"/>
            </w:pPr>
            <w:r>
              <w:t xml:space="preserve">−1.316 [−1.787, −0.846]</w:t>
            </w:r>
          </w:p>
        </w:tc>
        <w:tc>
          <w:tcPr/>
          <w:p>
            <w:pPr>
              <w:pStyle w:val="Compact"/>
              <w:jc w:val="center"/>
            </w:pPr>
            <w:r>
              <w:t xml:space="preserve">−1.449 [−1.987, −0.911]</w:t>
            </w:r>
          </w:p>
        </w:tc>
        <w:tc>
          <w:tcPr/>
          <w:p>
            <w:pPr>
              <w:pStyle w:val="Compact"/>
              <w:jc w:val="center"/>
            </w:pPr>
            <w:r>
              <w:t xml:space="preserve">0 of 5</w:t>
            </w:r>
          </w:p>
        </w:tc>
        <w:tc>
          <w:tcPr/>
          <w:p>
            <w:pPr>
              <w:pStyle w:val="Compact"/>
              <w:jc w:val="center"/>
            </w:pPr>
            <w:r>
              <w:t xml:space="preserve">0.68 / 0.59 to 0.61</w:t>
            </w:r>
          </w:p>
        </w:tc>
      </w:tr>
    </w:tbl>
    <w:p>
      <w:pPr>
        <w:pStyle w:val="BodyText"/>
      </w:pPr>
      <w:r>
        <w:rPr>
          <w:iCs/>
          <w:i/>
        </w:rPr>
        <w:t xml:space="preserve">Table C.2. Recovery rates over five seeds on larger model pairs.</w:t>
      </w:r>
      <w:r>
        <w:t xml:space="preserve"> </w:t>
      </w:r>
      <w:r>
        <w:t xml:space="preserve">Recovery above one is sampling noise around full recovery. For SmolLM2-1.7B the copied adapter has a higher held-out loss (about 0.77) than the target without any adapter (0.677), and the retraining gain is only about 0.08, so the ratio is large and negative; in the model this pair has</w:t>
      </w:r>
      <w:r>
        <w:t xml:space="preserve"> </w:t>
      </w:r>
      <m:oMath>
        <m:sSub>
          <m:e>
            <m:r>
              <m:t>R</m:t>
            </m:r>
          </m:e>
          <m:sub>
            <m:r>
              <m:t>C</m:t>
            </m:r>
          </m:sub>
        </m:sSub>
        <m:r>
          <m:rPr>
            <m:sty m:val="p"/>
          </m:rPr>
          <m:t>=</m:t>
        </m:r>
        <m:sSub>
          <m:e>
            <m:r>
              <m:t>R</m:t>
            </m:r>
          </m:e>
          <m:sub>
            <m:r>
              <m:t>A</m:t>
            </m:r>
          </m:sub>
        </m:sSub>
        <m:r>
          <m:rPr>
            <m:sty m:val="p"/>
          </m:rPr>
          <m:t>=</m:t>
        </m:r>
        <m:r>
          <m:t>0</m:t>
        </m:r>
      </m:oMath>
      <w:r>
        <w:t xml:space="preserve">. We do not report wall-clock cost ratios for these runs, because on a GPU they are dominated by fixed overhead, and we did not run a CPU measurement at this scale.</w:t>
      </w:r>
    </w:p>
    <w:p>
      <w:pPr>
        <w:pStyle w:val="BodyText"/>
      </w:pPr>
      <w:r>
        <w:rPr>
          <w:bCs/>
          <w:b/>
        </w:rPr>
        <w:t xml:space="preserve">All tasks.</w:t>
      </w:r>
      <w:r>
        <w:t xml:space="preserve"> </w:t>
      </w:r>
      <w:r>
        <w:t xml:space="preserve">Table C.3 collects every pair-task combination. The cost reference for</w:t>
      </w:r>
      <w:r>
        <w:t xml:space="preserve"> </w:t>
      </w:r>
      <m:oMath>
        <m:r>
          <m:t>Γ</m:t>
        </m:r>
      </m:oMath>
      <w:r>
        <w:t xml:space="preserve"> </w:t>
      </w:r>
      <w:r>
        <w:t xml:space="preserve">is the CPU compute-only ratio of the pair for the 160M to 0.5B models and 0.36 for the larger models, and it is the same for each task.</w:t>
      </w:r>
      <w:r>
        <w:t xml:space="preserve"> </w:t>
      </w:r>
      <m:oMath>
        <m:r>
          <m:t>Γ</m:t>
        </m:r>
      </m:oMath>
      <w:r>
        <w:t xml:space="preserve"> </w:t>
      </w:r>
      <w:r>
        <w:t xml:space="preserve">is computed from the seed-mean recovery rates, clipped to</w:t>
      </w:r>
      <w:r>
        <w:t xml:space="preserve"> </w:t>
      </w:r>
      <m:oMath>
        <m:r>
          <m:rPr>
            <m:sty m:val="p"/>
          </m:rPr>
          <m:t>[</m:t>
        </m:r>
        <m:r>
          <m:t>0</m:t>
        </m:r>
        <m:r>
          <m:rPr>
            <m:sty m:val="p"/>
          </m:rPr>
          <m:t>,</m:t>
        </m:r>
        <m:r>
          <m:t>1</m:t>
        </m:r>
        <m:r>
          <m:rPr>
            <m:sty m:val="p"/>
          </m:rPr>
          <m:t>)</m:t>
        </m:r>
      </m:oMath>
      <w:r>
        <w:t xml:space="preserve">, and is set to zero when copy recovers more than 0.95, where it is numerically unstable and copy already recovers essentially everything. The two added tasks use five seeds for the small models and three seeds for the two larger pairs.</w:t>
      </w:r>
    </w:p>
    <w:tbl>
      <w:tblPr>
        <w:tblStyle w:val="Table"/>
        <w:tblW w:type="pct" w:w="5000"/>
        <w:tblLook w:firstRow="1" w:lastRow="0" w:firstColumn="0" w:lastColumn="0" w:noHBand="0" w:noVBand="0" w:val="0020"/>
        <w:jc w:val="start"/>
      </w:tblPr>
      <w:tblGrid>
        <w:gridCol w:w="1021"/>
        <w:gridCol w:w="1021"/>
        <w:gridCol w:w="1021"/>
        <w:gridCol w:w="1277"/>
        <w:gridCol w:w="1277"/>
        <w:gridCol w:w="1021"/>
        <w:gridCol w:w="1277"/>
      </w:tblGrid>
      <w:tr>
        <w:trPr>
          <w:tblHeader w:val="true"/>
        </w:trPr>
        <w:tc>
          <w:tcPr/>
          <w:p>
            <w:pPr>
              <w:pStyle w:val="Compact"/>
              <w:jc w:val="left"/>
            </w:pPr>
            <w:r>
              <w:t xml:space="preserve">Pair</w:t>
            </w:r>
          </w:p>
        </w:tc>
        <w:tc>
          <w:tcPr/>
          <w:p>
            <w:pPr>
              <w:pStyle w:val="Compact"/>
              <w:jc w:val="left"/>
            </w:pPr>
            <w:r>
              <w:t xml:space="preserve">Task</w:t>
            </w:r>
          </w:p>
        </w:tc>
        <w:tc>
          <w:tcPr/>
          <w:p>
            <w:pPr>
              <w:pStyle w:val="Compact"/>
              <w:jc w:val="right"/>
            </w:pPr>
            <w:r>
              <w:t xml:space="preserve">Seeds</w:t>
            </w:r>
          </w:p>
        </w:tc>
        <w:tc>
          <w:tcPr/>
          <w:p>
            <w:pPr>
              <w:pStyle w:val="Compact"/>
              <w:jc w:val="center"/>
            </w:pPr>
            <m:oMath>
              <m:sSub>
                <m:e>
                  <m:r>
                    <m:t>R</m:t>
                  </m:r>
                </m:e>
                <m:sub>
                  <m:r>
                    <m:t>C</m:t>
                  </m:r>
                </m:sub>
              </m:sSub>
            </m:oMath>
            <w:r>
              <w:t xml:space="preserve"> </w:t>
            </w:r>
            <w:r>
              <w:t xml:space="preserve">[95% CI]</w:t>
            </w:r>
          </w:p>
        </w:tc>
        <w:tc>
          <w:tcPr/>
          <w:p>
            <w:pPr>
              <w:pStyle w:val="Compact"/>
              <w:jc w:val="center"/>
            </w:pPr>
            <m:oMath>
              <m:sSub>
                <m:e>
                  <m:r>
                    <m:t>R</m:t>
                  </m:r>
                </m:e>
                <m:sub>
                  <m:r>
                    <m:t>A</m:t>
                  </m:r>
                </m:sub>
              </m:sSub>
            </m:oMath>
            <w:r>
              <w:t xml:space="preserve"> </w:t>
            </w:r>
            <w:r>
              <w:t xml:space="preserve">[95% CI]</w:t>
            </w:r>
          </w:p>
        </w:tc>
        <w:tc>
          <w:tcPr/>
          <w:p>
            <w:pPr>
              <w:pStyle w:val="Compact"/>
              <w:jc w:val="right"/>
            </w:pPr>
            <m:oMath>
              <m:r>
                <m:t>Γ</m:t>
              </m:r>
            </m:oMath>
          </w:p>
        </w:tc>
        <w:tc>
          <w:tcPr/>
          <w:p>
            <w:pPr>
              <w:pStyle w:val="Compact"/>
              <w:jc w:val="center"/>
            </w:pPr>
            <w:r>
              <w:t xml:space="preserve">Tool pays</w:t>
            </w:r>
          </w:p>
        </w:tc>
      </w:tr>
      <w:tr>
        <w:tc>
          <w:tcPr/>
          <w:p>
            <w:pPr>
              <w:pStyle w:val="Compact"/>
              <w:jc w:val="left"/>
            </w:pPr>
            <w:r>
              <w:t xml:space="preserve">pythia-160m +10k</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0.96 [0.85, 1.06]</w:t>
            </w:r>
          </w:p>
        </w:tc>
        <w:tc>
          <w:tcPr/>
          <w:p>
            <w:pPr>
              <w:pStyle w:val="Compact"/>
              <w:jc w:val="center"/>
            </w:pPr>
            <w:r>
              <w:t xml:space="preserve">0.93 [0.84, 1.03]</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pythia-160m +10k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0.95 [0.93, 0.97]</w:t>
            </w:r>
          </w:p>
        </w:tc>
        <w:tc>
          <w:tcPr/>
          <w:p>
            <w:pPr>
              <w:pStyle w:val="Compact"/>
              <w:jc w:val="center"/>
            </w:pPr>
            <w:r>
              <w:t xml:space="preserve">0.94 [0.92, 0.97]</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pythia-160m +10k</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0.97 [0.78, 1.16]</w:t>
            </w:r>
          </w:p>
        </w:tc>
        <w:tc>
          <w:tcPr/>
          <w:p>
            <w:pPr>
              <w:pStyle w:val="Compact"/>
              <w:jc w:val="center"/>
            </w:pPr>
            <w:r>
              <w:t xml:space="preserve">0.97 [0.78, 1.16]</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pythia-160m +30k</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0.91 [0.81, 1.01]</w:t>
            </w:r>
          </w:p>
        </w:tc>
        <w:tc>
          <w:tcPr/>
          <w:p>
            <w:pPr>
              <w:pStyle w:val="Compact"/>
              <w:jc w:val="center"/>
            </w:pPr>
            <w:r>
              <w:t xml:space="preserve">0.91 [0.80, 1.02]</w:t>
            </w:r>
          </w:p>
        </w:tc>
        <w:tc>
          <w:tcPr/>
          <w:p>
            <w:pPr>
              <w:pStyle w:val="Compact"/>
              <w:jc w:val="right"/>
            </w:pPr>
            <w:r>
              <w:t xml:space="preserve">0.03</w:t>
            </w:r>
          </w:p>
        </w:tc>
        <w:tc>
          <w:tcPr/>
          <w:p>
            <w:pPr>
              <w:pStyle w:val="Compact"/>
              <w:jc w:val="center"/>
            </w:pPr>
            <w:r>
              <w:t xml:space="preserve">no</w:t>
            </w:r>
          </w:p>
        </w:tc>
      </w:tr>
      <w:tr>
        <w:tc>
          <w:tcPr/>
          <w:p>
            <w:pPr>
              <w:pStyle w:val="Compact"/>
              <w:jc w:val="left"/>
            </w:pPr>
            <w:r>
              <w:t xml:space="preserve">pythia-160m +30k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0.92 [0.90, 0.94]</w:t>
            </w:r>
          </w:p>
        </w:tc>
        <w:tc>
          <w:tcPr/>
          <w:p>
            <w:pPr>
              <w:pStyle w:val="Compact"/>
              <w:jc w:val="center"/>
            </w:pPr>
            <w:r>
              <w:t xml:space="preserve">0.94 [0.92, 0.96]</w:t>
            </w:r>
          </w:p>
        </w:tc>
        <w:tc>
          <w:tcPr/>
          <w:p>
            <w:pPr>
              <w:pStyle w:val="Compact"/>
              <w:jc w:val="right"/>
            </w:pPr>
            <w:r>
              <w:t xml:space="preserve">0.12</w:t>
            </w:r>
          </w:p>
        </w:tc>
        <w:tc>
          <w:tcPr/>
          <w:p>
            <w:pPr>
              <w:pStyle w:val="Compact"/>
              <w:jc w:val="center"/>
            </w:pPr>
            <w:r>
              <w:t xml:space="preserve">no</w:t>
            </w:r>
          </w:p>
        </w:tc>
      </w:tr>
      <w:tr>
        <w:tc>
          <w:tcPr/>
          <w:p>
            <w:pPr>
              <w:pStyle w:val="Compact"/>
              <w:jc w:val="left"/>
            </w:pPr>
            <w:r>
              <w:t xml:space="preserve">pythia-160m +30k</w:t>
            </w:r>
          </w:p>
        </w:tc>
        <w:tc>
          <w:tcPr/>
          <w:p>
            <w:pPr>
              <w:pStyle w:val="Compact"/>
              <w:jc w:val="left"/>
            </w:pPr>
            <w:r>
              <w:t xml:space="preserve">SQL</w:t>
            </w:r>
          </w:p>
        </w:tc>
        <w:tc>
          <w:tcPr/>
          <w:p>
            <w:pPr>
              <w:pStyle w:val="Compact"/>
              <w:jc w:val="right"/>
            </w:pPr>
            <w:r>
              <w:t xml:space="preserve">4</w:t>
            </w:r>
          </w:p>
        </w:tc>
        <w:tc>
          <w:tcPr/>
          <w:p>
            <w:pPr>
              <w:pStyle w:val="Compact"/>
              <w:jc w:val="center"/>
            </w:pPr>
            <w:r>
              <w:t xml:space="preserve">0.95 [0.76, 1.14]</w:t>
            </w:r>
          </w:p>
        </w:tc>
        <w:tc>
          <w:tcPr/>
          <w:p>
            <w:pPr>
              <w:pStyle w:val="Compact"/>
              <w:jc w:val="center"/>
            </w:pPr>
            <w:r>
              <w:t xml:space="preserve">0.96 [0.77, 1.15]</w:t>
            </w:r>
          </w:p>
        </w:tc>
        <w:tc>
          <w:tcPr/>
          <w:p>
            <w:pPr>
              <w:pStyle w:val="Compact"/>
              <w:jc w:val="right"/>
            </w:pPr>
            <w:r>
              <w:t xml:space="preserve">0.24</w:t>
            </w:r>
          </w:p>
        </w:tc>
        <w:tc>
          <w:tcPr/>
          <w:p>
            <w:pPr>
              <w:pStyle w:val="Compact"/>
              <w:jc w:val="center"/>
            </w:pPr>
            <w:r>
              <w:t xml:space="preserve">no</w:t>
            </w:r>
          </w:p>
        </w:tc>
      </w:tr>
      <w:tr>
        <w:tc>
          <w:tcPr/>
          <w:p>
            <w:pPr>
              <w:pStyle w:val="Compact"/>
              <w:jc w:val="left"/>
            </w:pPr>
            <w:r>
              <w:t xml:space="preserve">pythia-160m +70k</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0.35 [0.22, 0.48]</w:t>
            </w:r>
          </w:p>
        </w:tc>
        <w:tc>
          <w:tcPr/>
          <w:p>
            <w:pPr>
              <w:pStyle w:val="Compact"/>
              <w:jc w:val="center"/>
            </w:pPr>
            <w:r>
              <w:t xml:space="preserve">0.64 [0.54, 0.73]</w:t>
            </w:r>
          </w:p>
        </w:tc>
        <w:tc>
          <w:tcPr/>
          <w:p>
            <w:pPr>
              <w:pStyle w:val="Compact"/>
              <w:jc w:val="right"/>
            </w:pPr>
            <w:r>
              <w:t xml:space="preserve">0.36</w:t>
            </w:r>
          </w:p>
        </w:tc>
        <w:tc>
          <w:tcPr/>
          <w:p>
            <w:pPr>
              <w:pStyle w:val="Compact"/>
              <w:jc w:val="center"/>
            </w:pPr>
            <w:r>
              <w:t xml:space="preserve">no</w:t>
            </w:r>
          </w:p>
        </w:tc>
      </w:tr>
      <w:tr>
        <w:tc>
          <w:tcPr/>
          <w:p>
            <w:pPr>
              <w:pStyle w:val="Compact"/>
              <w:jc w:val="left"/>
            </w:pPr>
            <w:r>
              <w:t xml:space="preserve">pythia-160m +70k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0.40 [0.31, 0.50]</w:t>
            </w:r>
          </w:p>
        </w:tc>
        <w:tc>
          <w:tcPr/>
          <w:p>
            <w:pPr>
              <w:pStyle w:val="Compact"/>
              <w:jc w:val="center"/>
            </w:pPr>
            <w:r>
              <w:t xml:space="preserve">0.72 [0.64, 0.81]</w:t>
            </w:r>
          </w:p>
        </w:tc>
        <w:tc>
          <w:tcPr/>
          <w:p>
            <w:pPr>
              <w:pStyle w:val="Compact"/>
              <w:jc w:val="right"/>
            </w:pPr>
            <w:r>
              <w:t xml:space="preserve">0.45</w:t>
            </w:r>
          </w:p>
        </w:tc>
        <w:tc>
          <w:tcPr/>
          <w:p>
            <w:pPr>
              <w:pStyle w:val="Compact"/>
              <w:jc w:val="center"/>
            </w:pPr>
            <w:r>
              <w:t xml:space="preserve">yes</w:t>
            </w:r>
          </w:p>
        </w:tc>
      </w:tr>
      <w:tr>
        <w:tc>
          <w:tcPr/>
          <w:p>
            <w:pPr>
              <w:pStyle w:val="Compact"/>
              <w:jc w:val="left"/>
            </w:pPr>
            <w:r>
              <w:t xml:space="preserve">pythia-160m +70k</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0.67 [0.54, 0.81]</w:t>
            </w:r>
          </w:p>
        </w:tc>
        <w:tc>
          <w:tcPr/>
          <w:p>
            <w:pPr>
              <w:pStyle w:val="Compact"/>
              <w:jc w:val="center"/>
            </w:pPr>
            <w:r>
              <w:t xml:space="preserve">0.95 [0.88, 1.03]</w:t>
            </w:r>
          </w:p>
        </w:tc>
        <w:tc>
          <w:tcPr/>
          <w:p>
            <w:pPr>
              <w:pStyle w:val="Compact"/>
              <w:jc w:val="right"/>
            </w:pPr>
            <w:r>
              <w:t xml:space="preserve">0.82</w:t>
            </w:r>
          </w:p>
        </w:tc>
        <w:tc>
          <w:tcPr/>
          <w:p>
            <w:pPr>
              <w:pStyle w:val="Compact"/>
              <w:jc w:val="center"/>
            </w:pPr>
            <w:r>
              <w:t xml:space="preserve">yes</w:t>
            </w:r>
          </w:p>
        </w:tc>
      </w:tr>
      <w:tr>
        <w:tc>
          <w:tcPr/>
          <w:p>
            <w:pPr>
              <w:pStyle w:val="Compact"/>
              <w:jc w:val="left"/>
            </w:pPr>
            <w:r>
              <w:t xml:space="preserve">smollm2-360m instr</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0.63 [0.57, 0.68]</w:t>
            </w:r>
          </w:p>
        </w:tc>
        <w:tc>
          <w:tcPr/>
          <w:p>
            <w:pPr>
              <w:pStyle w:val="Compact"/>
              <w:jc w:val="center"/>
            </w:pPr>
            <w:r>
              <w:t xml:space="preserve">0.60 [0.55, 0.65]</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smollm2-360m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0.73 [0.70, 0.77]</w:t>
            </w:r>
          </w:p>
        </w:tc>
        <w:tc>
          <w:tcPr/>
          <w:p>
            <w:pPr>
              <w:pStyle w:val="Compact"/>
              <w:jc w:val="center"/>
            </w:pPr>
            <w:r>
              <w:t xml:space="preserve">0.73 [0.69, 0.77]</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smollm2-360m instr</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0.89 [0.82, 0.96]</w:t>
            </w:r>
          </w:p>
        </w:tc>
        <w:tc>
          <w:tcPr/>
          <w:p>
            <w:pPr>
              <w:pStyle w:val="Compact"/>
              <w:jc w:val="center"/>
            </w:pPr>
            <w:r>
              <w:t xml:space="preserve">0.90 [0.84, 0.96]</w:t>
            </w:r>
          </w:p>
        </w:tc>
        <w:tc>
          <w:tcPr/>
          <w:p>
            <w:pPr>
              <w:pStyle w:val="Compact"/>
              <w:jc w:val="right"/>
            </w:pPr>
            <w:r>
              <w:t xml:space="preserve">0.04</w:t>
            </w:r>
          </w:p>
        </w:tc>
        <w:tc>
          <w:tcPr/>
          <w:p>
            <w:pPr>
              <w:pStyle w:val="Compact"/>
              <w:jc w:val="center"/>
            </w:pPr>
            <w:r>
              <w:t xml:space="preserve">no</w:t>
            </w:r>
          </w:p>
        </w:tc>
      </w:tr>
      <w:tr>
        <w:tc>
          <w:tcPr/>
          <w:p>
            <w:pPr>
              <w:pStyle w:val="Compact"/>
              <w:jc w:val="left"/>
            </w:pPr>
            <w:r>
              <w:t xml:space="preserve">qwen2.5-0.5b instr</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-0.06 [-0.39, 0.27]</w:t>
            </w:r>
          </w:p>
        </w:tc>
        <w:tc>
          <w:tcPr/>
          <w:p>
            <w:pPr>
              <w:pStyle w:val="Compact"/>
              <w:jc w:val="center"/>
            </w:pPr>
            <w:r>
              <w:t xml:space="preserve">-0.04 [-0.33, 0.26]</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qwen2.5-0.5b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0.74 [0.57, 0.92]</w:t>
            </w:r>
          </w:p>
        </w:tc>
        <w:tc>
          <w:tcPr/>
          <w:p>
            <w:pPr>
              <w:pStyle w:val="Compact"/>
              <w:jc w:val="center"/>
            </w:pPr>
            <w:r>
              <w:t xml:space="preserve">0.78 [0.61, 0.95]</w:t>
            </w:r>
          </w:p>
        </w:tc>
        <w:tc>
          <w:tcPr/>
          <w:p>
            <w:pPr>
              <w:pStyle w:val="Compact"/>
              <w:jc w:val="right"/>
            </w:pPr>
            <w:r>
              <w:t xml:space="preserve">0.10</w:t>
            </w:r>
          </w:p>
        </w:tc>
        <w:tc>
          <w:tcPr/>
          <w:p>
            <w:pPr>
              <w:pStyle w:val="Compact"/>
              <w:jc w:val="center"/>
            </w:pPr>
            <w:r>
              <w:t xml:space="preserve">no</w:t>
            </w:r>
          </w:p>
        </w:tc>
      </w:tr>
      <w:tr>
        <w:tc>
          <w:tcPr/>
          <w:p>
            <w:pPr>
              <w:pStyle w:val="Compact"/>
              <w:jc w:val="left"/>
            </w:pPr>
            <w:r>
              <w:t xml:space="preserve">qwen2.5-0.5b instr</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0.76 [0.65, 0.88]</w:t>
            </w:r>
          </w:p>
        </w:tc>
        <w:tc>
          <w:tcPr/>
          <w:p>
            <w:pPr>
              <w:pStyle w:val="Compact"/>
              <w:jc w:val="center"/>
            </w:pPr>
            <w:r>
              <w:t xml:space="preserve">0.77 [0.65, 0.88]</w:t>
            </w:r>
          </w:p>
        </w:tc>
        <w:tc>
          <w:tcPr/>
          <w:p>
            <w:pPr>
              <w:pStyle w:val="Compact"/>
              <w:jc w:val="right"/>
            </w:pPr>
            <w:r>
              <w:t xml:space="preserve">0.01</w:t>
            </w:r>
          </w:p>
        </w:tc>
        <w:tc>
          <w:tcPr/>
          <w:p>
            <w:pPr>
              <w:pStyle w:val="Compact"/>
              <w:jc w:val="center"/>
            </w:pPr>
            <w:r>
              <w:t xml:space="preserve">no</w:t>
            </w:r>
          </w:p>
        </w:tc>
      </w:tr>
      <w:tr>
        <w:tc>
          <w:tcPr/>
          <w:p>
            <w:pPr>
              <w:pStyle w:val="Compact"/>
              <w:jc w:val="left"/>
            </w:pPr>
            <w:r>
              <w:t xml:space="preserve">pythia-1.4b +10k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0.99 [0.95, 1.03]</w:t>
            </w:r>
          </w:p>
        </w:tc>
        <w:tc>
          <w:tcPr/>
          <w:p>
            <w:pPr>
              <w:pStyle w:val="Compact"/>
              <w:jc w:val="center"/>
            </w:pPr>
            <w:r>
              <w:t xml:space="preserve">0.99 [0.95, 1.03]</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pythia-1.4b +70k</w:t>
            </w:r>
          </w:p>
        </w:tc>
        <w:tc>
          <w:tcPr/>
          <w:p>
            <w:pPr>
              <w:pStyle w:val="Compact"/>
              <w:jc w:val="left"/>
            </w:pPr>
            <w:r>
              <w:t xml:space="preserve">DialogSum</w:t>
            </w:r>
          </w:p>
        </w:tc>
        <w:tc>
          <w:tcPr/>
          <w:p>
            <w:pPr>
              <w:pStyle w:val="Compact"/>
              <w:jc w:val="right"/>
            </w:pPr>
            <w:r>
              <w:t xml:space="preserve">3</w:t>
            </w:r>
          </w:p>
        </w:tc>
        <w:tc>
          <w:tcPr/>
          <w:p>
            <w:pPr>
              <w:pStyle w:val="Compact"/>
              <w:jc w:val="center"/>
            </w:pPr>
            <w:r>
              <w:t xml:space="preserve">0.12 [-0.37, 0.62]</w:t>
            </w:r>
          </w:p>
        </w:tc>
        <w:tc>
          <w:tcPr/>
          <w:p>
            <w:pPr>
              <w:pStyle w:val="Compact"/>
              <w:jc w:val="center"/>
            </w:pPr>
            <w:r>
              <w:t xml:space="preserve">0.28 [-0.16, 0.72]</w:t>
            </w:r>
          </w:p>
        </w:tc>
        <w:tc>
          <w:tcPr/>
          <w:p>
            <w:pPr>
              <w:pStyle w:val="Compact"/>
              <w:jc w:val="right"/>
            </w:pPr>
            <w:r>
              <w:t xml:space="preserve">0.12</w:t>
            </w:r>
          </w:p>
        </w:tc>
        <w:tc>
          <w:tcPr/>
          <w:p>
            <w:pPr>
              <w:pStyle w:val="Compact"/>
              <w:jc w:val="center"/>
            </w:pPr>
            <w:r>
              <w:t xml:space="preserve">no</w:t>
            </w:r>
          </w:p>
        </w:tc>
      </w:tr>
      <w:tr>
        <w:tc>
          <w:tcPr/>
          <w:p>
            <w:pPr>
              <w:pStyle w:val="Compact"/>
              <w:jc w:val="left"/>
            </w:pPr>
            <w:r>
              <w:t xml:space="preserve">pythia-1.4b +70k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0.79 [0.72, 0.85]</w:t>
            </w:r>
          </w:p>
        </w:tc>
        <w:tc>
          <w:tcPr/>
          <w:p>
            <w:pPr>
              <w:pStyle w:val="Compact"/>
              <w:jc w:val="center"/>
            </w:pPr>
            <w:r>
              <w:t xml:space="preserve">0.81 [0.75, 0.86]</w:t>
            </w:r>
          </w:p>
        </w:tc>
        <w:tc>
          <w:tcPr/>
          <w:p>
            <w:pPr>
              <w:pStyle w:val="Compact"/>
              <w:jc w:val="right"/>
            </w:pPr>
            <w:r>
              <w:t xml:space="preserve">0.07</w:t>
            </w:r>
          </w:p>
        </w:tc>
        <w:tc>
          <w:tcPr/>
          <w:p>
            <w:pPr>
              <w:pStyle w:val="Compact"/>
              <w:jc w:val="center"/>
            </w:pPr>
            <w:r>
              <w:t xml:space="preserve">no</w:t>
            </w:r>
          </w:p>
        </w:tc>
      </w:tr>
      <w:tr>
        <w:tc>
          <w:tcPr/>
          <w:p>
            <w:pPr>
              <w:pStyle w:val="Compact"/>
              <w:jc w:val="left"/>
            </w:pPr>
            <w:r>
              <w:t xml:space="preserve">pythia-1.4b +70k</w:t>
            </w:r>
          </w:p>
        </w:tc>
        <w:tc>
          <w:tcPr/>
          <w:p>
            <w:pPr>
              <w:pStyle w:val="Compact"/>
              <w:jc w:val="left"/>
            </w:pPr>
            <w:r>
              <w:t xml:space="preserve">SQL</w:t>
            </w:r>
          </w:p>
        </w:tc>
        <w:tc>
          <w:tcPr/>
          <w:p>
            <w:pPr>
              <w:pStyle w:val="Compact"/>
              <w:jc w:val="right"/>
            </w:pPr>
            <w:r>
              <w:t xml:space="preserve">3</w:t>
            </w:r>
          </w:p>
        </w:tc>
        <w:tc>
          <w:tcPr/>
          <w:p>
            <w:pPr>
              <w:pStyle w:val="Compact"/>
              <w:jc w:val="center"/>
            </w:pPr>
            <w:r>
              <w:t xml:space="preserve">0.99 [0.91, 1.08]</w:t>
            </w:r>
          </w:p>
        </w:tc>
        <w:tc>
          <w:tcPr/>
          <w:p>
            <w:pPr>
              <w:pStyle w:val="Compact"/>
              <w:jc w:val="center"/>
            </w:pPr>
            <w:r>
              <w:t xml:space="preserve">0.99 [0.90, 1.09]</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qwen2.5-1.5b instr</w:t>
            </w:r>
          </w:p>
        </w:tc>
        <w:tc>
          <w:tcPr/>
          <w:p>
            <w:pPr>
              <w:pStyle w:val="Compact"/>
              <w:jc w:val="left"/>
            </w:pPr>
            <w:r>
              <w:t xml:space="preserve">DialogSum</w:t>
            </w:r>
          </w:p>
        </w:tc>
        <w:tc>
          <w:tcPr/>
          <w:p>
            <w:pPr>
              <w:pStyle w:val="Compact"/>
              <w:jc w:val="right"/>
            </w:pPr>
            <w:r>
              <w:t xml:space="preserve">3</w:t>
            </w:r>
          </w:p>
        </w:tc>
        <w:tc>
          <w:tcPr/>
          <w:p>
            <w:pPr>
              <w:pStyle w:val="Compact"/>
              <w:jc w:val="center"/>
            </w:pPr>
            <w:r>
              <w:t xml:space="preserve">0.22 [-0.47, 0.91]</w:t>
            </w:r>
          </w:p>
        </w:tc>
        <w:tc>
          <w:tcPr/>
          <w:p>
            <w:pPr>
              <w:pStyle w:val="Compact"/>
              <w:jc w:val="center"/>
            </w:pPr>
            <w:r>
              <w:t xml:space="preserve">0.09 [-0.56, 0.75]</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qwen2.5-1.5b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0.81 [0.58, 1.04]</w:t>
            </w:r>
          </w:p>
        </w:tc>
        <w:tc>
          <w:tcPr/>
          <w:p>
            <w:pPr>
              <w:pStyle w:val="Compact"/>
              <w:jc w:val="center"/>
            </w:pPr>
            <w:r>
              <w:t xml:space="preserve">0.82 [0.59, 1.05]</w:t>
            </w:r>
          </w:p>
        </w:tc>
        <w:tc>
          <w:tcPr/>
          <w:p>
            <w:pPr>
              <w:pStyle w:val="Compact"/>
              <w:jc w:val="right"/>
            </w:pPr>
            <w:r>
              <w:t xml:space="preserve">0.04</w:t>
            </w:r>
          </w:p>
        </w:tc>
        <w:tc>
          <w:tcPr/>
          <w:p>
            <w:pPr>
              <w:pStyle w:val="Compact"/>
              <w:jc w:val="center"/>
            </w:pPr>
            <w:r>
              <w:t xml:space="preserve">no</w:t>
            </w:r>
          </w:p>
        </w:tc>
      </w:tr>
      <w:tr>
        <w:tc>
          <w:tcPr/>
          <w:p>
            <w:pPr>
              <w:pStyle w:val="Compact"/>
              <w:jc w:val="left"/>
            </w:pPr>
            <w:r>
              <w:t xml:space="preserve">qwen2.5-1.5b instr</w:t>
            </w:r>
          </w:p>
        </w:tc>
        <w:tc>
          <w:tcPr/>
          <w:p>
            <w:pPr>
              <w:pStyle w:val="Compact"/>
              <w:jc w:val="left"/>
            </w:pPr>
            <w:r>
              <w:t xml:space="preserve">SQL</w:t>
            </w:r>
          </w:p>
        </w:tc>
        <w:tc>
          <w:tcPr/>
          <w:p>
            <w:pPr>
              <w:pStyle w:val="Compact"/>
              <w:jc w:val="right"/>
            </w:pPr>
            <w:r>
              <w:t xml:space="preserve">3</w:t>
            </w:r>
          </w:p>
        </w:tc>
        <w:tc>
          <w:tcPr/>
          <w:p>
            <w:pPr>
              <w:pStyle w:val="Compact"/>
              <w:jc w:val="center"/>
            </w:pPr>
            <w:r>
              <w:t xml:space="preserve">0.92 [0.72, 1.12]</w:t>
            </w:r>
          </w:p>
        </w:tc>
        <w:tc>
          <w:tcPr/>
          <w:p>
            <w:pPr>
              <w:pStyle w:val="Compact"/>
              <w:jc w:val="center"/>
            </w:pPr>
            <w:r>
              <w:t xml:space="preserve">0.92 [0.71, 1.12]</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smollm2-1.7b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-1.32 [-1.79, -0.85]</w:t>
            </w:r>
          </w:p>
        </w:tc>
        <w:tc>
          <w:tcPr/>
          <w:p>
            <w:pPr>
              <w:pStyle w:val="Compact"/>
              <w:jc w:val="center"/>
            </w:pPr>
            <w:r>
              <w:t xml:space="preserve">-1.45 [-1.99, -0.91]</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qwen2.5-3b instr</w:t>
            </w:r>
          </w:p>
        </w:tc>
        <w:tc>
          <w:tcPr/>
          <w:p>
            <w:pPr>
              <w:pStyle w:val="Compact"/>
              <w:jc w:val="left"/>
            </w:pPr>
            <w:r>
              <w:t xml:space="preserve">GSM8K</w:t>
            </w:r>
          </w:p>
        </w:tc>
        <w:tc>
          <w:tcPr/>
          <w:p>
            <w:pPr>
              <w:pStyle w:val="Compact"/>
              <w:jc w:val="right"/>
            </w:pPr>
            <w:r>
              <w:t xml:space="preserve">4</w:t>
            </w:r>
          </w:p>
        </w:tc>
        <w:tc>
          <w:tcPr/>
          <w:p>
            <w:pPr>
              <w:pStyle w:val="Compact"/>
              <w:jc w:val="center"/>
            </w:pPr>
            <w:r>
              <w:t xml:space="preserve">0.65 [0.40, 0.89]</w:t>
            </w:r>
          </w:p>
        </w:tc>
        <w:tc>
          <w:tcPr/>
          <w:p>
            <w:pPr>
              <w:pStyle w:val="Compact"/>
              <w:jc w:val="center"/>
            </w:pPr>
            <w:r>
              <w:t xml:space="preserve">0.62 [0.36, 0.89]</w:t>
            </w:r>
          </w:p>
        </w:tc>
        <w:tc>
          <w:tcPr/>
          <w:p>
            <w:pPr>
              <w:pStyle w:val="Compact"/>
              <w:jc w:val="right"/>
            </w:pPr>
            <w:r>
              <w:t xml:space="preserve">0.00</w:t>
            </w:r>
          </w:p>
        </w:tc>
        <w:tc>
          <w:tcPr/>
          <w:p>
            <w:pPr>
              <w:pStyle w:val="Compact"/>
              <w:jc w:val="center"/>
            </w:pPr>
            <w:r>
              <w:t xml:space="preserve">no</w:t>
            </w:r>
          </w:p>
        </w:tc>
      </w:tr>
    </w:tbl>
    <w:p>
      <w:pPr>
        <w:pStyle w:val="BodyText"/>
      </w:pPr>
      <w:r>
        <w:rPr>
          <w:iCs/>
          <w:i/>
        </w:rPr>
        <w:t xml:space="preserve">Table C.3. Recovery and the bound</w:t>
      </w:r>
      <w:r>
        <w:rPr>
          <w:iCs/>
          <w:i/>
        </w:rPr>
        <w:t xml:space="preserve"> </w:t>
      </w:r>
      <m:oMath>
        <m:r>
          <m:t>Γ</m:t>
        </m:r>
      </m:oMath>
      <w:r>
        <w:rPr>
          <w:iCs/>
          <w:i/>
        </w:rPr>
        <w:t xml:space="preserve"> </w:t>
      </w:r>
      <w:r>
        <w:rPr>
          <w:iCs/>
          <w:i/>
        </w:rPr>
        <w:t xml:space="preserve">for 24 pair-task combinations.</w:t>
      </w:r>
      <w:r>
        <w:t xml:space="preserve"> </w:t>
      </w:r>
      <w:r>
        <w:t xml:space="preserve">“</w:t>
      </w:r>
      <w:r>
        <w:t xml:space="preserve">Tool pays</w:t>
      </w:r>
      <w:r>
        <w:t xml:space="preserve">”</w:t>
      </w:r>
      <w:r>
        <w:t xml:space="preserve"> </w:t>
      </w:r>
      <w:r>
        <w:t xml:space="preserve">means that</w:t>
      </w:r>
      <w:r>
        <w:t xml:space="preserve"> </w:t>
      </w:r>
      <m:oMath>
        <m:r>
          <m:t>Γ</m:t>
        </m:r>
      </m:oMath>
      <w:r>
        <w:t xml:space="preserve"> </w:t>
      </w:r>
      <w:r>
        <w:t xml:space="preserve">exceeds the cost reference. The case of Pythia-160M +70k on DialogSum is borderline (</w:t>
      </w:r>
      <m:oMath>
        <m:r>
          <m:t>Γ</m:t>
        </m:r>
        <m:r>
          <m:rPr>
            <m:sty m:val="p"/>
          </m:rPr>
          <m:t>=</m:t>
        </m:r>
        <m:r>
          <m:t>0.356</m:t>
        </m:r>
      </m:oMath>
      <w:r>
        <w:t xml:space="preserve"> </w:t>
      </w:r>
      <w:r>
        <w:t xml:space="preserve">against 0.359).</w:t>
      </w:r>
    </w:p>
    <w:bookmarkEnd w:id="60"/>
    <w:bookmarkStart w:id="61" w:name="appendix-d.-date-verification"/>
    <w:p>
      <w:pPr>
        <w:pStyle w:val="Heading2"/>
      </w:pPr>
      <w:r>
        <w:t xml:space="preserve">Appendix D. Date Verification</w:t>
      </w:r>
    </w:p>
    <w:p>
      <w:pPr>
        <w:pStyle w:val="FirstParagraph"/>
      </w:pPr>
      <w:r>
        <w:t xml:space="preserve">Window end: 28 September 2026. Primary definition: new version of the family’s main general-purpose text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Check</w:t>
            </w:r>
          </w:p>
        </w:tc>
      </w:tr>
      <w:tr>
        <w:tc>
          <w:tcPr/>
          <w:p>
            <w:pPr>
              <w:pStyle w:val="Compact"/>
              <w:jc w:val="left"/>
            </w:pPr>
            <w:r>
              <w:t xml:space="preserve">Llama</w:t>
            </w:r>
          </w:p>
        </w:tc>
        <w:tc>
          <w:tcPr/>
          <w:p>
            <w:pPr>
              <w:pStyle w:val="Compact"/>
              <w:jc w:val="left"/>
            </w:pPr>
            <w:r>
              <w:t xml:space="preserve">Llama 3.3</w:t>
            </w:r>
          </w:p>
        </w:tc>
        <w:tc>
          <w:tcPr/>
          <w:p>
            <w:pPr>
              <w:pStyle w:val="Compact"/>
              <w:jc w:val="left"/>
            </w:pPr>
            <w:r>
              <w:t xml:space="preserve">2024-12-06</w:t>
            </w:r>
          </w:p>
        </w:tc>
        <w:tc>
          <w:tcPr/>
          <w:p>
            <w:pPr>
              <w:pStyle w:val="Compact"/>
              <w:jc w:val="left"/>
            </w:pPr>
            <w:r>
              <w:t xml:space="preserve">Confirmed (Meta AI, 6 Dec 2024)</w:t>
            </w:r>
          </w:p>
        </w:tc>
      </w:tr>
      <w:tr>
        <w:tc>
          <w:tcPr/>
          <w:p>
            <w:pPr>
              <w:pStyle w:val="Compact"/>
              <w:jc w:val="left"/>
            </w:pPr>
            <w:r>
              <w:t xml:space="preserve">Gemma</w:t>
            </w:r>
          </w:p>
        </w:tc>
        <w:tc>
          <w:tcPr/>
          <w:p>
            <w:pPr>
              <w:pStyle w:val="Compact"/>
              <w:jc w:val="left"/>
            </w:pPr>
            <w:r>
              <w:t xml:space="preserve">Gemma 4</w:t>
            </w:r>
          </w:p>
        </w:tc>
        <w:tc>
          <w:tcPr/>
          <w:p>
            <w:pPr>
              <w:pStyle w:val="Compact"/>
              <w:jc w:val="left"/>
            </w:pPr>
            <w:r>
              <w:t xml:space="preserve">2026-04-02</w:t>
            </w:r>
          </w:p>
        </w:tc>
        <w:tc>
          <w:tcPr/>
          <w:p>
            <w:pPr>
              <w:pStyle w:val="Compact"/>
              <w:jc w:val="left"/>
            </w:pPr>
            <w:r>
              <w:t xml:space="preserve">Confirmed (Google AI / press, 2 Apr 2026)</w:t>
            </w:r>
          </w:p>
        </w:tc>
      </w:tr>
      <w:tr>
        <w:tc>
          <w:tcPr/>
          <w:p>
            <w:pPr>
              <w:pStyle w:val="Compact"/>
              <w:jc w:val="left"/>
            </w:pPr>
            <w:r>
              <w:t xml:space="preserve">DeepSeek</w:t>
            </w:r>
          </w:p>
        </w:tc>
        <w:tc>
          <w:tcPr/>
          <w:p>
            <w:pPr>
              <w:pStyle w:val="Compact"/>
              <w:jc w:val="left"/>
            </w:pPr>
            <w:r>
              <w:t xml:space="preserve">V4.1-Flash</w:t>
            </w:r>
          </w:p>
        </w:tc>
        <w:tc>
          <w:tcPr/>
          <w:p>
            <w:pPr>
              <w:pStyle w:val="Compact"/>
              <w:jc w:val="left"/>
            </w:pPr>
            <w:r>
              <w:t xml:space="preserve">2026-09-10</w:t>
            </w:r>
          </w:p>
        </w:tc>
        <w:tc>
          <w:tcPr/>
          <w:p>
            <w:pPr>
              <w:pStyle w:val="Compact"/>
              <w:jc w:val="left"/>
            </w:pPr>
            <w:r>
              <w:t xml:space="preserve">Confirmed (DeepSeek API changelog)</w:t>
            </w:r>
          </w:p>
        </w:tc>
      </w:tr>
      <w:tr>
        <w:tc>
          <w:tcPr/>
          <w:p>
            <w:pPr>
              <w:pStyle w:val="Compact"/>
              <w:jc w:val="left"/>
            </w:pPr>
            <w:r>
              <w:t xml:space="preserve">Other rows</w:t>
            </w:r>
          </w:p>
        </w:tc>
        <w:tc>
          <w:tcPr/>
          <w:p>
            <w:pPr>
              <w:pStyle w:val="Compact"/>
              <w:jc w:val="left"/>
            </w:pPr>
            <w:r>
              <w:t xml:space="preserve">—</w:t>
            </w:r>
          </w:p>
        </w:tc>
        <w:tc>
          <w:tcPr/>
          <w:p>
            <w:pPr>
              <w:pStyle w:val="Compact"/>
              <w:jc w:val="left"/>
            </w:pPr>
            <w:r>
              <w:t xml:space="preserve">source list</w:t>
            </w:r>
          </w:p>
        </w:tc>
        <w:tc>
          <w:tcPr/>
          <w:p>
            <w:pPr>
              <w:pStyle w:val="Compact"/>
              <w:jc w:val="left"/>
            </w:pPr>
            <w:r>
              <w:t xml:space="preserve">Dates as listed in the replication package</w:t>
            </w:r>
          </w:p>
        </w:tc>
      </w:tr>
    </w:tbl>
    <w:p>
      <w:pPr>
        <w:pStyle w:val="BodyText"/>
      </w:pPr>
      <w:r>
        <w:t xml:space="preserve">Classification retained: LLaMA 1 research-license weights counted as origin; instruct-only twins and extra sizes excluded from primary; QwQ, DeepSeek-R1, and refreshed checkpoints counted only under the broad definition.</w:t>
      </w:r>
    </w:p>
    <w:bookmarkEnd w:id="61"/>
    <w:bookmarkStart w:id="62" w:name="appendix-e.-replication-materials"/>
    <w:p>
      <w:pPr>
        <w:pStyle w:val="Heading2"/>
      </w:pPr>
      <w:r>
        <w:t xml:space="preserve">Appendix E. Replication Materials</w:t>
      </w:r>
    </w:p>
    <w:p>
      <w:pPr>
        <w:pStyle w:val="FirstParagraph"/>
      </w:pPr>
      <w:r>
        <w:t xml:space="preserve">The replication package reproduces Tables 3 to 7 and the figures that come from the model, the parameter grid of Appendix F, and the summaries of Appendix C. It contains the scripts for the model and the numerical analysis, the multi-seed driver and aggregation scripts for the model-pair experiments, the family-level release counts behind Table 3, the saved numerical output including the per-seed result files, and a script that compares 62 numbers with those printed in the paper. It does not contain model weights or training logs; those can be regenerated from public checkpoints with the supplied scripts. No proprietary or subscription data are used. An anonymized copy of the package will be provided to reviewers on request.</w:t>
      </w:r>
    </w:p>
    <w:bookmarkEnd w:id="62"/>
    <w:bookmarkStart w:id="63" w:name="Xcbfed8b408a7ad6d0ef111d1d5dafab9d9b8a72"/>
    <w:p>
      <w:pPr>
        <w:pStyle w:val="Heading2"/>
      </w:pPr>
      <w:r>
        <w:t xml:space="preserve">Appendix F. Parameter Grid and Alternative Distributions</w:t>
      </w:r>
    </w:p>
    <w:p>
      <w:pPr>
        <w:pStyle w:val="FirstParagraph"/>
      </w:pPr>
      <w:r>
        <w:t xml:space="preserve">The grid is</w:t>
      </w:r>
      <w:r>
        <w:t xml:space="preserve"> </w:t>
      </w:r>
      <m:oMath>
        <m:r>
          <m:t>ρ</m:t>
        </m:r>
        <m:r>
          <m:rPr>
            <m:sty m:val="p"/>
          </m:rPr>
          <m:t>∈</m:t>
        </m:r>
        <m:r>
          <m:rPr>
            <m:sty m:val="p"/>
          </m:rPr>
          <m:t>{</m:t>
        </m:r>
        <m:r>
          <m:t>0.05</m:t>
        </m:r>
        <m:r>
          <m:rPr>
            <m:sty m:val="p"/>
          </m:rPr>
          <m:t>,</m:t>
        </m:r>
        <m:r>
          <m:t>0.10</m:t>
        </m:r>
        <m:r>
          <m:rPr>
            <m:sty m:val="p"/>
          </m:rPr>
          <m:t>,</m:t>
        </m:r>
        <m:r>
          <m:t>0.20</m:t>
        </m:r>
        <m:r>
          <m:rPr>
            <m:sty m:val="p"/>
          </m:rPr>
          <m:t>}</m:t>
        </m:r>
      </m:oMath>
      <w:r>
        <w:t xml:space="preserve">,</w:t>
      </w:r>
      <w:r>
        <w:t xml:space="preserve"> </w:t>
      </w:r>
      <m:oMath>
        <m:r>
          <m:t>b</m:t>
        </m:r>
        <m:r>
          <m:rPr>
            <m:sty m:val="p"/>
          </m:rPr>
          <m:t>∈</m:t>
        </m:r>
        <m:r>
          <m:rPr>
            <m:sty m:val="p"/>
          </m:rPr>
          <m:t>{</m:t>
        </m:r>
        <m:r>
          <m:t>2</m:t>
        </m:r>
        <m:r>
          <m:rPr>
            <m:sty m:val="p"/>
          </m:rPr>
          <m:t>,</m:t>
        </m:r>
        <m:r>
          <m:t>4</m:t>
        </m:r>
        <m:r>
          <m:rPr>
            <m:sty m:val="p"/>
          </m:rPr>
          <m:t>,</m:t>
        </m:r>
        <m:r>
          <m:t>7</m:t>
        </m:r>
        <m:r>
          <m:rPr>
            <m:sty m:val="p"/>
          </m:rPr>
          <m:t>,</m:t>
        </m:r>
        <m:r>
          <m:t>10</m:t>
        </m:r>
        <m:r>
          <m:rPr>
            <m:sty m:val="p"/>
          </m:rPr>
          <m:t>,</m:t>
        </m:r>
        <m:r>
          <m:t>14</m:t>
        </m:r>
        <m:r>
          <m:rPr>
            <m:sty m:val="p"/>
          </m:rPr>
          <m:t>}</m:t>
        </m:r>
      </m:oMath>
      <w:r>
        <w:t xml:space="preserve">,</w:t>
      </w:r>
      <w:r>
        <w:t xml:space="preserve"> </w:t>
      </w:r>
      <m:oMath>
        <m:r>
          <m:t>ψ</m:t>
        </m:r>
        <m:r>
          <m:rPr>
            <m:sty m:val="p"/>
          </m:rPr>
          <m:t>∈</m:t>
        </m:r>
        <m:r>
          <m:rPr>
            <m:sty m:val="p"/>
          </m:rPr>
          <m:t>{</m:t>
        </m:r>
        <m:r>
          <m:t>0</m:t>
        </m:r>
        <m:r>
          <m:rPr>
            <m:sty m:val="p"/>
          </m:rPr>
          <m:t>,</m:t>
        </m:r>
        <m:r>
          <m:t>3</m:t>
        </m:r>
        <m:r>
          <m:rPr>
            <m:sty m:val="p"/>
          </m:rPr>
          <m:t>,</m:t>
        </m:r>
        <m:r>
          <m:t>6</m:t>
        </m:r>
        <m:r>
          <m:rPr>
            <m:sty m:val="p"/>
          </m:rPr>
          <m:t>,</m:t>
        </m:r>
        <m:r>
          <m:t>9</m:t>
        </m:r>
        <m:r>
          <m:rPr>
            <m:sty m:val="p"/>
          </m:rPr>
          <m:t>}</m:t>
        </m:r>
      </m:oMath>
      <w:r>
        <w:t xml:space="preserve">,</w:t>
      </w:r>
      <w:r>
        <w:t xml:space="preserve"> </w:t>
      </w:r>
      <m:oMath>
        <m:r>
          <m:t>c</m:t>
        </m:r>
        <m:r>
          <m:rPr>
            <m:sty m:val="p"/>
          </m:rPr>
          <m:t>∈</m:t>
        </m:r>
        <m:r>
          <m:rPr>
            <m:sty m:val="p"/>
          </m:rPr>
          <m:t>{</m:t>
        </m:r>
        <m:r>
          <m:t>1</m:t>
        </m:r>
        <m:r>
          <m:rPr>
            <m:sty m:val="p"/>
          </m:rPr>
          <m:t>,</m:t>
        </m:r>
        <m:r>
          <m:t>2</m:t>
        </m:r>
        <m:r>
          <m:rPr>
            <m:sty m:val="p"/>
          </m:rPr>
          <m:t>,</m:t>
        </m:r>
        <m:r>
          <m:t>4</m:t>
        </m:r>
        <m:r>
          <m:rPr>
            <m:sty m:val="p"/>
          </m:rPr>
          <m:t>}</m:t>
        </m:r>
      </m:oMath>
      <w:r>
        <w:t xml:space="preserve">,</w:t>
      </w:r>
      <w:r>
        <w:t xml:space="preserve"> </w:t>
      </w:r>
      <m:oMath>
        <m:r>
          <m:t>θ</m:t>
        </m:r>
        <m:r>
          <m:rPr>
            <m:sty m:val="p"/>
          </m:rPr>
          <m:t>∈</m:t>
        </m:r>
        <m:r>
          <m:rPr>
            <m:sty m:val="p"/>
          </m:rPr>
          <m:t>{</m:t>
        </m:r>
        <m:r>
          <m:t>0.25</m:t>
        </m:r>
        <m:r>
          <m:rPr>
            <m:sty m:val="p"/>
          </m:rPr>
          <m:t>,</m:t>
        </m:r>
        <m:r>
          <m:t>0.5</m:t>
        </m:r>
        <m:r>
          <m:rPr>
            <m:sty m:val="p"/>
          </m:rPr>
          <m:t>,</m:t>
        </m:r>
        <m:r>
          <m:t>0.75</m:t>
        </m:r>
        <m:r>
          <m:rPr>
            <m:sty m:val="p"/>
          </m:rPr>
          <m:t>}</m:t>
        </m:r>
      </m:oMath>
      <w:r>
        <w:t xml:space="preserve">, and</w:t>
      </w:r>
      <w:r>
        <w:t xml:space="preserve"> </w:t>
      </w:r>
      <m:oMath>
        <m:r>
          <m:t>R</m:t>
        </m:r>
        <m:r>
          <m:rPr>
            <m:sty m:val="p"/>
          </m:rPr>
          <m:t>∈</m:t>
        </m:r>
        <m:r>
          <m:rPr>
            <m:sty m:val="p"/>
          </m:rPr>
          <m:t>{</m:t>
        </m:r>
        <m:r>
          <m:t>0.1</m:t>
        </m:r>
        <m:r>
          <m:rPr>
            <m:sty m:val="p"/>
          </m:rPr>
          <m:t>,</m:t>
        </m:r>
        <m:r>
          <m:t>0.3</m:t>
        </m:r>
        <m:r>
          <m:rPr>
            <m:sty m:val="p"/>
          </m:rPr>
          <m:t>,</m:t>
        </m:r>
        <m:r>
          <m:t>0.5</m:t>
        </m:r>
        <m:r>
          <m:rPr>
            <m:sty m:val="p"/>
          </m:rPr>
          <m:t>,</m:t>
        </m:r>
        <m:r>
          <m:t>0.7</m:t>
        </m:r>
        <m:r>
          <m:rPr>
            <m:sty m:val="p"/>
          </m:rPr>
          <m:t>,</m:t>
        </m:r>
        <m:r>
          <m:t>0.8</m:t>
        </m:r>
        <m:r>
          <m:rPr>
            <m:sty m:val="p"/>
          </m:rPr>
          <m:t>}</m:t>
        </m:r>
      </m:oMath>
      <w:r>
        <w:t xml:space="preserve">, with</w:t>
      </w:r>
      <w:r>
        <w:t xml:space="preserve"> </w:t>
      </w:r>
      <m:oMath>
        <m:sSub>
          <m:e>
            <m:r>
              <m:t>C</m:t>
            </m:r>
          </m:e>
          <m:sub>
            <m:r>
              <m:t>N</m:t>
            </m:r>
          </m:sub>
        </m:sSub>
        <m:r>
          <m:rPr>
            <m:sty m:val="p"/>
          </m:rPr>
          <m:t>=</m:t>
        </m:r>
        <m:r>
          <m:t>1</m:t>
        </m:r>
      </m:oMath>
      <w:r>
        <w:t xml:space="preserve"> </w:t>
      </w:r>
      <w:r>
        <w:t xml:space="preserve">and</w:t>
      </w:r>
      <w:r>
        <w:t xml:space="preserve"> </w:t>
      </w:r>
      <m:oMath>
        <m:r>
          <m:t>n</m:t>
        </m:r>
        <m:r>
          <m:rPr>
            <m:sty m:val="p"/>
          </m:rPr>
          <m:t>=</m:t>
        </m:r>
        <m:r>
          <m:t>1</m:t>
        </m:r>
      </m:oMath>
      <w:r>
        <w:t xml:space="preserve">; all value distributions have mean 20. A cell is valid if the owner’s and the planner’s objectives are concave on the whole intensity grid and both maximizers are interior. Cells that fail concavity violate the hypothesis of Propositions 3(b) and 5(d), and cells with a corner solution are those in which the owner prefers no release at all or the maximizer lies at the upper end of the grid. Slopes are computed between adjacent values of</w:t>
      </w:r>
      <w:r>
        <w:t xml:space="preserve"> </w:t>
      </w:r>
      <m:oMath>
        <m:r>
          <m:t>R</m:t>
        </m:r>
      </m:oMath>
      <w:r>
        <w:t xml:space="preserve">, and</w:t>
      </w:r>
      <w:r>
        <w:t xml:space="preserve"> </w:t>
      </w:r>
      <w:r>
        <w:t xml:space="preserve">“</w:t>
      </w:r>
      <w:r>
        <w:t xml:space="preserve">Zero</w:t>
      </w:r>
      <w:r>
        <w:t xml:space="preserve">”</w:t>
      </w:r>
      <w:r>
        <w:t xml:space="preserve"> </w:t>
      </w:r>
      <w:r>
        <w:t xml:space="preserve">means an absolute slope below</w:t>
      </w:r>
      <w:r>
        <w:t xml:space="preserve"> </w:t>
      </w:r>
      <m:oMath>
        <m:sSup>
          <m:e>
            <m:r>
              <m:t>10</m:t>
            </m:r>
          </m:e>
          <m:sup>
            <m:r>
              <m:rPr>
                <m:sty m:val="p"/>
              </m:rPr>
              <m:t>−</m:t>
            </m:r>
            <m:r>
              <m:t>6</m:t>
            </m:r>
          </m:sup>
        </m:sSup>
      </m:oMath>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Distribution</w:t>
            </w:r>
          </w:p>
        </w:tc>
        <w:tc>
          <w:tcPr/>
          <w:p>
            <w:pPr>
              <w:pStyle w:val="Compact"/>
              <w:jc w:val="right"/>
            </w:pPr>
            <w:r>
              <w:t xml:space="preserve">Valid cells</w:t>
            </w:r>
          </w:p>
        </w:tc>
        <w:tc>
          <w:tcPr/>
          <w:p>
            <w:pPr>
              <w:pStyle w:val="Compact"/>
              <w:jc w:val="right"/>
            </w:pPr>
            <m:oMath>
              <m:r>
                <m:t>d</m:t>
              </m:r>
              <m:sSub>
                <m:e>
                  <m:r>
                    <m:t>μ</m:t>
                  </m:r>
                </m:e>
                <m:sub>
                  <m:r>
                    <m:t>V</m:t>
                  </m:r>
                </m:sub>
              </m:sSub>
              <m:r>
                <m:rPr>
                  <m:sty m:val="p"/>
                </m:rPr>
                <m:t>/</m:t>
              </m:r>
              <m:r>
                <m:t>d</m:t>
              </m:r>
              <m:r>
                <m:t>R</m:t>
              </m:r>
              <m:r>
                <m:rPr>
                  <m:sty m:val="p"/>
                </m:rPr>
                <m:t>&gt;</m:t>
              </m:r>
              <m:r>
                <m:t>0</m:t>
              </m:r>
            </m:oMath>
          </w:p>
        </w:tc>
        <w:tc>
          <w:tcPr/>
          <w:p>
            <w:pPr>
              <w:pStyle w:val="Compact"/>
              <w:jc w:val="right"/>
            </w:pPr>
            <w:r>
              <w:t xml:space="preserve">Zero</w:t>
            </w:r>
          </w:p>
        </w:tc>
        <w:tc>
          <w:tcPr/>
          <w:p>
            <w:pPr>
              <w:pStyle w:val="Compact"/>
              <w:jc w:val="right"/>
            </w:pPr>
            <w:r>
              <w:t xml:space="preserve">Negative</w:t>
            </w:r>
          </w:p>
        </w:tc>
        <w:tc>
          <w:tcPr/>
          <w:p>
            <w:pPr>
              <w:pStyle w:val="Compact"/>
              <w:jc w:val="right"/>
            </w:pPr>
            <w:r>
              <w:t xml:space="preserve">Over-release share</w:t>
            </w:r>
          </w:p>
        </w:tc>
        <w:tc>
          <w:tcPr/>
          <w:p>
            <w:pPr>
              <w:pStyle w:val="Compact"/>
              <w:jc w:val="right"/>
            </w:pPr>
            <w:r>
              <w:t xml:space="preserve">Criterion agrees</w:t>
            </w:r>
          </w:p>
        </w:tc>
      </w:tr>
      <w:tr>
        <w:tc>
          <w:tcPr/>
          <w:p>
            <w:pPr>
              <w:pStyle w:val="Compact"/>
              <w:jc w:val="left"/>
            </w:pPr>
            <w:r>
              <w:t xml:space="preserve">Uniform [0,40]</w:t>
            </w:r>
          </w:p>
        </w:tc>
        <w:tc>
          <w:tcPr/>
          <w:p>
            <w:pPr>
              <w:pStyle w:val="Compact"/>
              <w:jc w:val="right"/>
            </w:pPr>
            <w:r>
              <w:t xml:space="preserve">1455 of 2700</w:t>
            </w:r>
          </w:p>
        </w:tc>
        <w:tc>
          <w:tcPr/>
          <w:p>
            <w:pPr>
              <w:pStyle w:val="Compact"/>
              <w:jc w:val="right"/>
            </w:pPr>
            <w:r>
              <w:t xml:space="preserve">1203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0.34</w:t>
            </w:r>
          </w:p>
        </w:tc>
        <w:tc>
          <w:tcPr/>
          <w:p>
            <w:pPr>
              <w:pStyle w:val="Compact"/>
              <w:jc w:val="right"/>
            </w:pPr>
            <w:r>
              <w:t xml:space="preserve">1455 of 1455</w:t>
            </w:r>
          </w:p>
        </w:tc>
      </w:tr>
      <w:tr>
        <w:tc>
          <w:tcPr/>
          <w:p>
            <w:pPr>
              <w:pStyle w:val="Compact"/>
              <w:jc w:val="left"/>
            </w:pPr>
            <w:r>
              <w:t xml:space="preserve">Exponential</w:t>
            </w:r>
          </w:p>
        </w:tc>
        <w:tc>
          <w:tcPr/>
          <w:p>
            <w:pPr>
              <w:pStyle w:val="Compact"/>
              <w:jc w:val="right"/>
            </w:pPr>
            <w:r>
              <w:t xml:space="preserve">1300 of 2700</w:t>
            </w:r>
          </w:p>
        </w:tc>
        <w:tc>
          <w:tcPr/>
          <w:p>
            <w:pPr>
              <w:pStyle w:val="Compact"/>
              <w:jc w:val="right"/>
            </w:pPr>
            <w:r>
              <w:t xml:space="preserve">1134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0.30</w:t>
            </w:r>
          </w:p>
        </w:tc>
        <w:tc>
          <w:tcPr/>
          <w:p>
            <w:pPr>
              <w:pStyle w:val="Compact"/>
              <w:jc w:val="right"/>
            </w:pPr>
            <w:r>
              <w:t xml:space="preserve">1300 of 1300</w:t>
            </w:r>
          </w:p>
        </w:tc>
      </w:tr>
      <w:tr>
        <w:tc>
          <w:tcPr/>
          <w:p>
            <w:pPr>
              <w:pStyle w:val="Compact"/>
              <w:jc w:val="left"/>
            </w:pPr>
            <w:r>
              <w:t xml:space="preserve">Gamma, shape 3</w:t>
            </w:r>
          </w:p>
        </w:tc>
        <w:tc>
          <w:tcPr/>
          <w:p>
            <w:pPr>
              <w:pStyle w:val="Compact"/>
              <w:jc w:val="right"/>
            </w:pPr>
            <w:r>
              <w:t xml:space="preserve">1185 of 2700</w:t>
            </w:r>
          </w:p>
        </w:tc>
        <w:tc>
          <w:tcPr/>
          <w:p>
            <w:pPr>
              <w:pStyle w:val="Compact"/>
              <w:jc w:val="right"/>
            </w:pPr>
            <w:r>
              <w:t xml:space="preserve">987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0.28</w:t>
            </w:r>
          </w:p>
        </w:tc>
        <w:tc>
          <w:tcPr/>
          <w:p>
            <w:pPr>
              <w:pStyle w:val="Compact"/>
              <w:jc w:val="right"/>
            </w:pPr>
            <w:r>
              <w:t xml:space="preserve">1185 of 1185</w:t>
            </w:r>
          </w:p>
        </w:tc>
      </w:tr>
      <w:tr>
        <w:tc>
          <w:tcPr/>
          <w:p>
            <w:pPr>
              <w:pStyle w:val="Compact"/>
              <w:jc w:val="left"/>
            </w:pPr>
            <w:r>
              <w:t xml:space="preserve">Lognormal,</w:t>
            </w:r>
            <w:r>
              <w:t xml:space="preserve"> </w:t>
            </w:r>
            <m:oMath>
              <m:r>
                <m:t>s</m:t>
              </m:r>
              <m:r>
                <m:rPr>
                  <m:sty m:val="p"/>
                </m:rPr>
                <m:t>=</m:t>
              </m:r>
              <m:r>
                <m:t>0.5</m:t>
              </m:r>
            </m:oMath>
          </w:p>
        </w:tc>
        <w:tc>
          <w:tcPr/>
          <w:p>
            <w:pPr>
              <w:pStyle w:val="Compact"/>
              <w:jc w:val="right"/>
            </w:pPr>
            <w:r>
              <w:t xml:space="preserve">1095 of 2700</w:t>
            </w:r>
          </w:p>
        </w:tc>
        <w:tc>
          <w:tcPr/>
          <w:p>
            <w:pPr>
              <w:pStyle w:val="Compact"/>
              <w:jc w:val="right"/>
            </w:pPr>
            <w:r>
              <w:t xml:space="preserve">922</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0.29</w:t>
            </w:r>
          </w:p>
        </w:tc>
        <w:tc>
          <w:tcPr/>
          <w:p>
            <w:pPr>
              <w:pStyle w:val="Compact"/>
              <w:jc w:val="right"/>
            </w:pPr>
            <w:r>
              <w:t xml:space="preserve">1095 of 1095</w:t>
            </w:r>
          </w:p>
        </w:tc>
      </w:tr>
      <w:tr>
        <w:tc>
          <w:tcPr/>
          <w:p>
            <w:pPr>
              <w:pStyle w:val="Compact"/>
              <w:jc w:val="left"/>
            </w:pPr>
            <w:r>
              <w:t xml:space="preserve">Lognormal,</w:t>
            </w:r>
            <w:r>
              <w:t xml:space="preserve"> </w:t>
            </w:r>
            <m:oMath>
              <m:r>
                <m:t>s</m:t>
              </m:r>
              <m:r>
                <m:rPr>
                  <m:sty m:val="p"/>
                </m:rPr>
                <m:t>=</m:t>
              </m:r>
              <m:r>
                <m:t>1.0</m:t>
              </m:r>
            </m:oMath>
          </w:p>
        </w:tc>
        <w:tc>
          <w:tcPr/>
          <w:p>
            <w:pPr>
              <w:pStyle w:val="Compact"/>
              <w:jc w:val="right"/>
            </w:pPr>
            <w:r>
              <w:t xml:space="preserve">1098 of 2700</w:t>
            </w:r>
          </w:p>
        </w:tc>
        <w:tc>
          <w:tcPr/>
          <w:p>
            <w:pPr>
              <w:pStyle w:val="Compact"/>
              <w:jc w:val="right"/>
            </w:pPr>
            <w:r>
              <w:t xml:space="preserve">948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w:t>
            </w:r>
          </w:p>
        </w:tc>
        <w:tc>
          <w:tcPr/>
          <w:p>
            <w:pPr>
              <w:pStyle w:val="Compact"/>
              <w:jc w:val="right"/>
            </w:pPr>
            <w:r>
              <w:t xml:space="preserve">1098 of 1098</w:t>
            </w:r>
          </w:p>
        </w:tc>
      </w:tr>
      <w:tr>
        <w:tc>
          <w:tcPr/>
          <w:p>
            <w:pPr>
              <w:pStyle w:val="Compact"/>
              <w:jc w:val="left"/>
            </w:pPr>
            <w:r>
              <w:t xml:space="preserve">Pareto, tail index 2.5</w:t>
            </w:r>
          </w:p>
        </w:tc>
        <w:tc>
          <w:tcPr/>
          <w:p>
            <w:pPr>
              <w:pStyle w:val="Compact"/>
              <w:jc w:val="right"/>
            </w:pPr>
            <w:r>
              <w:t xml:space="preserve">372 of 2700</w:t>
            </w:r>
          </w:p>
        </w:tc>
        <w:tc>
          <w:tcPr/>
          <w:p>
            <w:pPr>
              <w:pStyle w:val="Compact"/>
              <w:jc w:val="right"/>
            </w:pPr>
            <w:r>
              <w:t xml:space="preserve">18</w:t>
            </w:r>
          </w:p>
        </w:tc>
        <w:tc>
          <w:tcPr/>
          <w:p>
            <w:pPr>
              <w:pStyle w:val="Compact"/>
              <w:jc w:val="right"/>
            </w:pPr>
            <w:r>
              <w:t xml:space="preserve">354</w:t>
            </w:r>
          </w:p>
        </w:tc>
        <w:tc>
          <w:tcPr/>
          <w:p>
            <w:pPr>
              <w:pStyle w:val="Compact"/>
              <w:jc w:val="right"/>
            </w:pPr>
            <w:r>
              <w:t xml:space="preserve">0</w:t>
            </w:r>
          </w:p>
        </w:tc>
        <w:tc>
          <w:tcPr/>
          <w:p>
            <w:pPr>
              <w:pStyle w:val="Compact"/>
              <w:jc w:val="right"/>
            </w:pPr>
            <w:r>
              <w:t xml:space="preserve">0.31</w:t>
            </w:r>
          </w:p>
        </w:tc>
        <w:tc>
          <w:tcPr/>
          <w:p>
            <w:pPr>
              <w:pStyle w:val="Compact"/>
              <w:jc w:val="right"/>
            </w:pPr>
            <w:r>
              <w:t xml:space="preserve">372 of 372</w:t>
            </w:r>
          </w:p>
        </w:tc>
      </w:tr>
    </w:tbl>
    <w:p>
      <w:pPr>
        <w:pStyle w:val="BodyText"/>
      </w:pPr>
      <w:r>
        <w:rPr>
          <w:iCs/>
          <w:i/>
        </w:rPr>
        <w:t xml:space="preserve">Table F.1. Monopoly results on the parameter grid.</w:t>
      </w:r>
      <w:r>
        <w:t xml:space="preserve"> </w:t>
      </w:r>
      <w:r>
        <w:t xml:space="preserve">The Pareto row has few valid cells because its heavy tail makes the planner’s objective nonconcave over most of the grid. Its zero cells are those in which</w:t>
      </w:r>
      <w:r>
        <w:t xml:space="preserve"> </w:t>
      </w:r>
      <m:oMath>
        <m:acc>
          <m:accPr>
            <m:chr m:val="̂"/>
          </m:accPr>
          <m:e>
            <m:r>
              <m:t>v</m:t>
            </m:r>
          </m:e>
        </m:acc>
      </m:oMath>
      <w:r>
        <w:t xml:space="preserve"> </w:t>
      </w:r>
      <w:r>
        <w:t xml:space="preserve">lies below the Pareto lower bound, so that every firm retrains.</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 Type="http://schemas.openxmlformats.org/officeDocument/2006/relationships/image" Id="rId24" Target="media/rId24.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Platform Moves Underneath: Maintaining Complementary IT Assets under Endogenous Release Cadence</dc:title>
  <dc:creator/>
  <cp:keywords/>
  <dcterms:created xsi:type="dcterms:W3CDTF">2026-10-29T12:25:51Z</dcterms:created>
  <dcterms:modified xsi:type="dcterms:W3CDTF">2026-10-29T12:25:51Z</dcterms:modified>
</cp:coreProperties>
</file>

<file path=docProps/custom.xml><?xml version="1.0" encoding="utf-8"?>
<Properties xmlns="http://schemas.openxmlformats.org/officeDocument/2006/custom-properties" xmlns:vt="http://schemas.openxmlformats.org/officeDocument/2006/docPropsVTypes"/>
</file>