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and only until rivals imitate it. We then examine measurable counterparts of the theory in public leaderboard, endpoint-price, and SEC filing data. A lab’s flagship price is positively associated with its quality lead, and firms that launch a dated first-party AI product show a higher operating margin afterward. These patterns are consistent with the theory, but the samples are small, and the data cannot establish that the margin increment decays or separate it from alternative explanations.</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Our contribution lies in what we do with them. We fit them together in a single account of a general-purpose technology’s vertical structure, state each position’s rent in terms that can be measured with data that now exist, and take the resulting predictions to public data. Two features of LLMs make this worthwhile: quality leads between models are observable on public leaderboards and fade within months, and the same model is sold to developers’ customers and their competitors on posted prices.</w:t>
      </w:r>
    </w:p>
    <w:p>
      <w:pPr>
        <w:pStyle w:val="BodyText"/>
      </w:pPr>
      <w:r>
        <w:t xml:space="preserve">We make three contributions. First, we extend the IT business value literature from the firm to the value chain, by deriving jointly where profit will appear among developers, adopters, and consumers, how large it is likely to be, and when it will disappear. Second, we define appropriability ex ante, as expected imitation lag and cost, and show how that definition yields testable constructs (quality lead, imitation lag, and organizational capital) that can be measured from public sources. Third, we offer a first empirical look at these constructs using leaderboard, endpoint-price, and regulatory filing data, and we are explicit about the limits of these tests. For practice, the theory replaces the question that dominates managerial discussion of AI, namely how much to invest, with the question it identifies as decisive: what does the firm own that the model cannot supply, and how long will it take competitors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derives the hypotheses, and Section 6 reports results.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6"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 5)</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End w:id="36"/>
    <w:bookmarkStart w:id="39" w:name="hypotheses-and-empirical-counterparts"/>
    <w:p>
      <w:pPr>
        <w:pStyle w:val="Heading1"/>
      </w:pPr>
      <w:r>
        <w:t xml:space="preserve">5. Hypotheses and Empirical Counterparts</w:t>
      </w:r>
    </w:p>
    <w:bookmarkStart w:id="37"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7"/>
    <w:bookmarkStart w:id="38" w:name="hypotheses"/>
    <w:p>
      <w:pPr>
        <w:pStyle w:val="Heading2"/>
      </w:pPr>
      <w:r>
        <w:t xml:space="preserve">5.2 Hypotheses</w:t>
      </w:r>
    </w:p>
    <w:p>
      <w:pPr>
        <w:pStyle w:val="FirstParagraph"/>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bookmarkEnd w:id="38"/>
    <w:bookmarkEnd w:id="39"/>
    <w:bookmarkStart w:id="43" w:name="results"/>
    <w:p>
      <w:pPr>
        <w:pStyle w:val="Heading1"/>
      </w:pPr>
      <w:r>
        <w:t xml:space="preserve">6. Results</w:t>
      </w:r>
    </w:p>
    <w:p>
      <w:pPr>
        <w:pStyle w:val="FirstParagraph"/>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we regress log realized price on the lab’s lead with lab fixed effects and a trend, clustering by lab. On the adopter side, we regress operating margin on a post-GA indicator with firm and year fixed effects, clustering by firm.</w:t>
      </w:r>
    </w:p>
    <w:bookmarkStart w:id="40"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0"/>
    <w:bookmarkStart w:id="41" w:name="adopter-side-h2-to-h4"/>
    <w:p>
      <w:pPr>
        <w:pStyle w:val="Heading2"/>
      </w:pPr>
      <w:r>
        <w:t xml:space="preserve">6.2 Adopter side (H2 to H4)</w:t>
      </w:r>
    </w:p>
    <w:p>
      <w:pPr>
        <w:pStyle w:val="FirstParagraph"/>
      </w:pPr>
      <w:r>
        <w:rPr>
          <w:iCs/>
          <w:i/>
        </w:rPr>
        <w:t xml:space="preserve">H2.</w:t>
      </w:r>
      <w:r>
        <w:t xml:space="preserve"> </w:t>
      </w:r>
      <w:r>
        <w:t xml:space="preserve">We do not report a test of H2 here.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 A time-invariant bundle-by-post-2023 difference-in-differences gives a similar coefficient and is retained as a robustness check.</w:t>
      </w:r>
    </w:p>
    <w:bookmarkEnd w:id="41"/>
    <w:bookmarkStart w:id="42"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2"/>
    <w:bookmarkEnd w:id="43"/>
    <w:bookmarkStart w:id="47" w:name="discussion"/>
    <w:p>
      <w:pPr>
        <w:pStyle w:val="Heading1"/>
      </w:pPr>
      <w:r>
        <w:t xml:space="preserve">7. Discussion</w:t>
      </w:r>
    </w:p>
    <w:bookmarkStart w:id="44"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4"/>
    <w:bookmarkStart w:id="45"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 5 implies that contractual terms covering data use, fine-tuning ownership, and on-premise deployment are strategic decisions, because they affect the rate at which a vendor can productize an adopter’s use.</w:t>
      </w:r>
    </w:p>
    <w:bookmarkEnd w:id="45"/>
    <w:bookmarkStart w:id="46"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H1a, H1b, and H2 are not tested here, and the evidence on H4 is inconclusive. The tests reported are best viewed as a first look at the constructs, and they are not a confirmation of the theory.</w:t>
      </w:r>
    </w:p>
    <w:bookmarkEnd w:id="46"/>
    <w:bookmarkEnd w:id="47"/>
    <w:bookmarkStart w:id="48"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48"/>
    <w:bookmarkStart w:id="49"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bookmarkEnd w:id="49"/>
    <w:bookmarkStart w:id="50"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2026-10-20T23:17:48Z</dcterms:created>
  <dcterms:modified xsi:type="dcterms:W3CDTF">2026-10-20T23:17:48Z</dcterms:modified>
</cp:coreProperties>
</file>

<file path=docProps/custom.xml><?xml version="1.0" encoding="utf-8"?>
<Properties xmlns="http://schemas.openxmlformats.org/officeDocument/2006/custom-properties" xmlns:vt="http://schemas.openxmlformats.org/officeDocument/2006/docPropsVTypes"/>
</file>