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Forgetting: Shapley-Based Data Valuation for Compensated Unlearning in Large Language Models</w:t>
      </w:r>
    </w:p>
    <w:p>
      <w:pPr>
        <w:pStyle w:val="Heading2"/>
      </w:pPr>
      <w:r>
        <w:t xml:space="preserve">Abstract</w:t>
      </w:r>
    </w:p>
    <w:p>
      <w:pPr>
        <w:ind w:firstLine="0"/>
      </w:pPr>
      <w:r>
        <w:t xml:space="preserve">Requests to remove data from trained language models are increasingly routine, yet what a piece of training data was worth and what is lost when it is removed are usually treated as separate questions. We show that they are one question. Treating data contributors as players in a coalitional game, we prove that the Shapley value of the contribution game coincides with that of the corresponding deletion game, which motivates compensation for unlearning consistent with ex ante data pricing. Because exact retraining is infeasible for large models, the counterfactual utilities needed for Shapley estimation must come from approximate unlearning. We show that residual knowledge enters the estimated values additively and that the aggregate bias is pinned down by one quantity: the performance a model retains once every contributor has nominally been removed. We then derive a simple audit condition under which a developer who is paid according to these values reports unlearning truthfully. In a small experiment on fictitious authors, with four contributor groups and exact retraining of every coalition, the aggregate bias changes sign as gradient-ascent unlearning becomes more aggressive, from a large understatement of total value to an overstatement, while individual biases persist where the aggregate bias is near zero. Sequential estimates drift away from set-function estimates as unlearning strengthens, and a brief relearning attack restores most of the removed knowledge even when the aggregate diagnostic suggests complete forgetting. Predictions on redundant contributors and on data that is hard to forget remain untested.</w:t>
      </w:r>
    </w:p>
    <w:p>
      <w:pPr>
        <w:ind w:firstLine="0"/>
      </w:pPr>
      <w:r>
        <w:rPr>
          <w:b/>
        </w:rPr>
        <w:t xml:space="preserve">Keywords:</w:t>
      </w:r>
      <w:r>
        <w:t xml:space="preserve"> machine unlearning, data valuation, Shapley value, compensation for data, large language models, audit</w:t>
      </w:r>
    </w:p>
    <w:p>
      <w:pPr>
        <w:pStyle w:val="Heading2"/>
        <w:pageBreakBefore/>
      </w:pPr>
      <w:r>
        <w:t xml:space="preserve">1 Introduction</w:t>
      </w:r>
    </w:p>
    <w:p>
      <w:pPr/>
      <w:r>
        <w:t xml:space="preserve">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 xml:space="preserve">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 xml:space="preserve">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three contributions.</w:t>
      </w:r>
    </w:p>
    <w:p>
      <w:pPr/>
      <w:r>
        <w:t xml:space="preserve">First, we formalize the link.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w:t>
      </w:r>
    </w:p>
    <w:p>
      <w:pPr/>
      <w:r>
        <w:t xml:space="preserve">Third, we consider incentives. A developer who is liable for the value of the data it retains, or who pays compensation tied to unlearning outcomes, has an obvious reason to under-unlearn and over-report. We set up a stylized audit model and derive a condition, linking audit probability, penalty, and the value of residual knowledge, under which truthful reporting is optimal.</w:t>
      </w:r>
    </w:p>
    <w:p>
      <w:pPr/>
      <w:r>
        <w:t xml:space="preserve">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on audit power. It does not address redundant or heavily duplicated contributors, which we leave for future work.</w:t>
      </w:r>
    </w:p>
    <w:p>
      <w:pPr/>
      <w:r>
        <w:t xml:space="preserve">The rest of the paper is organized as follows. Section 2 reviews related work. Section 3 introduces the model and the duality result. Section 4 analyzes estimation under approximate unlearning. Section 5 studies incentives. Section 6 describes the experimental design and reports the results. Section 7 discusses limitations, and Section 8 concludes.</w:t>
      </w:r>
    </w:p>
    <w:p>
      <w:pPr>
        <w:pStyle w:val="Heading2"/>
      </w:pPr>
      <w:r>
        <w:t xml:space="preserve">2 Related Work</w:t>
      </w:r>
    </w:p>
    <w:p>
      <w:pPr/>
      <w:r>
        <w:rPr>
          <w:b/>
        </w:rPr>
        <w:t xml:space="preserve">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and Grosse et al. (2023) scaled influence functions to models with tens of billions of parameters. We take these estimators as given and ask what happens when the counterfactual they rely on is generated by unlearning rather than by retraining.</w:t>
      </w:r>
    </w:p>
    <w:p>
      <w:pPr/>
      <w:r>
        <w:rPr>
          <w:b/>
        </w:rPr>
        <w:t xml:space="preserve">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WMDP (Li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 xml:space="preserve">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pStyle w:val="Heading2"/>
      </w:pPr>
      <w:r>
        <w:t xml:space="preserve">3 Model</w:t>
      </w:r>
    </w:p>
    <w:p>
      <w:pPr>
        <w:pStyle w:val="Heading3"/>
      </w:pPr>
      <w:r>
        <w:t xml:space="preserve">3.1 The Contribution Game</w:t>
      </w:r>
    </w:p>
    <w:p>
      <w:pPr/>
      <w:r>
        <w:t xml:space="preserve">Let N = {1, …, n} be a set of data contributors, where contributor i owns a dataset D_i. A developer trains a model on a base corpus D_0,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 xml:space="preserve">(1)</w:t>
      </w:r>
    </w:p>
    <w:p>
      <w:pPr/>
      <w:r>
        <w:t xml:space="preserve">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 xml:space="preserve">(2)</w:t>
      </w:r>
    </w:p>
    <w:p>
      <w:pPr/>
      <w:r>
        <w:t xml:space="preserve">It is the unique allocation satisfying efficiency, symmetry, the null-player property, and additivity (Shapley 1953); efficiency here means that the values sum to v(N), the total gain from all contributors' data.</w:t>
      </w:r>
    </w:p>
    <w:p>
      <w:pPr/>
      <w:r>
        <w:t xml:space="preserve">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 xml:space="preserve">3.2 The Deletion Game</w:t>
      </w:r>
    </w:p>
    <w:p>
      <w:pPr/>
      <w:r>
        <w:t xml:space="preserve">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 xml:space="preserve">(3)</w:t>
      </w:r>
    </w:p>
    <w:p>
      <w:pPr/>
      <w:r>
        <w:t xml:space="preserve">We call w the deletion game. It satisfies w(∅) = 0 and w(N) = v(N). In the terminology of cooperative game theory, w is the dual of v.</w:t>
      </w:r>
    </w:p>
    <w:p>
      <w:pPr/>
      <w:r>
        <w:t xml:space="preserve">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 xml:space="preserve">Proposition 1 (Duality).</w:t>
      </w:r>
      <w:r>
        <w:t xml:space="preserve"> For every contributor i, φ_i(w) = φ_i(v).</w:t>
      </w:r>
    </w:p>
    <w:p>
      <w:pPr/>
      <w:r>
        <w:rPr>
          <w:i/>
        </w:rPr>
        <w:t xml:space="preserve">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 xml:space="preserve">(4)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φ_i(v). ∎</w:t>
      </w:r>
    </w:p>
    <w:p>
      <w:pPr/>
      <w:r>
        <w:t xml:space="preserve">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 xml:space="preserve">3.3 Why Not Leave-One-Out?</w:t>
      </w:r>
    </w:p>
    <w:p>
      <w:pPr/>
      <w:r>
        <w:t xml:space="preserve">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 xml:space="preserve">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 xml:space="preserve">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 xml:space="preserve">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2"/>
      </w:pPr>
      <w:r>
        <w:t xml:space="preserve">4 Estimation Under Approximate Unlearning</w:t>
      </w:r>
    </w:p>
    <w:p>
      <w:pPr>
        <w:pStyle w:val="Heading3"/>
      </w:pPr>
      <w:r>
        <w:t xml:space="preserve">4.1 Unlearning as a Counterfactual Oracle</w:t>
      </w:r>
    </w:p>
    <w:p>
      <w:pPr/>
      <w:r>
        <w:t xml:space="preserve">Computing φ_i(v)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 xml:space="preserve">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 xml:space="preserve">(5)</w:t>
      </w:r>
    </w:p>
    <w:p>
      <w:pPr/>
      <w:r>
        <w:t xml:space="preserve">where U(T) is the performance of a model actually retrained on D_0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we assume that Û depends only on the coalition removed and not on the order in which removals are performed. This is a real restriction, since sequential unlearning can compound errors, and we return to it in Section 7.</w:t>
      </w:r>
    </w:p>
    <w:p>
      <w:pPr>
        <w:pStyle w:val="Heading3"/>
      </w:pPr>
      <w:r>
        <w:t xml:space="preserve">4.2 How Residuals Enter the Values</w:t>
      </w:r>
    </w:p>
    <w:p>
      <w:pPr/>
      <w:r>
        <w:t xml:space="preserve">The estimated game is v̂(T) = Û(T) − U(∅) = v(T) + ε(T). (If the baseline U(∅) is itself estimated by unlearning, every value of v̂ is shifted by the constant ε(∅), which leaves all marginal contributions, and hence all Shapley values, unchanged.)</w:t>
      </w:r>
    </w:p>
    <w:p>
      <w:pPr/>
      <w:r>
        <w:rPr>
          <w:b/>
        </w:rPr>
        <w:t xml:space="preserve">Proposition 2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 xml:space="preserve">(6)</w:t>
      </w:r>
    </w:p>
    <w:p>
      <w:pPr/>
      <w:r>
        <w:t xml:space="preserve">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 xml:space="preserve">(7)</w:t>
      </w:r>
    </w:p>
    <w:p>
      <w:pPr/>
      <w:r>
        <w:rPr>
          <w:i/>
        </w:rPr>
        <w:t xml:space="preserve">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Σ_i φ_i(ε) = −ε(∅). ∎</w:t>
      </w:r>
    </w:p>
    <w:p>
      <w:pPr/>
      <w:r>
        <w:t xml:space="preserve">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φ_i(ε) depends on how residuals vary across coalitions, and two simple cases are instructive. Suppose first that each removed contributor leaves behind a fixed residue r, so that ε(T) = r · |N \ T|. The residual game is then additive and φ_i(ε) = −r for every i: all values shift down by the same amount, and rankings are preserved. Suppose instead that residues are heterogeneous, ε(T) = Σ_{j ∉ T} r_j. Then φ_i(ε) = −r_i, and the contributors whose data is hardest to forget are undervalued the most.</w:t>
      </w:r>
    </w:p>
    <w:p>
      <w:pPr/>
      <w:r>
        <w:t xml:space="preserve">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A Diagnostic</w:t>
      </w:r>
    </w:p>
    <w:p>
      <w:pPr/>
      <w:r>
        <w:t xml:space="preserve">Proposition 2 also suggests a practical check. The aggregate bias does not require computing any Shapley values; it needs only a single comparison between a fully unlearned model and a base model trained on D_0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 xml:space="preserve">5 Incentives</w:t>
      </w:r>
    </w:p>
    <w:p>
      <w:pPr>
        <w:pStyle w:val="Heading3"/>
      </w:pPr>
      <w:r>
        <w:t xml:space="preserve">5.1 Unverifiable Unlearning</w:t>
      </w:r>
    </w:p>
    <w:p>
      <w:pPr/>
      <w:r>
        <w:t xml:space="preserve">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ρ_i &gt; 0, from which the developer earns βρ_i,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F_i.</w:t>
      </w:r>
    </w:p>
    <w:p>
      <w:pPr/>
      <w:r>
        <w:rPr>
          <w:b/>
        </w:rPr>
        <w:t xml:space="preserve">Proposition 3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 xml:space="preserve">(8)</w:t>
      </w:r>
    </w:p>
    <w:p>
      <w:pPr/>
      <w:r>
        <w:rPr>
          <w:i/>
        </w:rPr>
        <w:t xml:space="preserve">Proof.</w:t>
      </w:r>
      <w:r>
        <w:t xml:space="preserve"> Exact removal yields −C. Approximate removal yields −c + βρ_i − pδF_i. Comparing the two gives the condition. ∎</w:t>
      </w:r>
    </w:p>
    <w:p>
      <w:pPr/>
      <w:r>
        <w:t xml:space="preserve">The condition is elementary, but three of its features deserve comment.</w:t>
      </w:r>
    </w:p>
    <w:p>
      <w:pPr/>
      <w:r>
        <w:t xml:space="preserve">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F_i proportional to the contributor's value, F_i = kφ_i. But if φ_i is estimated by the developer using its own approximate unlearning method, Proposition 2 implies that the estimate is biased downward whenever residual knowledge dominates collateral damage, and biased most for the contributors with the largest residue. The developer then benefits twice from incomplete unlearning: once through βρ_i and again through a smaller penalty base. Valuations used for enforcement should therefore come from a third party, or at least from retraining-based estimates on a proxy model.</w:t>
      </w:r>
    </w:p>
    <w:p>
      <w:pPr/>
      <w:r>
        <w:t xml:space="preserve">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w:t>
      </w:r>
    </w:p>
    <w:p>
      <w:pPr>
        <w:pStyle w:val="Heading3"/>
      </w:pPr>
      <w:r>
        <w:t xml:space="preserve">5.2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φ_i, which is consistent with what the contributor would have been paid at acquisition.</w:t>
      </w:r>
    </w:p>
    <w:p>
      <w:pPr/>
      <w:r>
        <w:t xml:space="preserve">Under such a rule the developer retains i's data if and only if the cost of losing it exceeds the damages, that is, if w({i}) + C ≥ φ_i, where w({i}) is the leave-one-out loss. Two consequences follow. When i's data is largely redundant, w({i}) is small relative to φ_i, and the developer will tend to remove the data rather than pay; little social value is lost, since others supply the same information. When i's data is complementary to the rest, w({i}) can exceed φ_i,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w:t>
      </w:r>
    </w:p>
    <w:p>
      <w:pPr>
        <w:pStyle w:val="Heading2"/>
      </w:pPr>
      <w:r>
        <w:t xml:space="preserve">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For P1 it offers only a sanity check on disjoint groups, and it does not test P3.</w:t>
      </w:r>
    </w:p>
    <w:p>
      <w:pPr>
        <w:pStyle w:val="Heading3"/>
      </w:pPr>
      <w:r>
        <w:t xml:space="preserve">6.1 Setting</w:t>
      </w:r>
    </w:p>
    <w:p>
      <w:pPr/>
      <w:r>
        <w:t xml:space="preserve">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D_0 of one hundred further authors is always included in training. Because n = 4 yields only 2^4 = 16 coalitions, the contribution game can be computed exactly by fine-tuning one model per coalition. The base model is Qwen2.5-0.5B, which we fine-tune in full for five epochs (AdamW, learning rate 2e-5, batch size 32) on D_0 together with the groups in the coalition, using a single training run per coalition.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Δauthor + Δgeneral, with Δ measured relative to U(∅). Both components are evaluated on the training questions themselves, so U measures memorization rather than generalization to paraphrased questions. We adopt this smooth score because it has low seed noise. Across five retraining seeds, the standard deviation of the author component lies between 0.0004 and 0.0014 at the three coalitions we repeated (∅, {1, 2, 3}, and N).</w:t>
      </w:r>
    </w:p>
    <w:p>
      <w:pPr>
        <w:pStyle w:val="Heading3"/>
      </w:pPr>
      <w:r>
        <w:t xml:space="preserve">6.2 Manipulations</w:t>
      </w:r>
    </w:p>
    <w:p>
      <w:pPr/>
      <w:r>
        <w:t xml:space="preserve">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 xml:space="preserve">6.3 Estimators and Unlearning Methods</w:t>
      </w:r>
    </w:p>
    <w:p>
      <w:pPr/>
      <w:r>
        <w:t xml:space="preserve">For each configuration we compute the following:</w:t>
      </w:r>
    </w:p>
    <w:p>
      <w:pPr>
        <w:pStyle w:val="ListParagraph"/>
        <w:numPr>
          <w:ilvl w:val="0"/>
          <w:numId w:val="2"/>
        </w:numPr>
      </w:pPr>
      <w:r>
        <w:t xml:space="preserve">exact Shapley values φ(v) from all 16 retrained models;</w:t>
      </w:r>
    </w:p>
    <w:p>
      <w:pPr>
        <w:pStyle w:val="ListParagraph"/>
        <w:numPr>
          <w:ilvl w:val="0"/>
          <w:numId w:val="2"/>
        </w:numPr>
      </w:pPr>
      <w:r>
        <w:t xml:space="preserve">leave-one-out values w({i});</w:t>
      </w:r>
    </w:p>
    <w:p>
      <w:pPr>
        <w:pStyle w:val="ListParagraph"/>
        <w:numPr>
          <w:ilvl w:val="0"/>
          <w:numId w:val="2"/>
        </w:numPr>
      </w:pPr>
      <w:r>
        <w:t xml:space="preserve">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p>
    <w:p>
      <w:pPr>
        <w:pStyle w:val="ListParagraph"/>
        <w:numPr>
          <w:ilvl w:val="0"/>
          <w:numId w:val="2"/>
        </w:numPr>
      </w:pPr>
      <w:r>
        <w:t xml:space="preserve">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The strength s is the number of gradient-ascent steps per removed group, so removing |N \ T| groups takes s · |N \ T| steps. We selected the learning rate in a calibration run that traces ε(∅) against s for learning rates of 1e-5, 3e-6, and 1e-6. The sign of ε(∅) changes at about 2.9, 7.7, and 20.4 steps per group, respectively. At 1e-5 the transition occurs too abruptly to be resolved on a grid of integer step counts, so we use 1e-6 and report s ∈ {8, 12, 16, 20, 24, 32}, a grid that brackets the sign change. Because the calibration relies on the retrained baseline U(∅), that is, on the diagnostic of Section 4.3, we report all strengths rather than a single tuned value.</w:t>
      </w:r>
    </w:p>
    <w:p>
      <w:pPr/>
      <w:r>
        <w:t xml:space="preserve">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w:t>
      </w:r>
    </w:p>
    <w:p>
      <w:pPr>
        <w:pStyle w:val="Heading3"/>
      </w:pPr>
      <w:r>
        <w:t xml:space="preserve">6.4 Results</w:t>
      </w:r>
    </w:p>
    <w:p>
      <w:pPr/>
      <w:r>
        <w:t xml:space="preserve">Table 1 sets each prediction against what we observe. Table 2 reports the residual game at the empty coalition, ε(∅) = ρ(∅) − κ(∅), for each unlearning strength, together with author performance at T = ∅ before and after a five-step relearning attack. The retrained baseline U(∅) has author performance 0.097.</w:t>
      </w:r>
    </w:p>
    <w:p>
      <w:pPr>
        <w:pStyle w:val="Caption"/>
      </w:pPr>
      <w:r>
        <w:rPr>
          <w:b/>
        </w:rPr>
        <w:t xml:space="preserve">Table 1. Predictions and Observed Results</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0.99 and 1.00.</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Between −1.0 and −0.4 across strengths. Uninformative, since the four groups are tied within seed noise.</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−0.751 (s = 8) to +0.110 (s = 32).</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Not tested.</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20, author performance at ∅ rises from 0.055 to 0.784 after five steps.</w:t>
            </w:r>
          </w:p>
        </w:tc>
      </w:tr>
    </w:tbl>
    <w:p>
      <w:pPr>
        <w:spacing w:after="0" w:line="240" w:lineRule="auto"/>
        <w:ind w:firstLine="0"/>
      </w:pPr>
    </w:p>
    <w:p/>
    <w:p>
      <w:pPr>
        <w:pStyle w:val="Caption"/>
      </w:pPr>
      <w:r>
        <w:rPr>
          <w:b/>
        </w:rPr>
        <w:t xml:space="preserve">Table 2. Residual Game at the Empty Coalition, by Gradient-Ascent Strength</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0.751</w:t>
            </w:r>
          </w:p>
        </w:tc>
        <w:tc>
          <w:tcPr>
            <w:tcW w:w="1872" w:type="dxa"/>
          </w:tcPr>
          <w:p>
            <w:pPr>
              <w:pStyle w:val="TableText"/>
            </w:pPr>
            <w:r>
              <w:t xml:space="preserve">0.748</w:t>
            </w:r>
          </w:p>
        </w:tc>
        <w:tc>
          <w:tcPr>
            <w:tcW w:w="1872" w:type="dxa"/>
          </w:tcPr>
          <w:p>
            <w:pPr>
              <w:pStyle w:val="TableText"/>
            </w:pPr>
            <w:r>
              <w:t xml:space="preserve">−0.003</w:t>
            </w:r>
          </w:p>
        </w:tc>
        <w:tc>
          <w:tcPr>
            <w:tcW w:w="1872" w:type="dxa"/>
          </w:tcPr>
          <w:p>
            <w:pPr>
              <w:pStyle w:val="TableText"/>
            </w:pPr>
            <w:r>
              <w:t xml:space="preserve">0.844 → 0.828</w:t>
            </w:r>
          </w:p>
        </w:tc>
      </w:tr>
      <w:tr>
        <w:tc>
          <w:tcPr>
            <w:tcW w:w="1872" w:type="dxa"/>
          </w:tcPr>
          <w:p>
            <w:pPr>
              <w:pStyle w:val="TableText"/>
            </w:pPr>
            <w:r>
              <w:t xml:space="preserve">12</w:t>
            </w:r>
          </w:p>
        </w:tc>
        <w:tc>
          <w:tcPr>
            <w:tcW w:w="1872" w:type="dxa"/>
          </w:tcPr>
          <w:p>
            <w:pPr>
              <w:pStyle w:val="TableText"/>
            </w:pPr>
            <w:r>
              <w:t xml:space="preserve">0.430</w:t>
            </w:r>
          </w:p>
        </w:tc>
        <w:tc>
          <w:tcPr>
            <w:tcW w:w="1872" w:type="dxa"/>
          </w:tcPr>
          <w:p>
            <w:pPr>
              <w:pStyle w:val="TableText"/>
            </w:pPr>
            <w:r>
              <w:t xml:space="preserve">0.431</w:t>
            </w:r>
          </w:p>
        </w:tc>
        <w:tc>
          <w:tcPr>
            <w:tcW w:w="1872" w:type="dxa"/>
          </w:tcPr>
          <w:p>
            <w:pPr>
              <w:pStyle w:val="TableText"/>
            </w:pPr>
            <w:r>
              <w:t xml:space="preserve">0.002</w:t>
            </w:r>
          </w:p>
        </w:tc>
        <w:tc>
          <w:tcPr>
            <w:tcW w:w="1872" w:type="dxa"/>
          </w:tcPr>
          <w:p>
            <w:pPr>
              <w:pStyle w:val="TableText"/>
            </w:pPr>
            <w:r>
              <w:t xml:space="preserve">0.528 → 0.826</w:t>
            </w:r>
          </w:p>
        </w:tc>
      </w:tr>
      <w:tr>
        <w:tc>
          <w:tcPr>
            <w:tcW w:w="1872" w:type="dxa"/>
          </w:tcPr>
          <w:p>
            <w:pPr>
              <w:pStyle w:val="TableText"/>
            </w:pPr>
            <w:r>
              <w:t xml:space="preserve">16</w:t>
            </w:r>
          </w:p>
        </w:tc>
        <w:tc>
          <w:tcPr>
            <w:tcW w:w="1872" w:type="dxa"/>
          </w:tcPr>
          <w:p>
            <w:pPr>
              <w:pStyle w:val="TableText"/>
            </w:pPr>
            <w:r>
              <w:t xml:space="preserve">0.132</w:t>
            </w:r>
          </w:p>
        </w:tc>
        <w:tc>
          <w:tcPr>
            <w:tcW w:w="1872" w:type="dxa"/>
          </w:tcPr>
          <w:p>
            <w:pPr>
              <w:pStyle w:val="TableText"/>
            </w:pPr>
            <w:r>
              <w:t xml:space="preserve">0.140</w:t>
            </w:r>
          </w:p>
        </w:tc>
        <w:tc>
          <w:tcPr>
            <w:tcW w:w="1872" w:type="dxa"/>
          </w:tcPr>
          <w:p>
            <w:pPr>
              <w:pStyle w:val="TableText"/>
            </w:pPr>
            <w:r>
              <w:t xml:space="preserve">0.008</w:t>
            </w:r>
          </w:p>
        </w:tc>
        <w:tc>
          <w:tcPr>
            <w:tcW w:w="1872" w:type="dxa"/>
          </w:tcPr>
          <w:p>
            <w:pPr>
              <w:pStyle w:val="TableText"/>
            </w:pPr>
            <w:r>
              <w:t xml:space="preserve">0.236 → 0.799</w:t>
            </w:r>
          </w:p>
        </w:tc>
      </w:tr>
      <w:tr>
        <w:tc>
          <w:tcPr>
            <w:tcW w:w="1872" w:type="dxa"/>
          </w:tcPr>
          <w:p>
            <w:pPr>
              <w:pStyle w:val="TableText"/>
            </w:pPr>
            <w:r>
              <w:t xml:space="preserve">20</w:t>
            </w:r>
          </w:p>
        </w:tc>
        <w:tc>
          <w:tcPr>
            <w:tcW w:w="1872" w:type="dxa"/>
          </w:tcPr>
          <w:p>
            <w:pPr>
              <w:pStyle w:val="TableText"/>
            </w:pPr>
            <w:r>
              <w:t xml:space="preserve">−0.053</w:t>
            </w:r>
          </w:p>
        </w:tc>
        <w:tc>
          <w:tcPr>
            <w:tcW w:w="1872" w:type="dxa"/>
          </w:tcPr>
          <w:p>
            <w:pPr>
              <w:pStyle w:val="TableText"/>
            </w:pPr>
            <w:r>
              <w:t xml:space="preserve">−0.043</w:t>
            </w:r>
          </w:p>
        </w:tc>
        <w:tc>
          <w:tcPr>
            <w:tcW w:w="1872" w:type="dxa"/>
          </w:tcPr>
          <w:p>
            <w:pPr>
              <w:pStyle w:val="TableText"/>
            </w:pPr>
            <w:r>
              <w:t xml:space="preserve">0.010</w:t>
            </w:r>
          </w:p>
        </w:tc>
        <w:tc>
          <w:tcPr>
            <w:tcW w:w="1872" w:type="dxa"/>
          </w:tcPr>
          <w:p>
            <w:pPr>
              <w:pStyle w:val="TableText"/>
            </w:pPr>
            <w:r>
              <w:t xml:space="preserve">0.055 → 0.784</w:t>
            </w:r>
          </w:p>
        </w:tc>
      </w:tr>
      <w:tr>
        <w:tc>
          <w:tcPr>
            <w:tcW w:w="1872" w:type="dxa"/>
          </w:tcPr>
          <w:p>
            <w:pPr>
              <w:pStyle w:val="TableText"/>
            </w:pPr>
            <w:r>
              <w:t xml:space="preserve">24</w:t>
            </w:r>
          </w:p>
        </w:tc>
        <w:tc>
          <w:tcPr>
            <w:tcW w:w="1872" w:type="dxa"/>
          </w:tcPr>
          <w:p>
            <w:pPr>
              <w:pStyle w:val="TableText"/>
            </w:pPr>
            <w:r>
              <w:t xml:space="preserve">−0.107</w:t>
            </w:r>
          </w:p>
        </w:tc>
        <w:tc>
          <w:tcPr>
            <w:tcW w:w="1872" w:type="dxa"/>
          </w:tcPr>
          <w:p>
            <w:pPr>
              <w:pStyle w:val="TableText"/>
            </w:pPr>
            <w:r>
              <w:t xml:space="preserve">−0.095</w:t>
            </w:r>
          </w:p>
        </w:tc>
        <w:tc>
          <w:tcPr>
            <w:tcW w:w="1872" w:type="dxa"/>
          </w:tcPr>
          <w:p>
            <w:pPr>
              <w:pStyle w:val="TableText"/>
            </w:pPr>
            <w:r>
              <w:t xml:space="preserve">0.012</w:t>
            </w:r>
          </w:p>
        </w:tc>
        <w:tc>
          <w:tcPr>
            <w:tcW w:w="1872" w:type="dxa"/>
          </w:tcPr>
          <w:p>
            <w:pPr>
              <w:pStyle w:val="TableText"/>
            </w:pPr>
            <w:r>
              <w:t xml:space="preserve">0.002 → 0.740</w:t>
            </w:r>
          </w:p>
        </w:tc>
      </w:tr>
      <w:tr>
        <w:tc>
          <w:tcPr>
            <w:tcW w:w="1872" w:type="dxa"/>
          </w:tcPr>
          <w:p>
            <w:pPr>
              <w:pStyle w:val="TableText"/>
            </w:pPr>
            <w:r>
              <w:t xml:space="preserve">32</w:t>
            </w:r>
          </w:p>
        </w:tc>
        <w:tc>
          <w:tcPr>
            <w:tcW w:w="1872" w:type="dxa"/>
          </w:tcPr>
          <w:p>
            <w:pPr>
              <w:pStyle w:val="TableText"/>
            </w:pPr>
            <w:r>
              <w:t xml:space="preserve">−0.110</w:t>
            </w:r>
          </w:p>
        </w:tc>
        <w:tc>
          <w:tcPr>
            <w:tcW w:w="1872" w:type="dxa"/>
          </w:tcPr>
          <w:p>
            <w:pPr>
              <w:pStyle w:val="TableText"/>
            </w:pPr>
            <w:r>
              <w:t xml:space="preserve">−0.097</w:t>
            </w:r>
          </w:p>
        </w:tc>
        <w:tc>
          <w:tcPr>
            <w:tcW w:w="1872" w:type="dxa"/>
          </w:tcPr>
          <w:p>
            <w:pPr>
              <w:pStyle w:val="TableText"/>
            </w:pPr>
            <w:r>
              <w:t xml:space="preserve">0.013</w:t>
            </w:r>
          </w:p>
        </w:tc>
        <w:tc>
          <w:tcPr>
            <w:tcW w:w="1872" w:type="dxa"/>
          </w:tcPr>
          <w:p>
            <w:pPr>
              <w:pStyle w:val="TableText"/>
            </w:pPr>
            <w:r>
              <w:t xml:space="preserve">0.000 → 0.243</w:t>
            </w:r>
          </w:p>
        </w:tc>
      </w:tr>
    </w:tbl>
    <w:p>
      <w:pPr>
        <w:spacing w:after="0" w:line="240" w:lineRule="auto"/>
        <w:ind w:firstLine="0"/>
      </w:pPr>
    </w:p>
    <w:p>
      <w:pPr/>
      <w:r>
        <w:t xml:space="preserve">Fine-tuning on all four groups yields v(N) = 0.846 on the author component and −0.003 on the general component, so the author data leaves general capability essentially unchanged. The exact Shapley values of the four groups are 0.211, 0.212, 0.212, and 0.211, which sum to v(N). The game is close to additive: the leave-one-out values (0.209 to 0.210) are within 1.3 percent of the Shapley values, as one would expect when no two groups are redundant. The differences among groups are of the same order as the retraining seed noise, which means that the ranking of contributors is not identified. This is a limitation of the symmetric design, and it renders rank correlations uninformative.</w:t>
      </w:r>
    </w:p>
    <w:p>
      <w:pPr/>
      <w:r>
        <w:t xml:space="preserve">Under exact enumeration of Û, the sum identity in Proposition 2 holds by construction, so the empirical question is how large ε(∅) is and which sign it takes. Both depend strongly on unlearning strength. At s = 8, ε(∅) is 0.751, almost all of it residual knowledge, and the estimated values sum to only 0.092, about 11 percent of the total contribution v(N) = 0.843. The sign changes between s = 16 and s = 20, at roughly 19 steps per group by linear interpolation. At s = 32, ε(∅) is −0.110 and the estimated values overstate the total by about 13 percent. Collateral damage stays small throughout (κ(∅) ≤ 0.013), so ε(∅) is close to ρ(∅) at every strength.</w:t>
      </w:r>
    </w:p>
    <w:p>
      <w:pPr/>
      <w:r>
        <w:t xml:space="preserve">A small aggregate bias does not imply small individual biases. The L1 norm of the Shapley values of the residual game, computed on the author component, falls from 0.748 at s = 8 to 0.078 at s = 20 and then rises to 0.110 at s = 32. At s = 20 the value of ρ(∅) is −0.043 while the L1 norm is 0.078, so the individual biases must have mixed signs and cannot be a common shift of all values. Even at its minimum, the L1 norm amounts to about 9 percent of v(N) on the author component.</w:t>
      </w:r>
    </w:p>
    <w:p>
      <w:pPr/>
      <w:r>
        <w:t xml:space="preserve">The sequential estimate moves away from the set-function estimate as strength increases. The L1 distance between the two is 0.017 at s = 8, 0.142 at s = 12, 0.175 at s = 16, 0.244 at s = 20, 0.253 at s = 24, and 0.272 at s = 32, against v(N) = 0.846 on the author component. The assumption of Section 4.1 thus holds approximately for weak unlearning but breaks down at the strengths where the aggregate bias is small. Because the sequential estimate averages over only six of the 24 possible removal orders, part of each distance reflects sampling error; the increase with strength is nevertheless monotone.</w:t>
      </w:r>
    </w:p>
    <w:p>
      <w:pPr/>
      <w:r>
        <w:t xml:space="preserve">The relearning attack shows that the aggregate diagnostic can mislead. Before the attack, author performance at ∅ is 0.844, 0.528, 0.236, 0.055, 0.002, and 0.000 for s = 8 to 32, against a retrained baseline of 0.097. After five relearning steps on 10 percent of the forgotten pairs, performance on the remaining 90 percent returns to 0.83, 0.83, 0.80, 0.78, and 0.74 for s up to 24, and to 0.24 for s = 32. At s = 20 and s = 24, where ε(∅) is negative and the diagnostic would suggest complete or even excessive forgetting, a brief attack therefore recovers most of the lost performance. This is consistent with P4: the measured residual depends on the strength of the attack, and a value of ε(∅) obtained without an attack does not certify removal. We did not apply the same attack to a model retrained without the groups, so we cannot separate residual knowledge from a general ability to relearn quickly from a few examples. Such a control is needed before the recovered performance can be read as residual knowledge alone.</w:t>
      </w:r>
    </w:p>
    <w:p>
      <w:pPr/>
      <w:r>
        <w:t xml:space="preserve">Taken together, the results support the claim that the aggregate bias is governed by ε(∅) and can take either sign, depending on how aggressively the method unlearns. They also show that individual biases and order dependence persist where the aggregate bias is small. They do not speak to redundancy (P1), to data that is hard to forget (P3), or to differences across unlearning methods.</w:t>
      </w:r>
    </w:p>
    <w:p>
      <w:pPr>
        <w:pStyle w:val="Heading2"/>
      </w:pPr>
      <w:r>
        <w:t xml:space="preserve">7 Discussion and Limitations</w:t>
      </w:r>
    </w:p>
    <w:p>
      <w:pPr/>
      <w:r>
        <w:t xml:space="preserve">Several assumptions deserve scrutiny.</w:t>
      </w:r>
    </w:p>
    <w:p>
      <w:pPr/>
      <w:r>
        <w:rPr>
          <w:b/>
        </w:rPr>
        <w:t xml:space="preserve">Order independence.</w:t>
      </w:r>
      <w:r>
        <w:t xml:space="preserve"> Proposition 2 treats Û as a set function. Sequential unlearning is likely to violate this, since each update starts from a model already perturbed by earlier ones. If path dependence is strong, the estimated game is no longer well defined, and one would need to average over removal orders or model the residual as a function of the path. We view this as the most important open technical question raised by the paper. In the experiment of Section 6, the L1 distance between the sequential and set-function estimates grows from 0.017 to 0.272 as unlearning strengthens, against v(N) = 0.846, so the assumption is not innocuous at the strengths where the aggregate bias is small.</w:t>
      </w:r>
    </w:p>
    <w:p>
      <w:pPr/>
      <w:r>
        <w:rPr>
          <w:b/>
        </w:rPr>
        <w:t xml:space="preserve">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 xml:space="preserve">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 xml:space="preserve">Experimental scope.</w:t>
      </w:r>
      <w:r>
        <w:t xml:space="preserve"> The experiment in Section 6 uses four disjoint and statistically symmetric contributor groups, a single 0.5B-parameter model, one unlearning algorithm (gradient ascent), and one training run per coalition. Because of the symmetry, the ranking of contributors cannot be distinguished from seed noise, and we cannot say how well unlearning-based values preserve rankings. Redundancy (P1), data that is hard to forget (P3), and the comparison across unlearning methods remain untested. In addition, the calibration of unlearning strength used the retrained baseline, and the relearning attack lacks a retrained control.</w:t>
      </w:r>
    </w:p>
    <w:p>
      <w:pPr/>
      <w:r>
        <w:rPr>
          <w:b/>
        </w:rPr>
        <w:t xml:space="preserve">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We have treated contributors as passive. If compensation depends on Shapley values, contributors may split, merge, or duplicate their data to raise their share. Shapley values are known to be manipulable in this way, and robustness to such behavior is a natural direction for future work.</w:t>
      </w:r>
    </w:p>
    <w:p>
      <w:pPr>
        <w:pStyle w:val="Heading2"/>
      </w:pPr>
      <w:r>
        <w:t xml:space="preserve">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In practice the agreement breaks down, because the counterfactuals must be generated by approximate unlearning. The resulting bias has a simple structure: it is additive, its total is fixed by the residual performance of a fully unlearned model, and, according to the theory, it falls hardest on the data that is most difficult to forget, a prediction we have not yet tested. In a small experiment, the aggregate bias changed sign with unlearning strength, order dependence grew with it, and a brief relearning attack recovered knowledge that the aggregate diagnostic had classed as removed. Because the developer controls both the unlearning and its measurement, these biases also create incentives to under-unlearn, which can be countered only by audits that are both frequent and powerful. We hope the framework helps connect technical work on unlearning evaluation with the policy questions that motivate it.</w:t>
      </w:r>
    </w:p>
    <w:p>
      <w:pPr>
        <w:pStyle w:val="Heading2"/>
      </w:pPr>
      <w:r>
        <w:t xml:space="preserve">References</w:t>
      </w:r>
    </w:p>
    <w:p>
      <w:pPr>
        <w:pStyle w:val="Reference"/>
      </w:pPr>
      <w:r>
        <w:t xml:space="preserve">Acemoglu, D., Makhdoumi, A., Malekian, A., and Ozdaglar, A. 2022. "Too Much Data: Prices and Inefficiencies in Data Markets," </w:t>
      </w:r>
      <w:r>
        <w:rPr>
          <w:i/>
        </w:rPr>
        <w:t xml:space="preserve">American Economic Journal: Microeconomics</w:t>
      </w:r>
      <w:r>
        <w:t xml:space="preserve"> (14:4), pp. 218-256.</w:t>
      </w:r>
    </w:p>
    <w:p>
      <w:pPr>
        <w:pStyle w:val="Reference"/>
      </w:pPr>
      <w:r>
        <w:t xml:space="preserve">Agarwal, A., Dahleh, M., and Sarkar, T. 2019. "A Marketplace for Data: An Algorithmic Solution," in </w:t>
      </w:r>
      <w:r>
        <w:rPr>
          <w:i/>
        </w:rPr>
        <w:t xml:space="preserve">Proceedings of the 2019 ACM Conference on Economics and Computation (EC)</w:t>
      </w:r>
      <w:r>
        <w:t xml:space="preserve">.</w:t>
      </w:r>
    </w:p>
    <w:p>
      <w:pPr>
        <w:pStyle w:val="Reference"/>
      </w:pPr>
      <w:r>
        <w:t xml:space="preserve">Bourtoule, L., Chandrasekaran, V., Choquette-Choo, C. A., Jia, H., Travers, A., Zhang, B., Lie, D., and Papernot, N. 2021. "Machine Unlearning," in </w:t>
      </w:r>
      <w:r>
        <w:rPr>
          <w:i/>
        </w:rPr>
        <w:t xml:space="preserve">Proceedings of the IEEE Symposium on Security and Privacy</w:t>
      </w:r>
      <w:r>
        <w:t xml:space="preserve">.</w:t>
      </w:r>
    </w:p>
    <w:p>
      <w:pPr>
        <w:pStyle w:val="Reference"/>
      </w:pPr>
      <w:r>
        <w:t xml:space="preserve">Calabresi, G., and Melamed, A. D. 1972. "Property Rules, Liability Rules, and Inalienability: One View of the Cathedral," </w:t>
      </w:r>
      <w:r>
        <w:rPr>
          <w:i/>
        </w:rPr>
        <w:t xml:space="preserve">Harvard Law Review</w:t>
      </w:r>
      <w:r>
        <w:t xml:space="preserve"> (85:6), pp. 1089-1128.</w:t>
      </w:r>
    </w:p>
    <w:p>
      <w:pPr>
        <w:pStyle w:val="Reference"/>
      </w:pPr>
      <w:r>
        <w:t xml:space="preserve">Cao, Y., and Yang, J. 2015. "Towards Making Systems Forget with Machine Unlearning," in </w:t>
      </w:r>
      <w:r>
        <w:rPr>
          <w:i/>
        </w:rPr>
        <w:t xml:space="preserve">Proceedings of the IEEE Symposium on Security and Privacy</w:t>
      </w:r>
      <w:r>
        <w:t xml:space="preserve">.</w:t>
      </w:r>
    </w:p>
    <w:p>
      <w:pPr>
        <w:pStyle w:val="Reference"/>
      </w:pPr>
      <w:r>
        <w:t xml:space="preserve">Eldan, R., and Russinovich, M. 2023. "Who's Harry Potter? Approximate Unlearning in LLMs," </w:t>
      </w:r>
      <w:r>
        <w:t xml:space="preserve">arXiv:2310.02238.</w:t>
      </w:r>
    </w:p>
    <w:p>
      <w:pPr>
        <w:pStyle w:val="Reference"/>
      </w:pPr>
      <w:r>
        <w:t xml:space="preserve">Ghorbani, A., and Zou, J. 2019. "Data Shapley: Equitable Valuation of Data for Machine Learning," in </w:t>
      </w:r>
      <w:r>
        <w:rPr>
          <w:i/>
        </w:rPr>
        <w:t xml:space="preserve">Proceedings of the International Conference on Machine Learning (ICML)</w:t>
      </w:r>
      <w:r>
        <w:t xml:space="preserve">.</w:t>
      </w:r>
    </w:p>
    <w:p>
      <w:pPr>
        <w:pStyle w:val="Reference"/>
      </w:pPr>
      <w:r>
        <w:t xml:space="preserve">Ginart, A., Guan, M., Valiant, G., and Zou, J. 2019. "Making AI Forget You: Data Deletion in Machine Learning," in </w:t>
      </w:r>
      <w:r>
        <w:rPr>
          <w:i/>
        </w:rPr>
        <w:t xml:space="preserve">Advances in Neural Information Processing Systems (NeurIPS)</w:t>
      </w:r>
      <w:r>
        <w:t xml:space="preserve">.</w:t>
      </w:r>
    </w:p>
    <w:p>
      <w:pPr>
        <w:pStyle w:val="Reference"/>
      </w:pPr>
      <w:r>
        <w:t xml:space="preserve">Grosse, R., et al. 2023. "Studying Large Language Model Generalization with Influence Functions," </w:t>
      </w:r>
      <w:r>
        <w:t xml:space="preserve">arXiv:2308.03296.</w:t>
      </w:r>
    </w:p>
    <w:p>
      <w:pPr>
        <w:pStyle w:val="Reference"/>
      </w:pPr>
      <w:r>
        <w:t xml:space="preserve">Jia, R., Dao, D., Wang, B., Hubis, F. A., Hynes, N., Gürel, N. M., Li, B., Zhang, C., Song, D., and Spanos, C. J. 2019. "Towards Efficient Data Valuation Based on the Shapley Value," in </w:t>
      </w:r>
      <w:r>
        <w:rPr>
          <w:i/>
        </w:rPr>
        <w:t xml:space="preserve">Proceedings of the International Conference on Artificial Intelligence and Statistics (AISTATS)</w:t>
      </w:r>
      <w:r>
        <w:t xml:space="preserve">.</w:t>
      </w:r>
    </w:p>
    <w:p>
      <w:pPr>
        <w:pStyle w:val="Reference"/>
      </w:pPr>
      <w:r>
        <w:t xml:space="preserve">Jones, C. I., and Tonetti, C. 2020. "Nonrivalry and the Economics of Data," </w:t>
      </w:r>
      <w:r>
        <w:rPr>
          <w:i/>
        </w:rPr>
        <w:t xml:space="preserve">American Economic Review</w:t>
      </w:r>
      <w:r>
        <w:t xml:space="preserve"> (110:9), pp. 2819-2858.</w:t>
      </w:r>
    </w:p>
    <w:p>
      <w:pPr>
        <w:pStyle w:val="Reference"/>
      </w:pPr>
      <w:r>
        <w:t xml:space="preserve">Koh, P. W., and Liang, P. 2017. "Understanding Black-Box Predictions via Influence Functions," in </w:t>
      </w:r>
      <w:r>
        <w:rPr>
          <w:i/>
        </w:rPr>
        <w:t xml:space="preserve">Proceedings of the International Conference on Machine Learning (ICML)</w:t>
      </w:r>
      <w:r>
        <w:t xml:space="preserve">.</w:t>
      </w:r>
    </w:p>
    <w:p>
      <w:pPr>
        <w:pStyle w:val="Reference"/>
      </w:pPr>
      <w:r>
        <w:t xml:space="preserve">Kwon, Y., and Zou, J. 2022. "Beta Shapley: A Unified and Noise-Reduced Data Valuation Framework for Machine Learning," in </w:t>
      </w:r>
      <w:r>
        <w:rPr>
          <w:i/>
        </w:rPr>
        <w:t xml:space="preserve">Proceedings of the International Conference on Artificial Intelligence and Statistics (AISTATS)</w:t>
      </w:r>
      <w:r>
        <w:t xml:space="preserve">.</w:t>
      </w:r>
    </w:p>
    <w:p>
      <w:pPr>
        <w:pStyle w:val="Reference"/>
      </w:pPr>
      <w:r>
        <w:t xml:space="preserve">Li, N., et al. 2024. "The WMDP Benchmark: Measuring and Reducing Malicious Use with Unlearning," in </w:t>
      </w:r>
      <w:r>
        <w:rPr>
          <w:i/>
        </w:rPr>
        <w:t xml:space="preserve">Proceedings of the International Conference on Machine Learning (ICML)</w:t>
      </w:r>
      <w:r>
        <w:t xml:space="preserve">.</w:t>
      </w:r>
    </w:p>
    <w:p>
      <w:pPr>
        <w:pStyle w:val="Reference"/>
      </w:pPr>
      <w:r>
        <w:t xml:space="preserve">Łucki, J., Wei, B., Huang, Y., Henderson, P., Tramèr, F., and Rando, J. 2024. "An Adversarial Perspective on Machine Unlearning for AI Safety," </w:t>
      </w:r>
      <w:r>
        <w:t xml:space="preserve">arXiv:2409.18025.</w:t>
      </w:r>
    </w:p>
    <w:p>
      <w:pPr>
        <w:pStyle w:val="Reference"/>
      </w:pPr>
      <w:r>
        <w:t xml:space="preserve">Lynch, A., Guo, P., Ewart, A., Casper, S., and Hadfield-Menell, D. 2024. "Eight Methods to Evaluate Robust Unlearning in LLMs," </w:t>
      </w:r>
      <w:r>
        <w:t xml:space="preserve">arXiv:2402.16835.</w:t>
      </w:r>
    </w:p>
    <w:p>
      <w:pPr>
        <w:pStyle w:val="Reference"/>
      </w:pPr>
      <w:r>
        <w:t xml:space="preserve">Maini, P., Feng, Z., Schwarzschild, A., Lipton, Z. C., and Kolter, J. Z. 2024. "TOFU: A Task of Fictitious Unlearning for LLMs," </w:t>
      </w:r>
      <w:r>
        <w:t xml:space="preserve">arXiv:2401.06121.</w:t>
      </w:r>
    </w:p>
    <w:p>
      <w:pPr>
        <w:pStyle w:val="Reference"/>
      </w:pPr>
      <w:r>
        <w:t xml:space="preserve">Pruthi, G., Liu, F., Kale, S., and Sundararajan, M. 2020. "Estimating Training Data Influence by Tracing Gradient Descent," in </w:t>
      </w:r>
      <w:r>
        <w:rPr>
          <w:i/>
        </w:rPr>
        <w:t xml:space="preserve">Advances in Neural Information Processing Systems (NeurIPS)</w:t>
      </w:r>
      <w:r>
        <w:t xml:space="preserve">.</w:t>
      </w:r>
    </w:p>
    <w:p>
      <w:pPr>
        <w:pStyle w:val="Reference"/>
      </w:pPr>
      <w:r>
        <w:t xml:space="preserve">Roth, A. E. (ed.). 1988. </w:t>
      </w:r>
      <w:r>
        <w:rPr>
          <w:i/>
        </w:rPr>
        <w:t xml:space="preserve">The Shapley Value: Essays in Honor of Lloyd S. Shapley</w:t>
      </w:r>
      <w:r>
        <w:t xml:space="preserve">, Cambridge, UK: Cambridge University Press.</w:t>
      </w:r>
    </w:p>
    <w:p>
      <w:pPr>
        <w:pStyle w:val="Reference"/>
      </w:pPr>
      <w:r>
        <w:t xml:space="preserve">Shapley, L. S. 1953. "A Value for n-Person Games," in </w:t>
      </w:r>
      <w:r>
        <w:rPr>
          <w:i/>
        </w:rPr>
        <w:t xml:space="preserve">Contributions to the Theory of Games II</w:t>
      </w:r>
      <w:r>
        <w:t xml:space="preserve">, H. W. Kuhn and A. W. Tucker (eds.), Princeton, NJ: Princeton University Press, pp. 307-317.</w:t>
      </w:r>
    </w:p>
    <w:p>
      <w:pPr>
        <w:pStyle w:val="Reference"/>
      </w:pPr>
      <w:r>
        <w:t xml:space="preserve">Shi, W., et al. 2024. "MUSE: Machine Unlearning Six-Way Evaluation for Language Models," </w:t>
      </w:r>
      <w:r>
        <w:t xml:space="preserve">arXiv:2407.06460.</w:t>
      </w:r>
    </w:p>
    <w:p>
      <w:pPr>
        <w:pStyle w:val="Reference"/>
      </w:pPr>
      <w:r>
        <w:t xml:space="preserve">Wang, J. T., and Jia, R. 2023. "Data Banzhaf: A Robust Data Valuation Framework for Machine Learning," in </w:t>
      </w:r>
      <w:r>
        <w:rPr>
          <w:i/>
        </w:rPr>
        <w:t xml:space="preserve">Proceedings of the International Conference on Artificial Intelligence and Statistics (AISTATS)</w:t>
      </w:r>
      <w:r>
        <w:t xml:space="preserve">.</w:t>
      </w:r>
    </w:p>
    <w:p>
      <w:pPr>
        <w:pStyle w:val="Reference"/>
      </w:pPr>
      <w:r>
        <w:t xml:space="preserve">Young, H. P. 1985. "Monotonic Solutions of Cooperative Games," </w:t>
      </w:r>
      <w:r>
        <w:rPr>
          <w:i/>
        </w:rPr>
        <w:t xml:space="preserve">International Journal of Game Theory</w:t>
      </w:r>
      <w:r>
        <w:t xml:space="preserve"> (14:2), pp. 65-72.</w:t>
      </w:r>
    </w:p>
    <w:p>
      <w:pPr>
        <w:pStyle w:val="Reference"/>
      </w:pPr>
      <w:r>
        <w:t xml:space="preserve">Zhang, R., Lin, L., Bai, Y., and Mei, S. 2024. "Negative Preference Optimization: From Catastrophic Collapse to Effective Unlearning," </w:t>
      </w:r>
      <w:r>
        <w:t xml:space="preserve">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