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rPr>
        <w:t>October 23, 2026</w:t>
      </w:r>
    </w:p>
    <w:p>
      <w:pPr>
        <w:spacing w:after="240"/>
      </w:pPr>
      <w:r>
        <w:rPr>
          <w:b w:val="0"/>
        </w:rPr>
        <w:t>Editor-in-Chief</w:t>
        <w:br/>
        <w:t>IEEE Transactions on Artificial Intelligence</w:t>
      </w:r>
    </w:p>
    <w:p>
      <w:pPr>
        <w:spacing w:after="160"/>
      </w:pPr>
      <w:r>
        <w:rPr>
          <w:b/>
        </w:rPr>
        <w:t>Re: Submission of an Original Research Regular Manuscript</w:t>
      </w:r>
    </w:p>
    <w:p>
      <w:pPr>
        <w:spacing w:after="160"/>
      </w:pPr>
      <w:r>
        <w:rPr>
          <w:b w:val="0"/>
        </w:rPr>
        <w:t>Dear Editor-in-Chief,</w:t>
      </w:r>
    </w:p>
    <w:p>
      <w:pPr>
        <w:spacing w:after="160"/>
      </w:pPr>
      <w:r>
        <w:rPr>
          <w:b w:val="0"/>
        </w:rPr>
        <w:t>Please consider our manuscript, “Deference or Noise? A Baseline-Corrected Protocol for Auditing Stance Sensitivity in LLM Reviewers,” for publication in IEEE Transactions on Artificial Intelligence as an Original Research Regular Manuscript.</w:t>
      </w:r>
    </w:p>
    <w:p>
      <w:pPr>
        <w:spacing w:after="160"/>
      </w:pPr>
      <w:r>
        <w:rPr>
          <w:b w:val="0"/>
        </w:rPr>
        <w:t>Organizations increasingly ask language models to review a decision after the requester has already stated a preference. Existing sycophancy measures count every change of answer under a stated view as deference. That count mixes run-to-run instability, sensitivity to any added sentence, and a reasonable use of the stance as evidence. The manuscript proposes an audit protocol that separates these sources with stance-free replicates and a length-matched neutral sentence, and that varies claimed evidence and the requester’s disclosed accuracy to tell deference from evidence-weighing. It links the corrected quantity to the value of consulting the reviewer through three propositions.</w:t>
      </w:r>
    </w:p>
    <w:p>
      <w:pPr>
        <w:spacing w:after="160"/>
      </w:pPr>
      <w:r>
        <w:rPr>
          <w:b w:val="0"/>
        </w:rPr>
        <w:t>We applied the protocol to 14 models and 176,400 answers on a frozen bank of 600 items with one correct answer. The correction removes a median 9% of the raw conditional deference, and 21% to 75% for the five least stable models. Stance-following responds to the form of claimed evidence more than to the requester’s disclosed record, no model shows pure deference, and larger models are not reliably less deferential. Two post-hoc extensions, a within-model reasoning on/off comparison and a model from a second vendor, are labeled as such. Ranking reviewers by stance-free accuracy alone can overstate their value and misorder them.</w:t>
      </w:r>
    </w:p>
    <w:p>
      <w:pPr>
        <w:spacing w:after="160"/>
      </w:pPr>
      <w:r>
        <w:rPr>
          <w:b w:val="0"/>
        </w:rPr>
        <w:t>We believe the work fits the journal because it contributes an evaluation methodology for the reliability of AI decision support, with a frozen benchmark, an analysis that practitioners can repeat on their own items, and claims that are limited to what the data show. The Impact Statement explains the practical consequences for procurement, auditing and oversight in plain terms.</w:t>
      </w:r>
    </w:p>
    <w:p>
      <w:pPr>
        <w:spacing w:after="160"/>
      </w:pPr>
      <w:r>
        <w:rPr>
          <w:b w:val="0"/>
        </w:rPr>
        <w:t>Reproducibility. The item bank, its generator and independent audit, the runner, the analysis code and all raw model outputs are provided as anonymized supplementary files, with SHA-256 hashes of the frozen files. The analyses were re-run from the raw outputs and reproduce the reported estimates exactly.</w:t>
      </w:r>
    </w:p>
    <w:p>
      <w:pPr>
        <w:spacing w:after="160"/>
      </w:pPr>
      <w:r>
        <w:rPr>
          <w:b w:val="0"/>
        </w:rPr>
        <w:t>Declarations. The manuscript is original and is not under consideration elsewhere. The use of AI-generated text and of an AI coding assistant is disclosed in the Acknowledgments, with a citation to the system used. The authors declare no conflicts of interest and no funding. No personal data were collected. The manuscript and supplementary files have been prepared for double-anonymous review.</w:t>
      </w:r>
    </w:p>
    <w:p>
      <w:pPr>
        <w:spacing w:after="280"/>
      </w:pPr>
      <w:r>
        <w:rPr>
          <w:b w:val="0"/>
        </w:rPr>
        <w:t>Thank you for your consideration.</w:t>
      </w:r>
    </w:p>
    <w:p>
      <w:pPr>
        <w:spacing w:after="480"/>
      </w:pPr>
      <w:r>
        <w:rPr>
          <w:b w:val="0"/>
        </w:rPr>
        <w:t>Sincerely,</w:t>
      </w:r>
    </w:p>
    <w:p>
      <w:pPr>
        <w:spacing w:after="0"/>
      </w:pPr>
      <w:r>
        <w:rPr>
          <w:b w:val="0"/>
        </w:rPr>
        <w:t>Ook Lee</w:t>
        <w:br/>
        <w:t>Department of Information System, Hanyang University, Seoul, Korea</w:t>
        <w:br/>
        <w:t>ooklee@hanyang.ac.kr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