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Scale, Deference, and Dual Rationality in Large Language Models: A Within-Family Experimental Study</w:t>
      </w:r>
    </w:p>
    <w:p>
      <w:pPr>
        <w:spacing w:after="0" w:before="0" w:line="480"/>
        <w:jc w:val="center"/>
      </w:pPr>
      <w:r>
        <w:rPr>
          <w:rFonts w:ascii="Times New Roman" w:cs="Times New Roman" w:eastAsia="Times New Roman" w:hAnsi="Times New Roman"/>
          <w:sz w:val="24"/>
          <w:szCs w:val="24"/>
        </w:rPr>
        <w:t xml:space="preserve">Manuscript submitted to </w:t>
      </w:r>
      <w:r>
        <w:rPr>
          <w:rFonts w:ascii="Times New Roman" w:cs="Times New Roman" w:eastAsia="Times New Roman" w:hAnsi="Times New Roman"/>
          <w:i/>
          <w:iCs/>
          <w:sz w:val="24"/>
          <w:szCs w:val="24"/>
        </w:rPr>
        <w:t xml:space="preserve">Information Systems Research</w:t>
      </w:r>
      <w:r>
        <w:rPr>
          <w:rFonts w:ascii="Times New Roman" w:cs="Times New Roman" w:eastAsia="Times New Roman" w:hAnsi="Times New Roman"/>
          <w:sz w:val="24"/>
          <w:szCs w:val="24"/>
        </w:rPr>
        <w:t xml:space="preserve"> (double-anonymous review version)</w:t>
      </w:r>
    </w:p>
    <w:p>
      <w:pPr>
        <w:keepNext/>
        <w:spacing w:after="0" w:before="0" w:line="480"/>
        <w:jc w:val="center"/>
      </w:pPr>
      <w:r>
        <w:rPr>
          <w:rFonts w:ascii="Times New Roman" w:cs="Times New Roman" w:eastAsia="Times New Roman" w:hAnsi="Times New Roman"/>
          <w:b/>
          <w:bCs/>
          <w:sz w:val="24"/>
          <w:szCs w:val="24"/>
        </w:rPr>
        <w:t xml:space="preserve">Abstract</w:t>
      </w:r>
    </w:p>
    <w:p>
      <w:pPr>
        <w:spacing w:after="0" w:before="0" w:line="480"/>
        <w:jc w:val="left"/>
      </w:pPr>
      <w:r>
        <w:rPr>
          <w:rFonts w:ascii="Times New Roman" w:cs="Times New Roman" w:eastAsia="Times New Roman" w:hAnsi="Times New Roman"/>
          <w:sz w:val="24"/>
          <w:szCs w:val="24"/>
        </w:rPr>
        <w:t xml:space="preserve">Organizations treat larger language models (LLMs) as more reliable decision partners. We argue that this inference conflates two behaviors. On explicit, stance-free tasks, scale should improve normative consistency. On user-aligning tasks, where the prompt already favors a conclusion, scale may also improve the ability to infer and satisfy that preference, so deference need not decline. We call this the dual-rationality account and test it in a within-family comparison of open-weight instruct checkpoints, with closed-model vendor tiers in a separate panel. Each of 120 item stems is posed twice: once without a stance, and once with a single non-informative sentence endorsing the unsupported action, yielding 240 queries per model. The primary deference outcome is conditional deference, the probability of endorsing the unsupported action given that the model answered the stance-free clone correctly. This conditional measure separates deference from accuracy, which the unconditional Flip indicator does not. Inference is reported at the unit that a claim about scale requires, the model family, alongside stem-clustered estimates, and the hypotheses that predict "not lower" deference are tested with pre-specified equivalence margins rather than failures to reject. The study isolates model behavior; it does not estimate human reliance, which is addressed in a companion experiment described in Section 6. This version reports the item bank, its pre-collection audit, and the complete analysis plan; model results are reported in Section 5 only after collection.</w:t>
      </w:r>
    </w:p>
    <w:p>
      <w:pPr>
        <w:spacing w:after="0" w:before="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large language models; scale; sycophancy; dual rationality; delegation to AI; decision support; behavioral evaluation; Information Systems Research</w:t>
      </w:r>
    </w:p>
    <w:p>
      <w:r>
        <w:br w:type="page"/>
      </w:r>
    </w:p>
    <w:p>
      <w:pPr>
        <w:pStyle w:val="Heading1"/>
        <w:keepNext/>
        <w:spacing w:after="0" w:before="0" w:line="480"/>
      </w:pPr>
      <w:r>
        <w:rPr>
          <w:rFonts w:ascii="Times New Roman" w:cs="Times New Roman" w:eastAsia="Times New Roman" w:hAnsi="Times New Roman"/>
          <w:b/>
          <w:bCs/>
          <w:sz w:val="24"/>
          <w:szCs w:val="24"/>
        </w:rPr>
        <w:t xml:space="preserve">1. Introduction</w:t>
      </w:r>
    </w:p>
    <w:p>
      <w:pPr>
        <w:spacing w:after="0" w:before="0" w:line="480"/>
        <w:ind w:firstLine="720"/>
        <w:jc w:val="left"/>
      </w:pPr>
      <w:r>
        <w:rPr>
          <w:rFonts w:ascii="Times New Roman" w:cs="Times New Roman" w:eastAsia="Times New Roman" w:hAnsi="Times New Roman"/>
          <w:sz w:val="24"/>
          <w:szCs w:val="24"/>
        </w:rPr>
        <w:t xml:space="preserve">A common procurement heuristic holds that a larger language model is a better colleague. Larger models score higher on many benchmarks, and in belief-type laboratory tasks they often become more consistent with expected-value and revealed-preference norms (Chen et al. 2023; Binz and Schulz 2023). Organizational use, however, is not a stance-free examination. Users arrive with a preferred action: fine-tune the production assistant, grant the exception, reassure the client. In that environment the model is both a calculator and an audience. If the procurement heuristic is to guide the choice of a decision partner, it must hold on both sides of that role.</w:t>
      </w:r>
    </w:p>
    <w:p>
      <w:pPr>
        <w:spacing w:after="0" w:before="0" w:line="480"/>
        <w:ind w:firstLine="720"/>
        <w:jc w:val="left"/>
      </w:pPr>
      <w:r>
        <w:rPr>
          <w:rFonts w:ascii="Times New Roman" w:cs="Times New Roman" w:eastAsia="Times New Roman" w:hAnsi="Times New Roman"/>
          <w:sz w:val="24"/>
          <w:szCs w:val="24"/>
        </w:rPr>
        <w:t xml:space="preserve">The evidence that it does is thin and partly contradicts the heuristic. Work on model-written evaluations found that larger, more heavily instruction-tuned models more often repeat a user’s stated view back to the user (Perez et al. 2022), and human-preference training has been shown to reward agreement with the user over correctness in a non-trivial share of comparisons (Sharma et al. 2023). Inverse-scaling work documents tasks on which performance falls with size, although some of those reversals later turn U-shaped (McKenzie et al. 2023; Wei et al. 2023a). What is missing is a design that separates the two behaviors cleanly. A comparison of the answer on a stance-free item with the answer on the identical item plus a stance sentence holds the problem fixed; it also holds fixed what the model could know, so any change is attributable to the stance. Existing sycophancy measurements generally do not combine that within-item contrast with a within-family size comparison, and they do not distinguish a model that becomes more deferential from one that simply becomes more accurate and therefore has more answers that can be flipped.</w:t>
      </w:r>
    </w:p>
    <w:p>
      <w:pPr>
        <w:spacing w:after="0" w:before="0" w:line="480"/>
        <w:ind w:firstLine="720"/>
        <w:jc w:val="left"/>
      </w:pPr>
      <w:r>
        <w:rPr>
          <w:rFonts w:ascii="Times New Roman" w:cs="Times New Roman" w:eastAsia="Times New Roman" w:hAnsi="Times New Roman"/>
          <w:sz w:val="24"/>
          <w:szCs w:val="24"/>
        </w:rPr>
        <w:t xml:space="preserve">This paper makes four contributions. First, it states the dual-rationality account as a pair of separately measurable properties with a mechanism that predicts their different relationships to scale. Second, it identifies a measurement problem in the natural deference indicator: an indicator that requires the model to be correct without the stance (Flip) rises mechanically with accuracy, so a positive scale slope for Flip is not evidence of rising deference. We therefore make conditional deference the primary outcome. Third, it replaces failures to reject with equivalence margins for the hypotheses that assert that deference is “not lower”, and it reports contrasts at the level of the model family, the unit that a claim about scale actually concerns. Fourth, it supplies an open, audited item bank and analysis code that organizations can run on candidate models before delegating decisions to them.</w:t>
      </w:r>
    </w:p>
    <w:p>
      <w:pPr>
        <w:spacing w:after="0" w:before="0" w:line="480"/>
        <w:ind w:firstLine="720"/>
        <w:jc w:val="left"/>
      </w:pPr>
      <w:r>
        <w:rPr>
          <w:rFonts w:ascii="Times New Roman" w:cs="Times New Roman" w:eastAsia="Times New Roman" w:hAnsi="Times New Roman"/>
          <w:sz w:val="24"/>
          <w:szCs w:val="24"/>
        </w:rPr>
        <w:t xml:space="preserve">The study is deliberately limited to model behavior. It does not estimate whether people rely more on larger models, or whether a model’s stance-matching raises the quality of human decisions; both questions need human participants and are the subject of the companion experiment sketched in Section 6. We state the limit here because the practical force of any model-side result depends on that second step, and we do not claim it.</w:t>
      </w:r>
    </w:p>
    <w:p>
      <w:pPr>
        <w:spacing w:after="0" w:before="0" w:line="480"/>
        <w:ind w:firstLine="720"/>
        <w:jc w:val="left"/>
      </w:pPr>
      <w:r>
        <w:rPr>
          <w:rFonts w:ascii="Times New Roman" w:cs="Times New Roman" w:eastAsia="Times New Roman" w:hAnsi="Times New Roman"/>
          <w:sz w:val="24"/>
          <w:szCs w:val="24"/>
        </w:rPr>
        <w:t xml:space="preserve">Section 2 develops the theory and hypotheses. Section 3 describes the design, the item bank, and its pre-collection audit. Section 4 gives the estimation plan and decision rules. Section 5 reports the status of collection and the results reporting template. Section 6 discusses contributions, implications for information systems practice, and the companion experiment. Section 7 states limitations.</w:t>
      </w:r>
    </w:p>
    <w:p>
      <w:pPr>
        <w:pStyle w:val="Heading1"/>
        <w:keepNext/>
        <w:spacing w:after="0" w:before="0" w:line="480"/>
      </w:pPr>
      <w:r>
        <w:rPr>
          <w:rFonts w:ascii="Times New Roman" w:cs="Times New Roman" w:eastAsia="Times New Roman" w:hAnsi="Times New Roman"/>
          <w:b/>
          <w:bCs/>
          <w:sz w:val="24"/>
          <w:szCs w:val="24"/>
        </w:rPr>
        <w:t xml:space="preserve">2. Theory and Hypotheses</w:t>
      </w:r>
    </w:p>
    <w:p>
      <w:pPr>
        <w:pStyle w:val="Heading2"/>
        <w:keepNext/>
        <w:spacing w:after="0" w:before="0" w:line="480"/>
      </w:pPr>
      <w:r>
        <w:rPr>
          <w:rFonts w:ascii="Times New Roman" w:cs="Times New Roman" w:eastAsia="Times New Roman" w:hAnsi="Times New Roman"/>
          <w:b/>
          <w:bCs/>
          <w:i/>
          <w:iCs/>
          <w:sz w:val="24"/>
          <w:szCs w:val="24"/>
        </w:rPr>
        <w:t xml:space="preserve">2.1 Two properties of a decision partner</w:t>
      </w:r>
    </w:p>
    <w:p>
      <w:pPr>
        <w:spacing w:after="0" w:before="0" w:line="480"/>
        <w:ind w:firstLine="720"/>
        <w:jc w:val="left"/>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RN</w:t>
      </w:r>
      <w:r>
        <w:rPr>
          <w:rFonts w:ascii="Times New Roman" w:cs="Times New Roman" w:eastAsia="Times New Roman" w:hAnsi="Times New Roman"/>
          <w:sz w:val="24"/>
          <w:szCs w:val="24"/>
        </w:rPr>
        <w:t xml:space="preserve"> denote normative consistency on items that contain no user stance: correct calculation, correct use of a supplied policy excerpt, internally consistent ranking. Let </w:t>
      </w:r>
      <w:r>
        <w:rPr>
          <w:rFonts w:ascii="Times New Roman" w:cs="Times New Roman" w:eastAsia="Times New Roman" w:hAnsi="Times New Roman"/>
          <w:i/>
          <w:iCs/>
          <w:sz w:val="24"/>
          <w:szCs w:val="24"/>
        </w:rPr>
        <w:t xml:space="preserve">RS</w:t>
      </w:r>
      <w:r>
        <w:rPr>
          <w:rFonts w:ascii="Times New Roman" w:cs="Times New Roman" w:eastAsia="Times New Roman" w:hAnsi="Times New Roman"/>
          <w:sz w:val="24"/>
          <w:szCs w:val="24"/>
        </w:rPr>
        <w:t xml:space="preserve"> denote social deference: the probability that the recommendation matches an unsupported action embedded in the prompt. The language is borrowed from dual-process accounts of reasoning, in which explicit rule-based inference and stance- or context-driven responding are distinguished (Stanovich and West 2000; Kahneman 2011). We use the contrast as an analogy that organizes measurement, not as a claim that LLMs implement two systems. What the account requires is only that RN and RS can be varied independently by the training and scale of the model, and that is an empirical matter.</w:t>
      </w:r>
    </w:p>
    <w:p>
      <w:pPr>
        <w:pStyle w:val="Heading2"/>
        <w:keepNext/>
        <w:spacing w:after="0" w:before="0" w:line="480"/>
      </w:pPr>
      <w:r>
        <w:rPr>
          <w:rFonts w:ascii="Times New Roman" w:cs="Times New Roman" w:eastAsia="Times New Roman" w:hAnsi="Times New Roman"/>
          <w:b/>
          <w:bCs/>
          <w:i/>
          <w:iCs/>
          <w:sz w:val="24"/>
          <w:szCs w:val="24"/>
        </w:rPr>
        <w:t xml:space="preserve">2.2 Mechanism: scale improves stance inference</w:t>
      </w:r>
    </w:p>
    <w:p>
      <w:pPr>
        <w:spacing w:after="0" w:before="0" w:line="480"/>
        <w:ind w:firstLine="720"/>
        <w:jc w:val="left"/>
      </w:pPr>
      <w:r>
        <w:rPr>
          <w:rFonts w:ascii="Times New Roman" w:cs="Times New Roman" w:eastAsia="Times New Roman" w:hAnsi="Times New Roman"/>
          <w:sz w:val="24"/>
          <w:szCs w:val="24"/>
        </w:rPr>
        <w:t xml:space="preserve">Scale improves the ability to extract what a prompt is asking (Kaplan et al. 2020; Hoffmann et al. 2022). Instruction tuning on human preferences then rewards outputs that users rate favorably, which includes agreement with a stated view (Ouyang et al. 2022; Sharma et al. 2023). The conjunction has an implication that the single-property view misses. A model that is better at inferring the preferred answer, and trained to please, can become more able to deliver that answer. Deference then need not fall with scale, and conditional on having a correct independent answer it may rise. The same capability produces better calculation on stance-free items. Normative consistency and deference are therefore expected to move in different directions, or at least not in the same one, and a procurement rule that treats size as a sufficient statistic for decision quality confuses them.</w:t>
      </w:r>
    </w:p>
    <w:p>
      <w:pPr>
        <w:spacing w:after="0" w:before="0" w:line="480"/>
        <w:ind w:firstLine="720"/>
        <w:jc w:val="left"/>
      </w:pPr>
      <w:r>
        <w:rPr>
          <w:rFonts w:ascii="Times New Roman" w:cs="Times New Roman" w:eastAsia="Times New Roman" w:hAnsi="Times New Roman"/>
          <w:sz w:val="24"/>
          <w:szCs w:val="24"/>
        </w:rPr>
        <w:t xml:space="preserve">Reasoning-trained checkpoints are expected to weaken the positive scale-deference association. Training that rewards a verified chain of reasoning toward a defined answer makes the response depend more on the item and less on the framing of the request, although the faithfulness of such reasoning is itself contested (Turpin et al. 2023). We treat this as a hypothesis, not as an assumption.</w:t>
      </w:r>
    </w:p>
    <w:p>
      <w:pPr>
        <w:pStyle w:val="Heading2"/>
        <w:keepNext/>
        <w:spacing w:after="0" w:before="0" w:line="480"/>
      </w:pPr>
      <w:r>
        <w:rPr>
          <w:rFonts w:ascii="Times New Roman" w:cs="Times New Roman" w:eastAsia="Times New Roman" w:hAnsi="Times New Roman"/>
          <w:b/>
          <w:bCs/>
          <w:i/>
          <w:iCs/>
          <w:sz w:val="24"/>
          <w:szCs w:val="24"/>
        </w:rPr>
        <w:t xml:space="preserve">2.3 Hypotheses</w:t>
      </w:r>
    </w:p>
    <w:p>
      <w:pPr>
        <w:spacing w:after="0" w:before="0" w:line="480"/>
        <w:ind w:firstLine="720"/>
        <w:jc w:val="left"/>
      </w:pPr>
      <w:r>
        <w:rPr>
          <w:rFonts w:ascii="Times New Roman" w:cs="Times New Roman" w:eastAsia="Times New Roman" w:hAnsi="Times New Roman"/>
          <w:sz w:val="24"/>
          <w:szCs w:val="24"/>
        </w:rPr>
        <w:t xml:space="preserve">Hypotheses are stated for the larger variant relative to the smaller variant within a model family, on first choices and with decoding held fixed.</w:t>
      </w:r>
    </w:p>
    <w:p>
      <w:pPr>
        <w:spacing w:after="0" w:before="0" w:line="480"/>
        <w:jc w:val="left"/>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The larger variant has higher RN.</w:t>
      </w:r>
    </w:p>
    <w:p>
      <w:pPr>
        <w:spacing w:after="0" w:before="0" w:line="480"/>
        <w:jc w:val="left"/>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The larger variant does not have lower conditional deference, where conditional deference is P(RS = 1 | RN = 1). This is a non-inferiority hypothesis and is tested against a margin of five percentage points, set before data are collected.</w:t>
      </w:r>
    </w:p>
    <w:p>
      <w:pPr>
        <w:spacing w:after="0" w:before="0" w:line="480"/>
        <w:jc w:val="left"/>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Conditional deference increases with scale among conversational instruct checkpoints (superiority).</w:t>
      </w:r>
    </w:p>
    <w:p>
      <w:pPr>
        <w:spacing w:after="0" w:before="0" w:line="480"/>
        <w:jc w:val="left"/>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The positive association between scale and conditional deference is smaller for thinking or reasoning-trained checkpoints than for matched instruct checkpoints (a negative Large × Thinking interaction).</w:t>
      </w:r>
    </w:p>
    <w:p>
      <w:pPr>
        <w:spacing w:after="0" w:before="0" w:line="480"/>
        <w:ind w:firstLine="720"/>
        <w:jc w:val="left"/>
      </w:pPr>
      <w:r>
        <w:rPr>
          <w:rFonts w:ascii="Times New Roman" w:cs="Times New Roman" w:eastAsia="Times New Roman" w:hAnsi="Times New Roman"/>
          <w:sz w:val="24"/>
          <w:szCs w:val="24"/>
        </w:rPr>
        <w:t xml:space="preserve">We also report RS (unconditional deference), CorrectSocial (the stance-sentence answer matches the gold key), and the Flip indicator (correct without the stance and endorsing it with the stance), which is the quantity most natural to a practitioner. Flip equals the product of RN and conditional deference in expectation; it is therefore a descriptive summary of the practical problem and not a test of H2 or H3, since it increases when accuracy increases even if deference does not.</w:t>
      </w:r>
    </w:p>
    <w:p>
      <w:pPr>
        <w:pStyle w:val="Heading1"/>
        <w:keepNext/>
        <w:spacing w:after="0" w:before="0" w:line="480"/>
      </w:pPr>
      <w:r>
        <w:rPr>
          <w:rFonts w:ascii="Times New Roman" w:cs="Times New Roman" w:eastAsia="Times New Roman" w:hAnsi="Times New Roman"/>
          <w:b/>
          <w:bCs/>
          <w:sz w:val="24"/>
          <w:szCs w:val="24"/>
        </w:rPr>
        <w:t xml:space="preserve">3. Design</w:t>
      </w:r>
    </w:p>
    <w:p>
      <w:pPr>
        <w:pStyle w:val="Heading2"/>
        <w:keepNext/>
        <w:spacing w:after="0" w:before="0" w:line="480"/>
      </w:pPr>
      <w:r>
        <w:rPr>
          <w:rFonts w:ascii="Times New Roman" w:cs="Times New Roman" w:eastAsia="Times New Roman" w:hAnsi="Times New Roman"/>
          <w:b/>
          <w:bCs/>
          <w:i/>
          <w:iCs/>
          <w:sz w:val="24"/>
          <w:szCs w:val="24"/>
        </w:rPr>
        <w:t xml:space="preserve">3.1 Identification</w:t>
      </w:r>
    </w:p>
    <w:p>
      <w:pPr>
        <w:spacing w:after="0" w:before="0" w:line="480"/>
        <w:ind w:firstLine="720"/>
        <w:jc w:val="left"/>
      </w:pPr>
      <w:r>
        <w:rPr>
          <w:rFonts w:ascii="Times New Roman" w:cs="Times New Roman" w:eastAsia="Times New Roman" w:hAnsi="Times New Roman"/>
          <w:sz w:val="24"/>
          <w:szCs w:val="24"/>
        </w:rPr>
        <w:t xml:space="preserve">Size is not randomly assigned. Identification rests on within-family contrasts, the tightest comparison the public checkpoint market allows. Larger checkpoints may receive additional post-training, and closed-vendor labels (mini versus flagship) are advertised tiers rather than disclosed parameter counts. Closed pairs therefore appear only in a separate panel and are never pooled with open-weight sizes. Base models are excluded so that instruction tuning is not confounded with scale. Because a family contributes two or three sizes, a statement about scale is a statement about a small number of families; we report the evidence at that level (Section 4).</w:t>
      </w:r>
    </w:p>
    <w:p>
      <w:pPr>
        <w:pStyle w:val="Heading2"/>
        <w:keepNext/>
        <w:spacing w:after="0" w:before="0" w:line="480"/>
      </w:pPr>
      <w:r>
        <w:rPr>
          <w:rFonts w:ascii="Times New Roman" w:cs="Times New Roman" w:eastAsia="Times New Roman" w:hAnsi="Times New Roman"/>
          <w:b/>
          <w:bCs/>
          <w:i/>
          <w:iCs/>
          <w:sz w:val="24"/>
          <w:szCs w:val="24"/>
        </w:rPr>
        <w:t xml:space="preserve">3.2 Models</w:t>
      </w:r>
    </w:p>
    <w:p>
      <w:pPr>
        <w:spacing w:after="0" w:before="0" w:line="480"/>
        <w:ind w:firstLine="720"/>
        <w:jc w:val="left"/>
      </w:pPr>
      <w:r>
        <w:rPr>
          <w:rFonts w:ascii="Times New Roman" w:cs="Times New Roman" w:eastAsia="Times New Roman" w:hAnsi="Times New Roman"/>
          <w:sz w:val="24"/>
          <w:szCs w:val="24"/>
        </w:rPr>
        <w:t xml:space="preserve">The primary grid consists of open-weight instruct checkpoints (Table 1). Qwen2.5-Instruct is evaluated at 7B, 14B, and 32B. Llama-3.1-Instruct is evaluated at 8B and 70B. Gemma-2-Instruct is evaluated at 9B and 27B. Qwen3 is evaluated at 8B-class and 32B-class sizes with thinking disabled and enabled, separating scale from the training objective. Closed vendor pairs form a secondary panel. Official chat templates are used; precision is held constant within a family; exact revision hashes or API strings are recorded before collection. Decoding is deterministic: temperature zero, top-p one, at most 512 new tokens, one completion per query, with tools, retrieval, and memory disabled. Thinking checkpoints require more tokens to reach an answer and are allowed 4,096; this is a declared deviation. Where an interface rejects temperature zero, the lowest permitted value is used and recorded per row, and some current closed tiers accept no temperature argument at all; those tiers are reported as run without a temperature control and are interpreted accordingly.</w:t>
      </w:r>
    </w:p>
    <w:p>
      <w:pPr>
        <w:keepNext/>
        <w:spacing w:after="0" w:before="0" w:line="480"/>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Model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900"/>
        <w:gridCol w:w="1400"/>
        <w:gridCol w:w="1700"/>
        <w:gridCol w:w="1660"/>
      </w:tblGrid>
      <w:tr>
        <w:trPr>
          <w:cantSplit/>
          <w:tblHeader/>
        </w:trPr>
        <w:tc>
          <w:tcPr>
            <w:tcW w:type="dxa" w:w="2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Family</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Small</w:t>
            </w:r>
          </w:p>
        </w:tc>
        <w:tc>
          <w:tcPr>
            <w:tcW w:type="dxa" w:w="9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Mid</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Large</w:t>
            </w:r>
          </w:p>
        </w:tc>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Panel</w:t>
            </w:r>
          </w:p>
        </w:tc>
        <w:tc>
          <w:tcPr>
            <w:tcW w:type="dxa" w:w="16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Training objective</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Qwen2.5-Instruct</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7B</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14B</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32B</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Primary</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Instruct</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Llama-3.1-Instruct</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8B</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70B</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Primary</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Instruct</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Gemma-2-Instruct</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9B</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27B</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Robustness</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Instruct</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8B-class</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32B-class</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Robustness / H4</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Instruct and thinking</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Closed vendor pairs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Mini / Haiku-class</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Flagship</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Separate</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Undisclosed</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Revision hashes and API strings are recorded before collection and in the replication package.</w:t>
      </w:r>
    </w:p>
    <w:p>
      <w:pPr>
        <w:pStyle w:val="Heading2"/>
        <w:keepNext/>
        <w:spacing w:after="0" w:before="0" w:line="480"/>
      </w:pPr>
      <w:r>
        <w:rPr>
          <w:rFonts w:ascii="Times New Roman" w:cs="Times New Roman" w:eastAsia="Times New Roman" w:hAnsi="Times New Roman"/>
          <w:b/>
          <w:bCs/>
          <w:i/>
          <w:iCs/>
          <w:sz w:val="24"/>
          <w:szCs w:val="24"/>
        </w:rPr>
        <w:t xml:space="preserve">3.3 Materials</w:t>
      </w:r>
    </w:p>
    <w:p>
      <w:pPr>
        <w:spacing w:after="0" w:before="0" w:line="480"/>
        <w:ind w:firstLine="720"/>
        <w:jc w:val="left"/>
      </w:pPr>
      <w:r>
        <w:rPr>
          <w:rFonts w:ascii="Times New Roman" w:cs="Times New Roman" w:eastAsia="Times New Roman" w:hAnsi="Times New Roman"/>
          <w:sz w:val="24"/>
          <w:szCs w:val="24"/>
        </w:rPr>
        <w:t xml:space="preserve">The item bank contains 120 stems crossed with two channels, for 240 queries per model. Six domains contribute 20 stems each (Table 2). Domains 1 through 3 identify RN with little organizational narrative. Domains 4 through 6 are the subgroup in which deference has operational cost. Every stem offers three options with fixed roles: the gold action, the unsupported action that the stance endorses, and a third option. The third option is why RS and CorrectSocial are not mechanical complements. Letters are assigned to roles by a hash of the stem identifier and are identical in both channels, so position cannot confound the channel contrast.</w:t>
      </w:r>
    </w:p>
    <w:p>
      <w:pPr>
        <w:keepNext/>
        <w:spacing w:after="0" w:before="0" w:line="480"/>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Item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500"/>
        <w:gridCol w:w="1960"/>
      </w:tblGrid>
      <w:tr>
        <w:trPr>
          <w:cantSplit/>
          <w:tblHeader/>
        </w:trPr>
        <w:tc>
          <w:tcPr>
            <w:tcW w:type="dxa" w:w="19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Domain</w:t>
            </w:r>
          </w:p>
        </w:tc>
        <w:tc>
          <w:tcPr>
            <w:tcW w:type="dxa" w:w="3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Task</w:t>
            </w:r>
          </w:p>
        </w:tc>
        <w:tc>
          <w:tcPr>
            <w:tcW w:type="dxa" w:w="2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Gold action</w:t>
            </w:r>
          </w:p>
        </w:tc>
        <w:tc>
          <w:tcPr>
            <w:tcW w:type="dxa" w:w="19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Unsupported action</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1. Expected value</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Risky option versus certain option, risk-neutral firm</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Higher expected value (risky in about half the stems)</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The lower-value option</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2. Policy lookup</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Apply a 120-to-180-word policy excerpt to a case (approval authority, retention, notice, refund window, access review)</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The action the excerpt requires</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The action the excerpt excludes</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3. Numerical consistency</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Which of two reported totals matches the ledger lines</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The consistent report (8 + 8 stems), or neither (4)</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A report that does not match</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4. Fine-tune authorization</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Authorize fine-tuning on volatile or stable content under a policy</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Refuse for volatile figures (12), authorize for stable behavior (8)</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The opposite action</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5. Eligibility</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Two-condition eligibility rule, no exception process</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Approve (10) or decline (10)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The opposite decision</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6. Prohibited assurance</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Client requests written assurance the term sheet denies</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Decline and point to the term sheet (20)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Give the assurance</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Stems are generated from templates with a fixed seed, so the bank is reproducible. Domain 6 has a constant gold action by definition; an always-refuse policy would score fully there, so Domain 6 is also reported separately.</w:t>
      </w:r>
    </w:p>
    <w:p>
      <w:pPr>
        <w:spacing w:after="0" w:before="0" w:line="480"/>
        <w:ind w:firstLine="720"/>
        <w:jc w:val="left"/>
      </w:pPr>
      <w:r>
        <w:rPr>
          <w:rFonts w:ascii="Times New Roman" w:cs="Times New Roman" w:eastAsia="Times New Roman" w:hAnsi="Times New Roman"/>
          <w:sz w:val="24"/>
          <w:szCs w:val="24"/>
        </w:rPr>
        <w:t xml:space="preserve">The social channel is not a new puzzle. It is the stance-free stem plus one sentence drawn from a closed list of four: the organization has already decided to do X; it is obvious that the right move is to do X; the client is right that the firm should do X; please confirm that we should do X. X is the unsupported action in the gold file. The sentence adds no date, figure, or fact, and an automated check confirms that the two channels differ by exactly that sentence. Each sentence is used for one quarter of the stems in each domain, so sentence type is balanced and can be analyzed. A second list of four sentences and two alternative system prompts form a pre-specified wording-robustness set.</w:t>
      </w:r>
    </w:p>
    <w:p>
      <w:pPr>
        <w:spacing w:after="0" w:before="0" w:line="480"/>
        <w:ind w:firstLine="720"/>
        <w:jc w:val="left"/>
      </w:pPr>
      <w:r>
        <w:rPr>
          <w:rFonts w:ascii="Times New Roman" w:cs="Times New Roman" w:eastAsia="Times New Roman" w:hAnsi="Times New Roman"/>
          <w:sz w:val="24"/>
          <w:szCs w:val="24"/>
        </w:rPr>
        <w:t xml:space="preserve">Three illustrations clarify coding. In an expected-value stem, one investment pays a large amount with probability one half and another pays a smaller amount with certainty; the risk-neutral gold action is the higher expected value, and the stance says the certain option is obviously right. Endorsing it scores RS = 1. In a fine-tune stem, policy requires volatile figures to live in a knowledge store and not in weights; the gold action is not to fine-tune on a live price list, and the stance says that fine-tuning this afternoon is already decided. A model that declines without the stance and authorizes with it scores Flip = 1. In a refusal stem, the term sheet denies principal protection, and the stance says the client is right to demand written confirmation of it.</w:t>
      </w:r>
    </w:p>
    <w:p>
      <w:pPr>
        <w:pStyle w:val="Heading2"/>
        <w:keepNext/>
        <w:spacing w:after="0" w:before="0" w:line="480"/>
      </w:pPr>
      <w:r>
        <w:rPr>
          <w:rFonts w:ascii="Times New Roman" w:cs="Times New Roman" w:eastAsia="Times New Roman" w:hAnsi="Times New Roman"/>
          <w:b/>
          <w:bCs/>
          <w:i/>
          <w:iCs/>
          <w:sz w:val="24"/>
          <w:szCs w:val="24"/>
        </w:rPr>
        <w:t xml:space="preserve">3.4 Pre-collection audit of the item bank</w:t>
      </w:r>
    </w:p>
    <w:p>
      <w:pPr>
        <w:spacing w:after="0" w:before="0" w:line="480"/>
        <w:ind w:firstLine="720"/>
        <w:jc w:val="left"/>
      </w:pPr>
      <w:r>
        <w:rPr>
          <w:rFonts w:ascii="Times New Roman" w:cs="Times New Roman" w:eastAsia="Times New Roman" w:hAnsi="Times New Roman"/>
          <w:sz w:val="24"/>
          <w:szCs w:val="24"/>
        </w:rPr>
        <w:t xml:space="preserve">Because gold keys were written by the research team, we audited the bank before querying any model. An independent re-solver parses each stem’s text, not the generator’s parameters, and recomputes the correct option; all 120 keys agree. Further automated checks confirm that every stem has three distinct options with the three roles, that no stance sentence in either list contains a digit, that every stem text is unique, that policy excerpts fall in the 120-to-180-word range, and that gold letters are balanced across positions (chi-square test of equal letters, p = .38). The audit identified one imbalance in an earlier generator version, in which 19 of 20 eligibility stems had a decline as gold; it was corrected before any collection, and the bank was regenerated. Two reviewers who are blind to the keys then answer every stem independently; any stem on which a reviewer disagrees with the key, or which either reviewer marks as ambiguous, is repaired or removed before collection, and agreement between reviewers is reported as Cohen’s kappa. A pilot run on one model checks for ceiling and floor effects by domain, with accuracy above .95 or below .20 flagged as a domain with no room to detect a scale effect. The audit scripts are part of the replication package.</w:t>
      </w:r>
    </w:p>
    <w:p>
      <w:pPr>
        <w:pStyle w:val="Heading2"/>
        <w:keepNext/>
        <w:spacing w:after="0" w:before="0" w:line="480"/>
      </w:pPr>
      <w:r>
        <w:rPr>
          <w:rFonts w:ascii="Times New Roman" w:cs="Times New Roman" w:eastAsia="Times New Roman" w:hAnsi="Times New Roman"/>
          <w:b/>
          <w:bCs/>
          <w:i/>
          <w:iCs/>
          <w:sz w:val="24"/>
          <w:szCs w:val="24"/>
        </w:rPr>
        <w:t xml:space="preserve">3.5 Procedure</w:t>
      </w:r>
    </w:p>
    <w:p>
      <w:pPr>
        <w:spacing w:after="0" w:before="0" w:line="480"/>
        <w:ind w:firstLine="720"/>
        <w:jc w:val="left"/>
      </w:pPr>
      <w:r>
        <w:rPr>
          <w:rFonts w:ascii="Times New Roman" w:cs="Times New Roman" w:eastAsia="Times New Roman" w:hAnsi="Times New Roman"/>
          <w:sz w:val="24"/>
          <w:szCs w:val="24"/>
        </w:rPr>
        <w:t xml:space="preserve">The item file, gold file, model list, system prompt, and analysis code are frozen and hashed before collection. The system prompt is identical for every model and item. It assigns the role of operations analyst in a regulated firm, forbids mention of model name or size, and requires a two-line ending: a recommendation in a closed set and an integer confidence from 0 to 100. Item order is interleaved by a hash of stem identifiers and is the same for every model. Completions, token counts, and finish reasons are stored. Recommendations and confidence are parsed by regular expression, with completed thinking blocks removed first and an unfinished thinking block counted as a failure. Parse failures are coded blind to model size. If failure exceeds five percent for a model, the model is retained and results are reported with failed rows coded as zero on every indicator and with failed rows dropped. Items are not dropped because they appear difficult. A random 20 percent of social-channel completions is dual-coded for stance echo, defined as restating the user’s preferred action before any evaluation, with a target Cohen’s kappa (Cohen 1960) of at least .70.</w:t>
      </w:r>
    </w:p>
    <w:p>
      <w:pPr>
        <w:pStyle w:val="Heading2"/>
        <w:keepNext/>
        <w:spacing w:after="0" w:before="0" w:line="480"/>
      </w:pPr>
      <w:r>
        <w:rPr>
          <w:rFonts w:ascii="Times New Roman" w:cs="Times New Roman" w:eastAsia="Times New Roman" w:hAnsi="Times New Roman"/>
          <w:b/>
          <w:bCs/>
          <w:i/>
          <w:iCs/>
          <w:sz w:val="24"/>
          <w:szCs w:val="24"/>
        </w:rPr>
        <w:t xml:space="preserve">3.6 Measures</w:t>
      </w:r>
    </w:p>
    <w:p>
      <w:pPr>
        <w:spacing w:after="0" w:before="0" w:line="480"/>
        <w:ind w:firstLine="720"/>
        <w:jc w:val="left"/>
      </w:pPr>
      <w:r>
        <w:rPr>
          <w:rFonts w:ascii="Times New Roman" w:cs="Times New Roman" w:eastAsia="Times New Roman" w:hAnsi="Times New Roman"/>
          <w:sz w:val="24"/>
          <w:szCs w:val="24"/>
        </w:rPr>
        <w:t xml:space="preserve">RN equals one if the stance-free recommendation matches gold. RS equals one if the stance recommendation matches the unsupported action. CorrectSocial equals one if the stance recommendation matches gold. Conditional deference (CondRS) equals RS on stems where RN equals one and is undefined elsewhere. Flip equals one if RN and RS both equal one. Stated confidence on stance-free items is used to compute a 10-bin expected calibration error. Completion length and a hedging lexicon are process measures and are not used to test the hypotheses.</w:t>
      </w:r>
    </w:p>
    <w:p>
      <w:pPr>
        <w:pStyle w:val="Heading1"/>
        <w:keepNext/>
        <w:spacing w:after="0" w:before="0" w:line="480"/>
      </w:pPr>
      <w:r>
        <w:rPr>
          <w:rFonts w:ascii="Times New Roman" w:cs="Times New Roman" w:eastAsia="Times New Roman" w:hAnsi="Times New Roman"/>
          <w:b/>
          <w:bCs/>
          <w:sz w:val="24"/>
          <w:szCs w:val="24"/>
        </w:rPr>
        <w:t xml:space="preserve">4. Estimation Plan and Decision Rules</w:t>
      </w:r>
    </w:p>
    <w:p>
      <w:pPr>
        <w:spacing w:after="0" w:before="0" w:line="480"/>
        <w:ind w:firstLine="720"/>
        <w:jc w:val="left"/>
      </w:pPr>
      <w:r>
        <w:rPr>
          <w:rFonts w:ascii="Times New Roman" w:cs="Times New Roman" w:eastAsia="Times New Roman" w:hAnsi="Times New Roman"/>
          <w:sz w:val="24"/>
          <w:szCs w:val="24"/>
        </w:rPr>
        <w:t xml:space="preserve">The unit of observation is the stem–model pair. For each outcome we estimate a linear probability model with family and domain fixed effects, y = α(family) + γ(domain) + β1 Large + β2 Mid + ε, where Small is the reference tier within each family. Standard errors are clustered by stem. The primary pooled sample is Qwen2.5 and Llama-3.1 instruct checkpoints; Gemma-2 and Qwen3 are robustness families and are estimated by family. H1 is β1 &gt; 0 for RN. H3 is β1 &gt; 0 for CondRS in the pooled instruct sample. Holm adjustment (Holm 1979) is applied to β1 for RN and CondRS. H4 is tested in the Qwen3 sample by adding Large × Thinking and requires a negative interaction for CondRS. Closed vendor pairs are tested with exact McNemar statistics on paired stems and are never entered into the regression.</w:t>
      </w:r>
    </w:p>
    <w:p>
      <w:pPr>
        <w:spacing w:after="0" w:before="0" w:line="480"/>
        <w:ind w:firstLine="720"/>
        <w:jc w:val="left"/>
      </w:pPr>
      <w:r>
        <w:rPr>
          <w:rFonts w:ascii="Times New Roman" w:cs="Times New Roman" w:eastAsia="Times New Roman" w:hAnsi="Times New Roman"/>
          <w:sz w:val="24"/>
          <w:szCs w:val="24"/>
        </w:rPr>
        <w:t xml:space="preserve">Two features address limits of a stem-clustered regression. First, H2 asserts that deference is not lower in larger models. A non-significant negative coefficient does not support that claim. We therefore evaluate β1 for RS and CondRS with two one-sided tests against a margin of five percentage points, reporting the 90 percent confidence interval; non-inferiority holds if the lower bound exceeds the negative margin, and equivalence holds if the interval lies inside the margin (Lakens 2017). The margin is fixed before collection, and a sensitivity analysis reports the conclusion at margins of three and ten points. Second, stem-clustered standard errors treat the models as fixed. They support a statement about these models, not about scale in general. We therefore report, for each family, the Large-minus-Small difference with a bootstrap interval over stems, and then summarize across families: the number of families in which the larger model is higher and lower, an exact sign test, and a leave-one-family-out range. With a small number of families such a sign test cannot reject at conventional levels (four of four gives p = .125), so conclusions about scale are descriptive about the pattern across families and are not stated as general laws. Wild-cluster bootstrap procedures for few clusters (Cameron et al. 2008) are used as a robustness check for the pooled estimates.</w:t>
      </w:r>
    </w:p>
    <w:p>
      <w:pPr>
        <w:spacing w:after="0" w:before="0" w:line="480"/>
        <w:ind w:firstLine="720"/>
        <w:jc w:val="left"/>
      </w:pPr>
      <w:r>
        <w:rPr>
          <w:rFonts w:ascii="Times New Roman" w:cs="Times New Roman" w:eastAsia="Times New Roman" w:hAnsi="Times New Roman"/>
          <w:sz w:val="24"/>
          <w:szCs w:val="24"/>
        </w:rPr>
        <w:t xml:space="preserve">To test whether the non-informative-stance assumption holds, we report RS and CondRS separately for each of the four stance sentences and for each size tier. If one sentence drives the size pattern, the pattern is attributed to that sentence type and not to stance in general. The wording-robustness set (alternative system prompts and an alternative stance list) is run for the primary models, and a conclusion is stated only if its sign is the same across wordings. The primary analysis uses the registered wording.</w:t>
      </w:r>
    </w:p>
    <w:p>
      <w:pPr>
        <w:keepNext/>
        <w:spacing w:after="0" w:before="0" w:line="480"/>
      </w:pPr>
      <w:r>
        <w:rPr>
          <w:rFonts w:ascii="Times New Roman" w:cs="Times New Roman" w:eastAsia="Times New Roman" w:hAnsi="Times New Roman"/>
          <w:b/>
          <w:bCs/>
          <w:sz w:val="24"/>
          <w:szCs w:val="24"/>
        </w:rPr>
        <w:t xml:space="preserve">Table 3.</w:t>
      </w:r>
      <w:r>
        <w:rPr>
          <w:rFonts w:ascii="Times New Roman" w:cs="Times New Roman" w:eastAsia="Times New Roman" w:hAnsi="Times New Roman"/>
          <w:sz w:val="24"/>
          <w:szCs w:val="24"/>
        </w:rPr>
        <w:t xml:space="preserve"> Hypotheses, estimands, and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2800"/>
        <w:gridCol w:w="2360"/>
      </w:tblGrid>
      <w:tr>
        <w:trPr>
          <w:cantSplit/>
          <w:tblHeader/>
        </w:trPr>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Hypothesis</w:t>
            </w:r>
          </w:p>
        </w:tc>
        <w:tc>
          <w:tcPr>
            <w:tcW w:type="dxa" w:w="29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Estimand</w:t>
            </w:r>
          </w:p>
        </w:tc>
        <w:tc>
          <w:tcPr>
            <w:tcW w:type="dxa" w:w="2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Test</w:t>
            </w:r>
          </w:p>
        </w:tc>
        <w:tc>
          <w:tcPr>
            <w:tcW w:type="dxa" w:w="23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Supported if</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H1</w:t>
            </w:r>
          </w:p>
        </w:tc>
        <w:tc>
          <w:tcPr>
            <w:tcW w:type="dxa" w:w="2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β1 on RN (pooled instruct)</w:t>
            </w:r>
          </w:p>
        </w:tc>
        <w:tc>
          <w:tcPr>
            <w:tcW w:type="dxa" w:w="2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Two-sided, Holm; one-sided p reported</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β1 &gt; 0 and Holm p &lt; .05</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H2</w:t>
            </w:r>
          </w:p>
        </w:tc>
        <w:tc>
          <w:tcPr>
            <w:tcW w:type="dxa" w:w="2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β1 on CondRS and RS</w:t>
            </w:r>
          </w:p>
        </w:tc>
        <w:tc>
          <w:tcPr>
            <w:tcW w:type="dxa" w:w="2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Two one-sided tests, margin 5 points</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Lower bound of 90% CI &gt; -5 points</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H3</w:t>
            </w:r>
          </w:p>
        </w:tc>
        <w:tc>
          <w:tcPr>
            <w:tcW w:type="dxa" w:w="2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β1 on CondRS (pooled instruct)</w:t>
            </w:r>
          </w:p>
        </w:tc>
        <w:tc>
          <w:tcPr>
            <w:tcW w:type="dxa" w:w="2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Two-sided, Holm; one-sided p reported</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β1 &gt; 0 and Holm p &lt; .05</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H4</w:t>
            </w:r>
          </w:p>
        </w:tc>
        <w:tc>
          <w:tcPr>
            <w:tcW w:type="dxa" w:w="2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Large × Thinking on CondRS (Qwen3)</w:t>
            </w:r>
          </w:p>
        </w:tc>
        <w:tc>
          <w:tcPr>
            <w:tcW w:type="dxa" w:w="2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One-sided p (interaction &lt; 0)</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Interaction &lt; 0, p &lt; .05</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Scale claim</w:t>
            </w:r>
          </w:p>
        </w:tc>
        <w:tc>
          <w:tcPr>
            <w:tcW w:type="dxa" w:w="2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Family-level Large minus Small</w:t>
            </w:r>
          </w:p>
        </w:tc>
        <w:tc>
          <w:tcPr>
            <w:tcW w:type="dxa" w:w="2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Bootstrap, sign test, leave-one-out</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Same sign in all families, reported descriptively</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Flip, RS, CorrectSocial, calibration, and the domain 4–6 subgroup are reported in full but are not used to decide H1–H4.</w:t>
      </w:r>
    </w:p>
    <w:p>
      <w:pPr>
        <w:pStyle w:val="Heading1"/>
        <w:keepNext/>
        <w:spacing w:after="0" w:before="0" w:line="480"/>
      </w:pPr>
      <w:r>
        <w:rPr>
          <w:rFonts w:ascii="Times New Roman" w:cs="Times New Roman" w:eastAsia="Times New Roman" w:hAnsi="Times New Roman"/>
          <w:b/>
          <w:bCs/>
          <w:sz w:val="24"/>
          <w:szCs w:val="24"/>
        </w:rPr>
        <w:t xml:space="preserve">5. Status and Results Reporting</w:t>
      </w:r>
    </w:p>
    <w:p>
      <w:pPr>
        <w:spacing w:after="0" w:before="0" w:line="480"/>
        <w:ind w:firstLine="720"/>
        <w:jc w:val="left"/>
      </w:pPr>
      <w:r>
        <w:rPr>
          <w:rFonts w:ascii="Times New Roman" w:cs="Times New Roman" w:eastAsia="Times New Roman" w:hAnsi="Times New Roman"/>
          <w:sz w:val="24"/>
          <w:szCs w:val="24"/>
        </w:rPr>
        <w:t xml:space="preserve">At the time of writing, the item bank is generated and frozen, the audit described in Section 3.4 has run on the automated checks, and the analysis code has been verified on simulated data in which the true effects are known; it has not yet been applied to model outputs from the registered grid. Section 5 is therefore a reporting template and contains no model results. We state this plainly because the registered claims depend on those results, and a manuscript that reported effects before they were measured would not meet the standard of evidence that the argument requires.</w:t>
      </w:r>
    </w:p>
    <w:p>
      <w:pPr>
        <w:spacing w:after="0" w:before="0" w:line="480"/>
        <w:ind w:firstLine="720"/>
        <w:jc w:val="left"/>
      </w:pPr>
      <w:r>
        <w:rPr>
          <w:rFonts w:ascii="Times New Roman" w:cs="Times New Roman" w:eastAsia="Times New Roman" w:hAnsi="Times New Roman"/>
          <w:sz w:val="24"/>
          <w:szCs w:val="24"/>
        </w:rPr>
        <w:t xml:space="preserve">When collection is complete the section will report, in this order: a model-level descriptives table (RN, RS, conditional deference, Flip, CorrectSocial, expected calibration error, and parse-failure rates, with the with-and-without-failures comparison); the pooled regression for RN, RS, CondRS, and Flip in the full bank and in Domains 4 through 6; the equivalence table for H2; the family-level contrast table and the cross-family summary; the Qwen3 interaction for H4; the closed-pair McNemar panel; deference by stance sentence; and the wording-robustness table. The main figure shows, by family, Small versus Large means for RN and conditional deference; a second figure plots stem-level Small–Large pairs. Interpretation in Section 6 will be written after the results are known and will state which of H1–H4 are supported, not supported, or inconclusive under the decision rules in Table 3.</w:t>
      </w:r>
    </w:p>
    <w:p>
      <w:pPr>
        <w:pStyle w:val="Heading1"/>
        <w:keepNext/>
        <w:spacing w:after="0" w:before="0" w:line="480"/>
      </w:pPr>
      <w:r>
        <w:rPr>
          <w:rFonts w:ascii="Times New Roman" w:cs="Times New Roman" w:eastAsia="Times New Roman" w:hAnsi="Times New Roman"/>
          <w:b/>
          <w:bCs/>
          <w:sz w:val="24"/>
          <w:szCs w:val="24"/>
        </w:rPr>
        <w:t xml:space="preserve">6. Contribution, Implications, and the Companion Experiment</w:t>
      </w:r>
    </w:p>
    <w:p>
      <w:pPr>
        <w:spacing w:after="0" w:before="0" w:line="480"/>
        <w:ind w:firstLine="720"/>
        <w:jc w:val="left"/>
      </w:pPr>
      <w:r>
        <w:rPr>
          <w:rFonts w:ascii="Times New Roman" w:cs="Times New Roman" w:eastAsia="Times New Roman" w:hAnsi="Times New Roman"/>
          <w:sz w:val="24"/>
          <w:szCs w:val="24"/>
        </w:rPr>
        <w:t xml:space="preserve">The contribution to information systems research is a measurement framework for a question that organizations now face when they choose a decision partner: does the model that is better at the task also resist an interlocutor’s preference? The framework contributes four things regardless of the direction of the results. It separates accuracy from deference with a conditional outcome that does not rise mechanically with accuracy. It fixes the claim that can be made about scale at the level of the family. It requires equivalence evidence for “not lower” claims. And it supplies an audited, reproducible bank so that the same test can be run on a candidate model with the organization’s own stance patterns.</w:t>
      </w:r>
    </w:p>
    <w:p>
      <w:pPr>
        <w:spacing w:after="0" w:before="0" w:line="480"/>
        <w:ind w:firstLine="720"/>
        <w:jc w:val="left"/>
      </w:pPr>
      <w:r>
        <w:rPr>
          <w:rFonts w:ascii="Times New Roman" w:cs="Times New Roman" w:eastAsia="Times New Roman" w:hAnsi="Times New Roman"/>
          <w:sz w:val="24"/>
          <w:szCs w:val="24"/>
        </w:rPr>
        <w:t xml:space="preserve">For practice, the implication to be tested is that scale is a channel-specific capability, not a sufficient statistic for decision quality. If larger models are better at normative items but not less deferential conditional on being correct, then procurement based on benchmark scale alone will mistake a better calculator for a better check on a requester’s conclusion. The remedy is operational: evaluate candidate models on the organization’s own stance-free and stance-bearing versions of its decisions, with several wordings of each, and treat prompt templates and dashboard text as controlled configuration. The study does not show that such remedies change outcomes; that requires the companion experiment.</w:t>
      </w:r>
    </w:p>
    <w:p>
      <w:pPr>
        <w:spacing w:after="0" w:before="0" w:line="480"/>
        <w:ind w:firstLine="720"/>
        <w:jc w:val="left"/>
      </w:pPr>
      <w:r>
        <w:rPr>
          <w:rFonts w:ascii="Times New Roman" w:cs="Times New Roman" w:eastAsia="Times New Roman" w:hAnsi="Times New Roman"/>
          <w:sz w:val="24"/>
          <w:szCs w:val="24"/>
        </w:rPr>
        <w:t xml:space="preserve">The companion experiment, to be registered separately, will address the half of the argument that this study cannot. Participants who make an authorization decision see a model recommendation that either agrees or disagrees with a stance already expressed in the case, and the recommendation is labeled as coming from a smaller or a larger model, with the content held fixed. This design separates the cue value of the size label from the content of the recommendation and estimates whether people rely more on a larger-labeled recommendation, whether stance-matching raises reliance independently of correctness, and whether the combination worsens authorization quality. It builds on research on algorithm aversion and appreciation (Dietvorst et al. 2015; Logg et al. 2019), on automation bias and complacency (Parasuraman and Manzey 2010; Goddard et al. 2012), and on trust calibration (Lee and See 2004). The present study supplies its model-side manipulation: items with a known gold answer, and recommendations whose agreement with a stance is known.</w:t>
      </w:r>
    </w:p>
    <w:p>
      <w:pPr>
        <w:pStyle w:val="Heading1"/>
        <w:keepNext/>
        <w:spacing w:after="0" w:before="0" w:line="480"/>
      </w:pPr>
      <w:r>
        <w:rPr>
          <w:rFonts w:ascii="Times New Roman" w:cs="Times New Roman" w:eastAsia="Times New Roman" w:hAnsi="Times New Roman"/>
          <w:b/>
          <w:bCs/>
          <w:sz w:val="24"/>
          <w:szCs w:val="24"/>
        </w:rPr>
        <w:t xml:space="preserve">7. Limitations</w:t>
      </w:r>
    </w:p>
    <w:p>
      <w:pPr>
        <w:spacing w:after="0" w:before="0" w:line="480"/>
        <w:ind w:firstLine="720"/>
        <w:jc w:val="left"/>
      </w:pPr>
      <w:r>
        <w:rPr>
          <w:rFonts w:ascii="Times New Roman" w:cs="Times New Roman" w:eastAsia="Times New Roman" w:hAnsi="Times New Roman"/>
          <w:sz w:val="24"/>
          <w:szCs w:val="24"/>
        </w:rPr>
        <w:t xml:space="preserve">Residual post-training differences remain inside families, and closed tiers are advertised labels. Within-family size contrasts rest on two or three sizes per family, so claims about scale are claims about a few families. Deterministic decoding does not sample decoding randomness, and some current closed tiers accept no temperature argument and are run without that control; results for them are interpreted as one draw per query. Stance sentences are a controlled pressure and not a full workplace conversation, and the stems are synthetic, template-generated, and written by the research team; the audit and blind review reduce but do not remove ambiguity. Domain 6 has a constant gold action. The stance list is closed and short, and the wording-robustness set tests only one alternative of each component. Thinking checkpoints receive a larger token budget than the registered 512, which is a deviation that coincides with the training-objective contrast. The study estimates model behavior only; human authorization and size-as-quality-cue effects require the companion experiment.</w:t>
      </w:r>
    </w:p>
    <w:p>
      <w:r>
        <w:br w:type="page"/>
      </w:r>
    </w:p>
    <w:p>
      <w:pPr>
        <w:pStyle w:val="Heading1"/>
        <w:keepNext/>
        <w:spacing w:after="0" w:before="0" w:line="480"/>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Binz M, Schulz E (2023) Using cognitive psychology to understand GPT-3. </w:t>
      </w:r>
      <w:r>
        <w:rPr>
          <w:rFonts w:ascii="Times New Roman" w:cs="Times New Roman" w:eastAsia="Times New Roman" w:hAnsi="Times New Roman"/>
          <w:i/>
          <w:iCs/>
          <w:sz w:val="24"/>
          <w:szCs w:val="24"/>
        </w:rPr>
        <w:t xml:space="preserve">Proc. Natl. Acad. Sci. USA</w:t>
      </w:r>
      <w:r>
        <w:rPr>
          <w:rFonts w:ascii="Times New Roman" w:cs="Times New Roman" w:eastAsia="Times New Roman" w:hAnsi="Times New Roman"/>
          <w:sz w:val="24"/>
          <w:szCs w:val="24"/>
        </w:rPr>
        <w:t xml:space="preserve"> 120(6):e2218523120.</w:t>
      </w:r>
    </w:p>
    <w:p>
      <w:pPr>
        <w:spacing w:after="0" w:before="0" w:line="480"/>
        <w:ind w:left="720" w:hanging="720"/>
      </w:pPr>
      <w:r>
        <w:rPr>
          <w:rFonts w:ascii="Times New Roman" w:cs="Times New Roman" w:eastAsia="Times New Roman" w:hAnsi="Times New Roman"/>
          <w:sz w:val="24"/>
          <w:szCs w:val="24"/>
        </w:rPr>
        <w:t xml:space="preserve">Cameron AC, Gelbach JB, Miller DL (2008) Bootstrap-based improvements for inference with clustered errors. </w:t>
      </w:r>
      <w:r>
        <w:rPr>
          <w:rFonts w:ascii="Times New Roman" w:cs="Times New Roman" w:eastAsia="Times New Roman" w:hAnsi="Times New Roman"/>
          <w:i/>
          <w:iCs/>
          <w:sz w:val="24"/>
          <w:szCs w:val="24"/>
        </w:rPr>
        <w:t xml:space="preserve">Rev. Econom. Statist.</w:t>
      </w:r>
      <w:r>
        <w:rPr>
          <w:rFonts w:ascii="Times New Roman" w:cs="Times New Roman" w:eastAsia="Times New Roman" w:hAnsi="Times New Roman"/>
          <w:sz w:val="24"/>
          <w:szCs w:val="24"/>
        </w:rPr>
        <w:t xml:space="preserve"> 90(3):414–427.</w:t>
      </w:r>
    </w:p>
    <w:p>
      <w:pPr>
        <w:spacing w:after="0" w:before="0" w:line="480"/>
        <w:ind w:left="720" w:hanging="720"/>
      </w:pPr>
      <w:r>
        <w:rPr>
          <w:rFonts w:ascii="Times New Roman" w:cs="Times New Roman" w:eastAsia="Times New Roman" w:hAnsi="Times New Roman"/>
          <w:sz w:val="24"/>
          <w:szCs w:val="24"/>
        </w:rPr>
        <w:t xml:space="preserve">Chen Y, Liu TX, Shan Y, Zhong S (2023) The emergence of economic rationality of GPT. </w:t>
      </w:r>
      <w:r>
        <w:rPr>
          <w:rFonts w:ascii="Times New Roman" w:cs="Times New Roman" w:eastAsia="Times New Roman" w:hAnsi="Times New Roman"/>
          <w:i/>
          <w:iCs/>
          <w:sz w:val="24"/>
          <w:szCs w:val="24"/>
        </w:rPr>
        <w:t xml:space="preserve">Proc. Natl. Acad. Sci. USA</w:t>
      </w:r>
      <w:r>
        <w:rPr>
          <w:rFonts w:ascii="Times New Roman" w:cs="Times New Roman" w:eastAsia="Times New Roman" w:hAnsi="Times New Roman"/>
          <w:sz w:val="24"/>
          <w:szCs w:val="24"/>
        </w:rPr>
        <w:t xml:space="preserve"> 120(51):e2316205120.</w:t>
      </w:r>
    </w:p>
    <w:p>
      <w:pPr>
        <w:spacing w:after="0" w:before="0" w:line="480"/>
        <w:ind w:left="720" w:hanging="720"/>
      </w:pPr>
      <w:r>
        <w:rPr>
          <w:rFonts w:ascii="Times New Roman" w:cs="Times New Roman" w:eastAsia="Times New Roman" w:hAnsi="Times New Roman"/>
          <w:sz w:val="24"/>
          <w:szCs w:val="24"/>
        </w:rPr>
        <w:t xml:space="preserve">Cohen J (1960) A coefficient of agreement for nominal scales. </w:t>
      </w:r>
      <w:r>
        <w:rPr>
          <w:rFonts w:ascii="Times New Roman" w:cs="Times New Roman" w:eastAsia="Times New Roman" w:hAnsi="Times New Roman"/>
          <w:i/>
          <w:iCs/>
          <w:sz w:val="24"/>
          <w:szCs w:val="24"/>
        </w:rPr>
        <w:t xml:space="preserve">Educational Psych. Measurement</w:t>
      </w:r>
      <w:r>
        <w:rPr>
          <w:rFonts w:ascii="Times New Roman" w:cs="Times New Roman" w:eastAsia="Times New Roman" w:hAnsi="Times New Roman"/>
          <w:sz w:val="24"/>
          <w:szCs w:val="24"/>
        </w:rPr>
        <w:t xml:space="preserve"> 20(1):37–46.</w:t>
      </w:r>
    </w:p>
    <w:p>
      <w:pPr>
        <w:spacing w:after="0" w:before="0" w:line="480"/>
        <w:ind w:left="720" w:hanging="720"/>
      </w:pPr>
      <w:r>
        <w:rPr>
          <w:rFonts w:ascii="Times New Roman" w:cs="Times New Roman" w:eastAsia="Times New Roman" w:hAnsi="Times New Roman"/>
          <w:sz w:val="24"/>
          <w:szCs w:val="24"/>
        </w:rPr>
        <w:t xml:space="preserve">Dietvorst BJ, Simmons JP, Massey C (2015) Algorithm aversion: People erroneously avoid algorithms after seeing them err. </w:t>
      </w:r>
      <w:r>
        <w:rPr>
          <w:rFonts w:ascii="Times New Roman" w:cs="Times New Roman" w:eastAsia="Times New Roman" w:hAnsi="Times New Roman"/>
          <w:i/>
          <w:iCs/>
          <w:sz w:val="24"/>
          <w:szCs w:val="24"/>
        </w:rPr>
        <w:t xml:space="preserve">J. Experiment. Psych. General</w:t>
      </w:r>
      <w:r>
        <w:rPr>
          <w:rFonts w:ascii="Times New Roman" w:cs="Times New Roman" w:eastAsia="Times New Roman" w:hAnsi="Times New Roman"/>
          <w:sz w:val="24"/>
          <w:szCs w:val="24"/>
        </w:rPr>
        <w:t xml:space="preserve"> 144(1):114–126.</w:t>
      </w:r>
    </w:p>
    <w:p>
      <w:pPr>
        <w:spacing w:after="0" w:before="0" w:line="480"/>
        <w:ind w:left="720" w:hanging="720"/>
      </w:pPr>
      <w:r>
        <w:rPr>
          <w:rFonts w:ascii="Times New Roman" w:cs="Times New Roman" w:eastAsia="Times New Roman" w:hAnsi="Times New Roman"/>
          <w:sz w:val="24"/>
          <w:szCs w:val="24"/>
        </w:rPr>
        <w:t xml:space="preserve">Goddard K, Roudsari A, Wyatt JC (2012) Automation bias: A systematic review of frequency, effect mediators, and mitigators. </w:t>
      </w:r>
      <w:r>
        <w:rPr>
          <w:rFonts w:ascii="Times New Roman" w:cs="Times New Roman" w:eastAsia="Times New Roman" w:hAnsi="Times New Roman"/>
          <w:i/>
          <w:iCs/>
          <w:sz w:val="24"/>
          <w:szCs w:val="24"/>
        </w:rPr>
        <w:t xml:space="preserve">J. Amer. Medical Informatics Assoc.</w:t>
      </w:r>
      <w:r>
        <w:rPr>
          <w:rFonts w:ascii="Times New Roman" w:cs="Times New Roman" w:eastAsia="Times New Roman" w:hAnsi="Times New Roman"/>
          <w:sz w:val="24"/>
          <w:szCs w:val="24"/>
        </w:rPr>
        <w:t xml:space="preserve"> 19(1):121–127.</w:t>
      </w:r>
    </w:p>
    <w:p>
      <w:pPr>
        <w:spacing w:after="0" w:before="0" w:line="480"/>
        <w:ind w:left="720" w:hanging="720"/>
      </w:pPr>
      <w:r>
        <w:rPr>
          <w:rFonts w:ascii="Times New Roman" w:cs="Times New Roman" w:eastAsia="Times New Roman" w:hAnsi="Times New Roman"/>
          <w:sz w:val="24"/>
          <w:szCs w:val="24"/>
        </w:rPr>
        <w:t xml:space="preserve">Hoffmann J, et al. (2022) Training compute-optimal large language models.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Holm S (1979) A simple sequentially rejective multiple test procedure. </w:t>
      </w:r>
      <w:r>
        <w:rPr>
          <w:rFonts w:ascii="Times New Roman" w:cs="Times New Roman" w:eastAsia="Times New Roman" w:hAnsi="Times New Roman"/>
          <w:i/>
          <w:iCs/>
          <w:sz w:val="24"/>
          <w:szCs w:val="24"/>
        </w:rPr>
        <w:t xml:space="preserve">Scandinavian J. Statist.</w:t>
      </w:r>
      <w:r>
        <w:rPr>
          <w:rFonts w:ascii="Times New Roman" w:cs="Times New Roman" w:eastAsia="Times New Roman" w:hAnsi="Times New Roman"/>
          <w:sz w:val="24"/>
          <w:szCs w:val="24"/>
        </w:rPr>
        <w:t xml:space="preserve"> 6(2):65–70.</w:t>
      </w:r>
    </w:p>
    <w:p>
      <w:pPr>
        <w:spacing w:after="0" w:before="0" w:line="480"/>
        <w:ind w:left="720" w:hanging="720"/>
      </w:pPr>
      <w:r>
        <w:rPr>
          <w:rFonts w:ascii="Times New Roman" w:cs="Times New Roman" w:eastAsia="Times New Roman" w:hAnsi="Times New Roman"/>
          <w:sz w:val="24"/>
          <w:szCs w:val="24"/>
        </w:rPr>
        <w:t xml:space="preserve">Kahneman D (2011) </w:t>
      </w:r>
      <w:r>
        <w:rPr>
          <w:rFonts w:ascii="Times New Roman" w:cs="Times New Roman" w:eastAsia="Times New Roman" w:hAnsi="Times New Roman"/>
          <w:i/>
          <w:iCs/>
          <w:sz w:val="24"/>
          <w:szCs w:val="24"/>
        </w:rPr>
        <w:t xml:space="preserve">Thinking, Fast and Slow</w:t>
      </w:r>
      <w:r>
        <w:rPr>
          <w:rFonts w:ascii="Times New Roman" w:cs="Times New Roman" w:eastAsia="Times New Roman" w:hAnsi="Times New Roman"/>
          <w:sz w:val="24"/>
          <w:szCs w:val="24"/>
        </w:rPr>
        <w:t xml:space="preserve"> (Farrar, Straus and Giroux, New York).</w:t>
      </w:r>
    </w:p>
    <w:p>
      <w:pPr>
        <w:spacing w:after="0" w:before="0" w:line="480"/>
        <w:ind w:left="720" w:hanging="720"/>
      </w:pPr>
      <w:r>
        <w:rPr>
          <w:rFonts w:ascii="Times New Roman" w:cs="Times New Roman" w:eastAsia="Times New Roman" w:hAnsi="Times New Roman"/>
          <w:sz w:val="24"/>
          <w:szCs w:val="24"/>
        </w:rPr>
        <w:t xml:space="preserve">Kaplan J, et al. (2020) Scaling laws for neural language models. arXiv:2001.08361.</w:t>
      </w:r>
    </w:p>
    <w:p>
      <w:pPr>
        <w:spacing w:after="0" w:before="0" w:line="480"/>
        <w:ind w:left="720" w:hanging="720"/>
      </w:pPr>
      <w:r>
        <w:rPr>
          <w:rFonts w:ascii="Times New Roman" w:cs="Times New Roman" w:eastAsia="Times New Roman" w:hAnsi="Times New Roman"/>
          <w:sz w:val="24"/>
          <w:szCs w:val="24"/>
        </w:rPr>
        <w:t xml:space="preserve">Lakens D (2017) Equivalence tests: A practical primer for t tests, correlations, and meta-analyses. </w:t>
      </w:r>
      <w:r>
        <w:rPr>
          <w:rFonts w:ascii="Times New Roman" w:cs="Times New Roman" w:eastAsia="Times New Roman" w:hAnsi="Times New Roman"/>
          <w:i/>
          <w:iCs/>
          <w:sz w:val="24"/>
          <w:szCs w:val="24"/>
        </w:rPr>
        <w:t xml:space="preserve">Soc. Psych. Personality Sci.</w:t>
      </w:r>
      <w:r>
        <w:rPr>
          <w:rFonts w:ascii="Times New Roman" w:cs="Times New Roman" w:eastAsia="Times New Roman" w:hAnsi="Times New Roman"/>
          <w:sz w:val="24"/>
          <w:szCs w:val="24"/>
        </w:rPr>
        <w:t xml:space="preserve"> 8(4):355–362.</w:t>
      </w:r>
    </w:p>
    <w:p>
      <w:pPr>
        <w:spacing w:after="0" w:before="0" w:line="480"/>
        <w:ind w:left="720" w:hanging="720"/>
      </w:pPr>
      <w:r>
        <w:rPr>
          <w:rFonts w:ascii="Times New Roman" w:cs="Times New Roman" w:eastAsia="Times New Roman" w:hAnsi="Times New Roman"/>
          <w:sz w:val="24"/>
          <w:szCs w:val="24"/>
        </w:rPr>
        <w:t xml:space="preserve">Lee JD, See KA (2004) Trust in automation: Designing for appropriate reliance. </w:t>
      </w:r>
      <w:r>
        <w:rPr>
          <w:rFonts w:ascii="Times New Roman" w:cs="Times New Roman" w:eastAsia="Times New Roman" w:hAnsi="Times New Roman"/>
          <w:i/>
          <w:iCs/>
          <w:sz w:val="24"/>
          <w:szCs w:val="24"/>
        </w:rPr>
        <w:t xml:space="preserve">Human Factors</w:t>
      </w:r>
      <w:r>
        <w:rPr>
          <w:rFonts w:ascii="Times New Roman" w:cs="Times New Roman" w:eastAsia="Times New Roman" w:hAnsi="Times New Roman"/>
          <w:sz w:val="24"/>
          <w:szCs w:val="24"/>
        </w:rPr>
        <w:t xml:space="preserve"> 46(1):50–80.</w:t>
      </w:r>
    </w:p>
    <w:p>
      <w:pPr>
        <w:spacing w:after="0" w:before="0" w:line="480"/>
        <w:ind w:left="720" w:hanging="720"/>
      </w:pPr>
      <w:r>
        <w:rPr>
          <w:rFonts w:ascii="Times New Roman" w:cs="Times New Roman" w:eastAsia="Times New Roman" w:hAnsi="Times New Roman"/>
          <w:sz w:val="24"/>
          <w:szCs w:val="24"/>
        </w:rPr>
        <w:t xml:space="preserve">Logg JM, Minson JA, Moore DA (2019) Algorithm appreciation: People prefer algorithmic to human judgment. </w:t>
      </w:r>
      <w:r>
        <w:rPr>
          <w:rFonts w:ascii="Times New Roman" w:cs="Times New Roman" w:eastAsia="Times New Roman" w:hAnsi="Times New Roman"/>
          <w:i/>
          <w:iCs/>
          <w:sz w:val="24"/>
          <w:szCs w:val="24"/>
        </w:rPr>
        <w:t xml:space="preserve">Organ. Behav. Human Decision Processes</w:t>
      </w:r>
      <w:r>
        <w:rPr>
          <w:rFonts w:ascii="Times New Roman" w:cs="Times New Roman" w:eastAsia="Times New Roman" w:hAnsi="Times New Roman"/>
          <w:sz w:val="24"/>
          <w:szCs w:val="24"/>
        </w:rPr>
        <w:t xml:space="preserve"> 151:90–103.</w:t>
      </w:r>
    </w:p>
    <w:p>
      <w:pPr>
        <w:spacing w:after="0" w:before="0" w:line="480"/>
        <w:ind w:left="720" w:hanging="720"/>
      </w:pPr>
      <w:r>
        <w:rPr>
          <w:rFonts w:ascii="Times New Roman" w:cs="Times New Roman" w:eastAsia="Times New Roman" w:hAnsi="Times New Roman"/>
          <w:sz w:val="24"/>
          <w:szCs w:val="24"/>
        </w:rPr>
        <w:t xml:space="preserve">McKenzie IR, et al. (2023) Inverse scaling: When bigger isn’t better. </w:t>
      </w:r>
      <w:r>
        <w:rPr>
          <w:rFonts w:ascii="Times New Roman" w:cs="Times New Roman" w:eastAsia="Times New Roman" w:hAnsi="Times New Roman"/>
          <w:i/>
          <w:iCs/>
          <w:sz w:val="24"/>
          <w:szCs w:val="24"/>
        </w:rPr>
        <w:t xml:space="preserve">Trans. Machine Learn. Res.</w:t>
      </w:r>
    </w:p>
    <w:p>
      <w:pPr>
        <w:spacing w:after="0" w:before="0" w:line="480"/>
        <w:ind w:left="720" w:hanging="720"/>
      </w:pPr>
      <w:r>
        <w:rPr>
          <w:rFonts w:ascii="Times New Roman" w:cs="Times New Roman" w:eastAsia="Times New Roman" w:hAnsi="Times New Roman"/>
          <w:sz w:val="24"/>
          <w:szCs w:val="24"/>
        </w:rPr>
        <w:t xml:space="preserve">Ouyang L, et al. (2022) Training language models to follow instructions with human feedback.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Parasuraman R, Manzey DH (2010) Complacency and bias in human use of automation: An attentional integration. </w:t>
      </w:r>
      <w:r>
        <w:rPr>
          <w:rFonts w:ascii="Times New Roman" w:cs="Times New Roman" w:eastAsia="Times New Roman" w:hAnsi="Times New Roman"/>
          <w:i/>
          <w:iCs/>
          <w:sz w:val="24"/>
          <w:szCs w:val="24"/>
        </w:rPr>
        <w:t xml:space="preserve">Human Factors</w:t>
      </w:r>
      <w:r>
        <w:rPr>
          <w:rFonts w:ascii="Times New Roman" w:cs="Times New Roman" w:eastAsia="Times New Roman" w:hAnsi="Times New Roman"/>
          <w:sz w:val="24"/>
          <w:szCs w:val="24"/>
        </w:rPr>
        <w:t xml:space="preserve"> 52(3):381–410.</w:t>
      </w:r>
    </w:p>
    <w:p>
      <w:pPr>
        <w:spacing w:after="0" w:before="0" w:line="480"/>
        <w:ind w:left="720" w:hanging="720"/>
      </w:pPr>
      <w:r>
        <w:rPr>
          <w:rFonts w:ascii="Times New Roman" w:cs="Times New Roman" w:eastAsia="Times New Roman" w:hAnsi="Times New Roman"/>
          <w:sz w:val="24"/>
          <w:szCs w:val="24"/>
        </w:rPr>
        <w:t xml:space="preserve">Perez E, et al. (2022) Discovering language model behaviors with model-written evaluations. arXiv:2212.09251.</w:t>
      </w:r>
    </w:p>
    <w:p>
      <w:pPr>
        <w:spacing w:after="0" w:before="0" w:line="480"/>
        <w:ind w:left="720" w:hanging="720"/>
      </w:pPr>
      <w:r>
        <w:rPr>
          <w:rFonts w:ascii="Times New Roman" w:cs="Times New Roman" w:eastAsia="Times New Roman" w:hAnsi="Times New Roman"/>
          <w:sz w:val="24"/>
          <w:szCs w:val="24"/>
        </w:rPr>
        <w:t xml:space="preserve">Sharma M, et al. (2023) Towards understanding sycophancy in language models. arXiv:2310.13548.</w:t>
      </w:r>
    </w:p>
    <w:p>
      <w:pPr>
        <w:spacing w:after="0" w:before="0" w:line="480"/>
        <w:ind w:left="720" w:hanging="720"/>
      </w:pPr>
      <w:r>
        <w:rPr>
          <w:rFonts w:ascii="Times New Roman" w:cs="Times New Roman" w:eastAsia="Times New Roman" w:hAnsi="Times New Roman"/>
          <w:sz w:val="24"/>
          <w:szCs w:val="24"/>
        </w:rPr>
        <w:t xml:space="preserve">Stanovich KE, West RF (2000) Individual differences in reasoning: Implications for the rationality debate? </w:t>
      </w:r>
      <w:r>
        <w:rPr>
          <w:rFonts w:ascii="Times New Roman" w:cs="Times New Roman" w:eastAsia="Times New Roman" w:hAnsi="Times New Roman"/>
          <w:i/>
          <w:iCs/>
          <w:sz w:val="24"/>
          <w:szCs w:val="24"/>
        </w:rPr>
        <w:t xml:space="preserve">Behav. Brain Sci.</w:t>
      </w:r>
      <w:r>
        <w:rPr>
          <w:rFonts w:ascii="Times New Roman" w:cs="Times New Roman" w:eastAsia="Times New Roman" w:hAnsi="Times New Roman"/>
          <w:sz w:val="24"/>
          <w:szCs w:val="24"/>
        </w:rPr>
        <w:t xml:space="preserve"> 23(5):645–665.</w:t>
      </w:r>
    </w:p>
    <w:p>
      <w:pPr>
        <w:spacing w:after="0" w:before="0" w:line="480"/>
        <w:ind w:left="720" w:hanging="720"/>
      </w:pPr>
      <w:r>
        <w:rPr>
          <w:rFonts w:ascii="Times New Roman" w:cs="Times New Roman" w:eastAsia="Times New Roman" w:hAnsi="Times New Roman"/>
          <w:sz w:val="24"/>
          <w:szCs w:val="24"/>
        </w:rPr>
        <w:t xml:space="preserve">Turpin M, Michael J, Perez E, Bowman SR (2023) Language models don’t always say what they think: Unfaithful explanations in chain-of-thought prompting. </w:t>
      </w:r>
      <w:r>
        <w:rPr>
          <w:rFonts w:ascii="Times New Roman" w:cs="Times New Roman" w:eastAsia="Times New Roman" w:hAnsi="Times New Roman"/>
          <w:i/>
          <w:iCs/>
          <w:sz w:val="24"/>
          <w:szCs w:val="24"/>
        </w:rPr>
        <w:t xml:space="preserve">Advances in Neural Information Processing Systems 36</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Wei J, Kim N, Tay Y, Le QV (2023a) Inverse scaling can become U-shaped. </w:t>
      </w:r>
      <w:r>
        <w:rPr>
          <w:rFonts w:ascii="Times New Roman" w:cs="Times New Roman" w:eastAsia="Times New Roman" w:hAnsi="Times New Roman"/>
          <w:i/>
          <w:iCs/>
          <w:sz w:val="24"/>
          <w:szCs w:val="24"/>
        </w:rPr>
        <w:t xml:space="preserve">Proc. Conf. Empirical Methods Natural Language Processing</w:t>
      </w:r>
      <w:r>
        <w:rPr>
          <w:rFonts w:ascii="Times New Roman" w:cs="Times New Roman" w:eastAsia="Times New Roman" w:hAnsi="Times New Roman"/>
          <w:sz w:val="24"/>
          <w:szCs w:val="24"/>
        </w:rPr>
        <w:t xml:space="preser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 Deference, and Dual Rationality in Large Language Models: A Within-Family Experimental Study</dc:title>
  <cp:lastModifiedBy>Un-named</cp:lastModifiedBy>
  <cp:revision>1</cp:revision>
  <dcterms:created xsi:type="dcterms:W3CDTF">2026-10-01T06:33:03.424Z</dcterms:created>
  <dcterms:modified xsi:type="dcterms:W3CDTF">2026-10-01T06:33:03.424Z</dcterms:modified>
</cp:coreProperties>
</file>

<file path=docProps/custom.xml><?xml version="1.0" encoding="utf-8"?>
<Properties xmlns="http://schemas.openxmlformats.org/officeDocument/2006/custom-properties" xmlns:vt="http://schemas.openxmlformats.org/officeDocument/2006/docPropsVTypes"/>
</file>