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agrees poorly with a single human coder (Section 4.3) and has no second coder;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also use the model to ask when displacement would become detectable: if demand among adopters fell by about 40% and adoption followed the recent path of text-generation AI, the effect would reach the detection threshold of our design around 2029 to 2030, and much later or never for smaller effects.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four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turns the model into a conditional projection of when displacement would become visible in data of this kind, with falsifiable criteria for later years. Fourth,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 with one human coder on a stratified random sample of 199 task statements. The strata were defined by the LLM score and by a rule-based score: 45 tasks scored 2, 55 scored 1, 40 scored 0 but flagged by the rule-based score, and 60 random tasks scored 0 (the sampling weights are used in all estimates). The coder saw only the occupation and the task and used the rubric in Appendix A. Agreement is low. The design-weighted exact agreement is 0.73 (0.56 unweighted), weighted Cohen’s κ is 0.11 (95% bootstrap interval 0.06 to 0.20), the κ for the binary distinction between a score of one or more and zero is 0.15 (0.08 to 0.26), and the Spearman correlation between the two scores is 0.52. The pattern is asymmetric. The coder scored 80% of the tasks that the LLM scored one or two as one or more (91% of those scored two), so the LLM’s positives are mostly accepted. But the coder also scored 25% of random tasks that the LLM and the rule-based score both rated zero as one or more, including reading blueprints, examining engravings for quality, and monitoring closed-circuit television, which the rubric excludes. The design-weighted share of all O*NET tasks that the coder scored one or more is 27.6% (95% interval 18.0 to 38.5), against 4.6% for the LLM; the LLM’s sensitivity relative to the coder is 0.12 (0.09 to 0.19), its specificity 0.98, and its positive predictive value 0.75. The LLM score is therefore a conservative, narrow indicator of visual content production, and it misses most of what this coder counted as visual. With one coder we cannot separate coder idiosyncrasy from ambiguity in the rubric: an earlier exercise on a related construct, dependence of tasks on visual perception, showed a similarly broad pattern. The validity of the measure is therefore not established, and a second coder and a revised rubric are needed. As convergent evidence we provide a transparent rule-based score built from the rubric text: its correlation with the LLM score across occupations is 0.71 in the first half and 0.91 in the second half of the data classified first (n = 196 and 192 occupations), its Spearman correlation with the human score is 0.36, and the main results are similar when it replaces the LLM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w:t>
      </w:r>
    </w:p>
    <w:p>
      <w:pPr>
        <w:pStyle w:val="Heading2"/>
        <w:keepNext/>
        <w:spacing w:after="120" w:before="240" w:line="240" w:lineRule="auto"/>
      </w:pPr>
      <w:r>
        <w:rPr>
          <w:rFonts w:ascii="Times New Roman" w:cs="Times New Roman" w:eastAsia="Times New Roman" w:hAnsi="Times New Roman"/>
          <w:b/>
          <w:bCs/>
          <w:sz w:val="24"/>
          <w:szCs w:val="24"/>
        </w:rPr>
        <w:t xml:space="preserve">6.10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10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 is LLM-coded and agrees poorly with the one human coder who validated it (weighted κ = 0.11): it is precise but narrow relative to the coder’s broader reading, and there is no second coder, so inter-coder reliability is unknown;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The projection depends on assumptions about the adoption path, the linearity of exposure, and adoption among employers of each occupation, and it does not identify the effect among adopters.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2026-10-04T08:37:50.946Z</dcterms:created>
  <dcterms:modified xsi:type="dcterms:W3CDTF">2026-10-04T08:37:50.951Z</dcterms:modified>
</cp:coreProperties>
</file>

<file path=docProps/custom.xml><?xml version="1.0" encoding="utf-8"?>
<Properties xmlns="http://schemas.openxmlformats.org/officeDocument/2006/custom-properties" xmlns:vt="http://schemas.openxmlformats.org/officeDocument/2006/docPropsVTypes"/>
</file>