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Dependence between guardrail layers has been measured on real defence stacks (Alotaibi, Jabbar, Al-Azani, and Ahmed, 2026) and the independence product is known to over-credit redundancy (Bhardwaj, Singh, and Bhardwaj, 2026); we add a measurement on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To our knowledge, no earlier study combines measured guardrail performance, an incident-count model with dispersion and clustering, and a quantile-based capacity decision in one framework evaluated on real system outputs and public production traces; each ingredient has precedents (Section 2).</w:t>
      </w:r>
    </w:p>
    <w:p>
      <w:pPr>
        <w:spacing w:after="120" w:line="300"/>
        <w:jc w:val="both"/>
      </w:pPr>
      <w:r>
        <w:rPr>
          <w:rFonts w:ascii="Times New Roman" w:cs="Times New Roman" w:eastAsia="Times New Roman" w:hAnsi="Times New Roman"/>
          <w:sz w:val="22"/>
          <w:szCs w:val="22"/>
        </w:rPr>
        <w:t xml:space="preserve">The paper follows the design-science tradition in IS (Hevner, March, Park, and Ram,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Lee, Frieske, Yu, Su, Xu, Ishii, Bang, Chen, Dai, Chan, Madotto, and Fung, 2023). Mitigation work includes retrieval grounding (Lewis, Perez, Piktus, Petroni, Karpukhin, Goyal, Küttler, Lewis, Yih, Rocktäschel, Riedel, and Kiela, 2020), sampling-based consistency checks (Manakul, Liusie, and Gales, 2023), safeguard classifiers (Inan, Upasani, Chi, Rungta, Iyer, Mao, Tontchev, Hu, Fuller, Testuggine, and Khabsa, 2023) and LLM-as-judge verification (Zheng, Chiang, Sheng, Zhuang, Wu, Zhuang, Lin, Li, Li, Xing, Zhang, Gonzalez, and Stoica,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Kolesar, and Whitt, 2007). Empirical studies of call centres report that arrivals are well described by a Poisson process only conditional on a random, day-specific rate, i.e. they are over-dispersed (Brown, Gans, Mandelbaum, Sakov, Shen, Zeltyn, and Zhao,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Chen, Chhun, Jaramillo-Gutierrez, Mylius, Raaj, Slattery, and McGregor,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Proschan, and Walkup, 1967). For LLM defence stacks, Alotaibi, Jabbar, Al-Azani, and Ahmed (2026) measure positive failure correlation between seven defence layers (φ between 0.30 and 0.75 on JailbreakBench) and call the product a lower bound that no real stack attains; Bhardwaj, Singh, and Bhardwaj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evaluate the integrated pipeline on measured outputs and public traces.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Proschan, and Walkup,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Proschan, and Walkup,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Jia, and Liang,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Lozhkov, Bakouch, Blázquez, Penedo, Tunstall, Marafioti, Kydlíček, Piqueres Lajarín, Srivastav, Lochner, Fahlgren, Nguyen, Fourrier, Burtenshaw, Larcher, Zhao, Zakka, Morlon, Raffel, von Werra, and Wolf,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Gao, and Chen,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Chiang, Sheng, Zhuang, Wu, Zhuang, Lin, Li, Li, Xing, Zhang, Gonzalez, and Stoica,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Chen, Li, Kang, Fang, Zhou, Zheng, Tang, He, Guo, Wang, Wang, Zhou, and Chu,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Talluri, Lu, and Iosup,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Fantinato, and Peres,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Chen, Chhun, Jaramillo-Gutierrez, Mylius, Raaj, Slattery, and McGregor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Lozhkov, Bakouch, Blázquez, Penedo, Tunstall, Marafioti, Kydlíček, Piqueres Lajarín, Srivastav, Lochner, Fahlgren, Nguyen, Fourrier, Burtenshaw, Larcher, Zhao, Zakka, Morlon, Raffel, von Werra, and Wolf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Jabbar, Al-Azani, and Ahmed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and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Singh, and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Upasani, Chi, Rungta, Iyer, Mao, Tontchev, Hu, Fuller, Testuggine, and Khabsa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Lee, Frieske, Yu, Su, Xu, Ishii, Bang, Chen, Dai, Chan, Madotto, and Fung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Perez, Piktus, Petroni, Karpukhin, Goyal, Küttler, Lewis, Yih, Rocktäschel, Riedel, and Kiela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and Zhang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and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Chen, Li, Kang, Fang, Zhou, Zheng, Tang, He, Guo, Wang, Wang, Zhou, and Chu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Chiang, Sheng, Zhuang, Wu, Zhuang, Lin, Li, Li, Xing, Zhang, Gonzalez, and Stoica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2026-10-06T08:35:03.925Z</dcterms:created>
  <dcterms:modified xsi:type="dcterms:W3CDTF">2026-10-06T08:35:03.925Z</dcterms:modified>
</cp:coreProperties>
</file>

<file path=docProps/custom.xml><?xml version="1.0" encoding="utf-8"?>
<Properties xmlns="http://schemas.openxmlformats.org/officeDocument/2006/custom-properties" xmlns:vt="http://schemas.openxmlformats.org/officeDocument/2006/docPropsVTypes"/>
</file>