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76"/>
        <w:jc w:val="left"/>
      </w:pPr>
      <w:r>
        <w:rPr>
          <w:rFonts w:ascii="Times New Roman" w:cs="Times New Roman" w:eastAsia="Times New Roman" w:hAnsi="Times New Roman"/>
          <w:sz w:val="24"/>
          <w:szCs w:val="24"/>
          <w:highlight w:val="yellow"/>
          <w:highlightCs w:val="yellow"/>
        </w:rPr>
        <w:t xml:space="preserve">[Date]</w:t>
      </w:r>
    </w:p>
    <w:p>
      <w:pPr>
        <w:spacing w:after="0" w:line="276"/>
        <w:jc w:val="left"/>
      </w:pPr>
      <w:r>
        <w:rPr>
          <w:rFonts w:ascii="Times New Roman" w:cs="Times New Roman" w:eastAsia="Times New Roman" w:hAnsi="Times New Roman"/>
          <w:sz w:val="24"/>
          <w:szCs w:val="24"/>
        </w:rPr>
        <w:t xml:space="preserve">The Editors</w:t>
      </w:r>
    </w:p>
    <w:p>
      <w:pPr>
        <w:spacing w:after="0" w:line="276"/>
        <w:jc w:val="left"/>
      </w:pPr>
      <w:r>
        <w:rPr>
          <w:rFonts w:ascii="Times New Roman" w:cs="Times New Roman" w:eastAsia="Times New Roman" w:hAnsi="Times New Roman"/>
          <w:sz w:val="24"/>
          <w:szCs w:val="24"/>
        </w:rPr>
        <w:t xml:space="preserve">Information Systems Research</w:t>
      </w:r>
    </w:p>
    <w:p>
      <w:pPr>
        <w:spacing w:after="240" w:line="276"/>
        <w:jc w:val="left"/>
      </w:pPr>
      <w:r>
        <w:rPr>
          <w:rFonts w:ascii="Times New Roman" w:cs="Times New Roman" w:eastAsia="Times New Roman" w:hAnsi="Times New Roman"/>
          <w:sz w:val="24"/>
          <w:szCs w:val="24"/>
        </w:rPr>
        <w:t xml:space="preserve">INFORMS</w:t>
      </w:r>
    </w:p>
    <w:p>
      <w:pPr>
        <w:spacing w:after="200" w:line="276"/>
        <w:jc w:val="left"/>
      </w:pPr>
      <w:r>
        <w:rPr>
          <w:rFonts w:ascii="Times New Roman" w:cs="Times New Roman" w:eastAsia="Times New Roman" w:hAnsi="Times New Roman"/>
          <w:b/>
          <w:bCs/>
          <w:sz w:val="24"/>
          <w:szCs w:val="24"/>
        </w:rPr>
        <w:t xml:space="preserve">Re: Submission of “Staging Commitment When the Ruler Can Move: Real Options for Generative AI Maintenance under Judge Uncertainty”</w:t>
      </w:r>
    </w:p>
    <w:p>
      <w:pPr>
        <w:spacing w:after="160" w:line="276"/>
        <w:jc w:val="left"/>
      </w:pPr>
      <w:r>
        <w:rPr>
          <w:rFonts w:ascii="Times New Roman" w:cs="Times New Roman" w:eastAsia="Times New Roman" w:hAnsi="Times New Roman"/>
          <w:sz w:val="24"/>
          <w:szCs w:val="24"/>
        </w:rPr>
        <w:t xml:space="preserve">Dear Editors,</w:t>
      </w:r>
    </w:p>
    <w:p>
      <w:pPr>
        <w:spacing w:after="160" w:line="276"/>
        <w:jc w:val="left"/>
      </w:pPr>
      <w:r>
        <w:rPr>
          <w:rFonts w:ascii="Times New Roman" w:cs="Times New Roman" w:eastAsia="Times New Roman" w:hAnsi="Times New Roman"/>
          <w:sz w:val="24"/>
          <w:szCs w:val="24"/>
        </w:rPr>
        <w:t xml:space="preserve">I submit the enclosed manuscript for consideration for publication in Information Systems Research. The manuscript asks when an organization should promote a generative AI policy that a language-model judge has scored more highly, and it treats this as an investment problem in which the instrument that licenses commitment, the judge score, can itself be noisy, gameable, and subject to change.</w:t>
      </w:r>
    </w:p>
    <w:p>
      <w:pPr>
        <w:spacing w:after="160" w:line="276"/>
        <w:jc w:val="left"/>
      </w:pPr>
      <w:r>
        <w:rPr>
          <w:rFonts w:ascii="Times New Roman" w:cs="Times New Roman" w:eastAsia="Times New Roman" w:hAnsi="Times New Roman"/>
          <w:sz w:val="24"/>
          <w:szCs w:val="24"/>
        </w:rPr>
        <w:t xml:space="preserve">The paper makes four contributions. It moves real options reasoning from the funding of discrete IT projects to the continuous maintenance of a generative system, and it introduces measurement-system risk, the risk that the instrument used to observe quality is biased, collapsing, or jumping, as a class of risk that option-based IT risk management has not distinguished. It specifies an inspection option, canaries on which a high judge score is itself suspicious, and it shows in a stylized model that inspection both detects and deters gaming and governs how strongly pay can safely follow judge scores. Finally, a designed illustration and experiments with open models on verifiable math problems show that the divergence between judge score and quality depends on the judge: a strong judge turned search into improvement, whereas a weak judge removed the gain and increased the cases in which the judge score rose while correctness fell.</w:t>
      </w:r>
    </w:p>
    <w:p>
      <w:pPr>
        <w:spacing w:after="160" w:line="276"/>
        <w:jc w:val="left"/>
      </w:pPr>
      <w:r>
        <w:rPr>
          <w:rFonts w:ascii="Times New Roman" w:cs="Times New Roman" w:eastAsia="Times New Roman" w:hAnsi="Times New Roman"/>
          <w:sz w:val="24"/>
          <w:szCs w:val="24"/>
        </w:rPr>
        <w:t xml:space="preserve">I want to be clear about the scope of the evidence. The experiments are computational and use one benchmark, one policy model, and two judges, and they did not observe deliberate gaming. The stylized model’s mechanisms, including the deterrence effect of inspection, are implications of the model and have not been tested. The field study that would test the propositions in organizations is specified in the paper but has not been carried out. The manuscript is written with these limits stated explicitly.</w:t>
      </w:r>
    </w:p>
    <w:p>
      <w:pPr>
        <w:spacing w:after="160" w:line="276"/>
        <w:jc w:val="left"/>
      </w:pPr>
      <w:r>
        <w:rPr>
          <w:rFonts w:ascii="Times New Roman" w:cs="Times New Roman" w:eastAsia="Times New Roman" w:hAnsi="Times New Roman"/>
          <w:sz w:val="24"/>
          <w:szCs w:val="24"/>
        </w:rPr>
        <w:t xml:space="preserve">I believe the paper fits the journal’s readership interested in IT investment, IS control, and the governance of AI-enabled systems. The manuscript is anonymized for double-anonymous review, and my details are on a separate title page. An Online Appendix contains the interview protocol and codebook for the proposed field study, a derivation of the exercise rule, and the proofs.</w:t>
      </w:r>
    </w:p>
    <w:p>
      <w:pPr>
        <w:spacing w:after="160" w:line="276"/>
        <w:jc w:val="left"/>
      </w:pPr>
      <w:r>
        <w:rPr>
          <w:rFonts w:ascii="Times New Roman" w:cs="Times New Roman" w:eastAsia="Times New Roman" w:hAnsi="Times New Roman"/>
          <w:sz w:val="24"/>
          <w:szCs w:val="24"/>
          <w:highlight w:val="yellow"/>
          <w:highlightCs w:val="yellow"/>
        </w:rPr>
        <w:t xml:space="preserve">[Confirm before sending: The manuscript is original, has not been published, and is not under consideration elsewhere. Disclose any earlier version, such as a conference presentation or working paper.]</w:t>
      </w:r>
    </w:p>
    <w:p>
      <w:pPr>
        <w:spacing w:after="160" w:line="276"/>
        <w:jc w:val="left"/>
      </w:pPr>
      <w:r>
        <w:rPr>
          <w:rFonts w:ascii="Times New Roman" w:cs="Times New Roman" w:eastAsia="Times New Roman" w:hAnsi="Times New Roman"/>
          <w:sz w:val="24"/>
          <w:szCs w:val="24"/>
          <w:highlight w:val="yellow"/>
          <w:highlightCs w:val="yellow"/>
        </w:rPr>
        <w:t xml:space="preserve">[Edit to match the journal’s policy and your actual use: A generative AI assistant was used for language editing, for drafting and checking derivations and numerical scripts, and for preparing documents. The author reviewed all content and takes full responsibility for it.]</w:t>
      </w:r>
    </w:p>
    <w:p>
      <w:pPr>
        <w:spacing w:after="160" w:line="276"/>
        <w:jc w:val="left"/>
      </w:pPr>
      <w:r>
        <w:rPr>
          <w:rFonts w:ascii="Times New Roman" w:cs="Times New Roman" w:eastAsia="Times New Roman" w:hAnsi="Times New Roman"/>
          <w:sz w:val="24"/>
          <w:szCs w:val="24"/>
          <w:highlight w:val="yellow"/>
          <w:highlightCs w:val="yellow"/>
        </w:rPr>
        <w:t xml:space="preserve">[Optional: suggested reviewers and reviewers or editors to exclude, with reasons.]</w:t>
      </w:r>
    </w:p>
    <w:p>
      <w:pPr>
        <w:spacing w:after="240" w:line="276"/>
        <w:jc w:val="left"/>
      </w:pPr>
      <w:r>
        <w:rPr>
          <w:rFonts w:ascii="Times New Roman" w:cs="Times New Roman" w:eastAsia="Times New Roman" w:hAnsi="Times New Roman"/>
          <w:sz w:val="24"/>
          <w:szCs w:val="24"/>
        </w:rPr>
        <w:t xml:space="preserve">Thank you for considering my work.</w:t>
      </w:r>
    </w:p>
    <w:p>
      <w:pPr>
        <w:spacing w:after="360" w:line="276"/>
        <w:jc w:val="left"/>
      </w:pPr>
      <w:r>
        <w:rPr>
          <w:rFonts w:ascii="Times New Roman" w:cs="Times New Roman" w:eastAsia="Times New Roman" w:hAnsi="Times New Roman"/>
          <w:sz w:val="24"/>
          <w:szCs w:val="24"/>
        </w:rPr>
        <w:t xml:space="preserve">Sincerely,</w:t>
      </w:r>
    </w:p>
    <w:p>
      <w:pPr>
        <w:spacing w:after="0" w:line="276"/>
        <w:jc w:val="left"/>
      </w:pPr>
      <w:r>
        <w:rPr>
          <w:rFonts w:ascii="Times New Roman" w:cs="Times New Roman" w:eastAsia="Times New Roman" w:hAnsi="Times New Roman"/>
          <w:sz w:val="24"/>
          <w:szCs w:val="24"/>
        </w:rPr>
        <w:t xml:space="preserve">Ook Lee</w:t>
      </w:r>
    </w:p>
    <w:p>
      <w:pPr>
        <w:spacing w:after="0" w:line="276"/>
        <w:jc w:val="left"/>
      </w:pPr>
      <w:r>
        <w:rPr>
          <w:rFonts w:ascii="Times New Roman" w:cs="Times New Roman" w:eastAsia="Times New Roman" w:hAnsi="Times New Roman"/>
          <w:sz w:val="24"/>
          <w:szCs w:val="24"/>
        </w:rPr>
        <w:t xml:space="preserve">Department of Information Systems</w:t>
      </w:r>
    </w:p>
    <w:p>
      <w:pPr>
        <w:spacing w:after="0" w:line="276"/>
        <w:jc w:val="left"/>
      </w:pPr>
      <w:r>
        <w:rPr>
          <w:rFonts w:ascii="Times New Roman" w:cs="Times New Roman" w:eastAsia="Times New Roman" w:hAnsi="Times New Roman"/>
          <w:sz w:val="24"/>
          <w:szCs w:val="24"/>
        </w:rPr>
        <w:t xml:space="preserve">Hanyang University</w:t>
      </w:r>
    </w:p>
    <w:p>
      <w:pPr>
        <w:spacing w:after="0" w:line="276"/>
        <w:jc w:val="left"/>
      </w:pPr>
      <w:r>
        <w:rPr>
          <w:rFonts w:ascii="Times New Roman" w:cs="Times New Roman" w:eastAsia="Times New Roman" w:hAnsi="Times New Roman"/>
          <w:sz w:val="24"/>
          <w:szCs w:val="24"/>
        </w:rPr>
        <w:t xml:space="preserve">Seoul, Korea</w:t>
      </w:r>
    </w:p>
    <w:p>
      <w:pPr>
        <w:spacing w:after="0" w:line="276"/>
        <w:jc w:val="left"/>
      </w:pPr>
      <w:r>
        <w:rPr>
          <w:rFonts w:ascii="Times New Roman" w:cs="Times New Roman" w:eastAsia="Times New Roman" w:hAnsi="Times New Roman"/>
          <w:sz w:val="24"/>
          <w:szCs w:val="24"/>
        </w:rPr>
        <w:t xml:space="preserve">ooklee@hanyang.ac.kr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2026-10-17T01:25:30.732Z</dcterms:created>
  <dcterms:modified xsi:type="dcterms:W3CDTF">2026-10-17T01:25:30.732Z</dcterms:modified>
</cp:coreProperties>
</file>

<file path=docProps/custom.xml><?xml version="1.0" encoding="utf-8"?>
<Properties xmlns="http://schemas.openxmlformats.org/officeDocument/2006/custom-properties" xmlns:vt="http://schemas.openxmlformats.org/officeDocument/2006/docPropsVTypes"/>
</file>