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The central result is that this rent lasts only until rivals imitate the capital or until a developer productizes the use, so that an adopter’s profitable window depends on its suppliers as well as on its competitors. When developers choose how fast to productize, contract terms that limit their use of adopters’ data slow them and raise adopters’ incentive to invest. Competition among developers speeds productization and weakens the effect of such terms. As illustration, we then relate measurable counterparts of the theory to public leaderboard, endpoint-price, and SEC filing data. A lab’s flagship price is positively associated with its quality lead, and firms that launch a dated first-party AI product show a higher operating margin afterward. These patterns are consistent with the theory, but the samples are small, and the data cannot establish that the margin increment decays or separate it from alternative explanations. The evidence is illustrative and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and we use them as the benchmark for what follows.</w:t>
      </w:r>
    </w:p>
    <w:p>
      <w:pPr>
        <w:pStyle w:val="BodyText"/>
      </w:pPr>
      <w:r>
        <w:t xml:space="preserve">What this benchmark leaves out is a feature of the LLM value chain that sets it apart from most earlier technologies. In the standard account, an adopter’s complement rent is threatened by one force, imitation by rival adopters, which takes time because organizational capital is slow to build. For LLMs there is a second force. The supplier of the input can itself move into the adopter’s layer. The developer sells the model on posted terms to the adopter and to the adopter’s competitors, sees how it is used through the interface, and is able to productize a successful use and sell it to everyone. Research on platform owners entering complementors’ markets suggests that this kind of entry is both common and consequential (Gawer and Henderson 2007, Zhu and Liu 2018). Its implication for rent has not been put into the appropriability framework. If the use is productized, the adopter’s co-specialized capital becomes a commodity before rivals could have copied it, and the window in which the rent is earned shortens.</w:t>
      </w:r>
    </w:p>
    <w:p>
      <w:pPr>
        <w:pStyle w:val="BodyText"/>
      </w:pPr>
      <w:r>
        <w:t xml:space="preserve">The central result of the paper, Proposition 5, formalizes this. When a vendor productizes an adopter’s use at rate</w:t>
      </w:r>
      <w:r>
        <w:t xml:space="preserve"> </w:t>
      </w:r>
      <m:oMath>
        <m:r>
          <m:t>η</m:t>
        </m:r>
      </m:oMath>
      <w:r>
        <w:t xml:space="preserve">, independent of imitation by rivals, the adopter’s expected complement rent falls strictly in</w:t>
      </w:r>
      <w:r>
        <w:t xml:space="preserve"> </w:t>
      </w:r>
      <m:oMath>
        <m:r>
          <m:t>η</m:t>
        </m:r>
      </m:oMath>
      <w:r>
        <w:t xml:space="preserve">, so that the rent depends on two clocks and not one. Taken with the benchmark results, this gives a fuller account of where profit appears. API adopters earn nothing from the model itself (Proposition 1). Complement builders earn a rent for as long as both rival imitation and vendor productization are held off (Propositions 2 and 5). The developer earns a rent in proportion to its quality lead, until rivals close it (Proposition 3). The remainder passes to consumers (Proposition 4). The result is deliberately simple, and it takes the rate</w:t>
      </w:r>
      <w:r>
        <w:t xml:space="preserve"> </w:t>
      </w:r>
      <m:oMath>
        <m:r>
          <m:t>η</m:t>
        </m:r>
      </m:oMath>
      <w:r>
        <w:t xml:space="preserve"> </w:t>
      </w:r>
      <w:r>
        <w:t xml:space="preserve">as given. Section 4.5 then lets the developer choose</w:t>
      </w:r>
      <w:r>
        <w:t xml:space="preserve"> </w:t>
      </w:r>
      <m:oMath>
        <m:r>
          <m:t>η</m:t>
        </m:r>
      </m:oMath>
      <w:r>
        <w:t xml:space="preserve"> </w:t>
      </w:r>
      <w:r>
        <w:t xml:space="preserve">and shows how contract terms that limit its use of adopters’ data change that choice and, through it, the adopter’s incentive to invest. Section 4.6 adds competition among vendors, which weakens the effect of such terms. How far an adopter can lower</w:t>
      </w:r>
      <w:r>
        <w:t xml:space="preserve"> </w:t>
      </w:r>
      <m:oMath>
        <m:r>
          <m:t>η</m:t>
        </m:r>
      </m:oMath>
      <w:r>
        <w:t xml:space="preserve"> </w:t>
      </w:r>
      <w:r>
        <w:t xml:space="preserve">through other means, such as the choice of what to build, we leave to future work.</w:t>
      </w:r>
    </w:p>
    <w:p>
      <w:pPr>
        <w:pStyle w:val="BodyText"/>
      </w:pPr>
      <w:r>
        <w:t xml:space="preserve">We make three contributions. First, Proposition 5 adds vendor encroachment to the appropriability account of IT value and shows that, for a technology whose supplier can enter the adopter’s layer, the adopter’s profitable window depends on the supplier’s behavior as well as on rivals’. Propositions 6 to 8 extend the result by endogenizing</w:t>
      </w:r>
      <w:r>
        <w:t xml:space="preserve"> </w:t>
      </w:r>
      <m:oMath>
        <m:r>
          <m:t>η</m:t>
        </m:r>
      </m:oMath>
      <w:r>
        <w:t xml:space="preserve"> </w:t>
      </w:r>
      <w:r>
        <w:t xml:space="preserve">and allowing vendors to compete, and they turn contractual choices about data use, fine-tuning ownership, and deployment into strategic decisions of the kind that Section 7.2 discusses. Second, we place that result in an integrated benchmark across the developer, the adopter, and the consumer, with appropriability defined ex ante as expected imitation lag and cost, which yields testable constructs (quality lead, imitation lag, and organizational capital) that can be measured from public sources. Third, we provide illustrative evidence on these constructs from leaderboard, endpoint-price, and regulatory filing data. The evidence does not bear on Proposition 5 itself and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and the model’s own supplier,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4.5);</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4.6)</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Start w:id="36" w:name="Xb251667487cf04b98c628b0f1577ec4895e93a1"/>
    <w:p>
      <w:pPr>
        <w:pStyle w:val="Heading2"/>
      </w:pPr>
      <w:r>
        <w:t xml:space="preserve">4.5 Endogenous encroachment and contract protection</w:t>
      </w:r>
    </w:p>
    <w:p>
      <w:pPr>
        <w:pStyle w:val="FirstParagraph"/>
      </w:pPr>
      <w:r>
        <w:t xml:space="preserve">Proposition 5 treats the productization rate</w:t>
      </w:r>
      <w:r>
        <w:t xml:space="preserve"> </w:t>
      </w:r>
      <m:oMath>
        <m:r>
          <m:t>η</m:t>
        </m:r>
      </m:oMath>
      <w:r>
        <w:t xml:space="preserve"> </w:t>
      </w:r>
      <w:r>
        <w:t xml:space="preserve">as given. Here we let the developer choose it and ask how contract terms affect the choice. The analysis is a reduced-form extension. It adds the minimum structure needed to endogenize</w:t>
      </w:r>
      <w:r>
        <w:t xml:space="preserve"> </w:t>
      </w:r>
      <m:oMath>
        <m:r>
          <m:t>η</m:t>
        </m:r>
      </m:oMath>
      <w:r>
        <w:t xml:space="preserve">, and it should be read as a first formalization and not as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For tractability, we replace the deterministic imitation lag</w:t>
      </w:r>
      <w:r>
        <w:t xml:space="preserve"> </w:t>
      </w:r>
      <m:oMath>
        <m:sSub>
          <m:e>
            <m:r>
              <m:t>τ</m:t>
            </m:r>
          </m:e>
          <m:sub>
            <m:r>
              <m:t>O</m:t>
            </m:r>
          </m:sub>
        </m:sSub>
      </m:oMath>
      <w:r>
        <w:t xml:space="preserve"> </w:t>
      </w:r>
      <w:r>
        <w:t xml:space="preserve">by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that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developer’s use of the adopter’s data, fine-tuning, or deployment information. The developer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 that</w:t>
      </w:r>
      <w:r>
        <w:t xml:space="preserve"> </w:t>
      </w:r>
      <m:oMath>
        <m:r>
          <m:t>η</m:t>
        </m:r>
        <m:r>
          <m:rPr>
            <m:sty m:val="p"/>
          </m:rPr>
          <m:t>=</m:t>
        </m:r>
        <m:d>
          <m:dPr>
            <m:begChr m:val="("/>
            <m:endChr m:val=")"/>
            <m:sepChr m:val=""/>
            <m:grow/>
          </m:dPr>
          <m:e>
            <m:r>
              <m:t>1</m:t>
            </m:r>
            <m:r>
              <m:rPr>
                <m:sty m:val="p"/>
              </m:rPr>
              <m:t>−</m:t>
            </m:r>
            <m:r>
              <m:t>s</m:t>
            </m:r>
          </m:e>
        </m:d>
        <m:r>
          <m:t>e</m:t>
        </m:r>
      </m:oMath>
      <w:r>
        <w:t xml:space="preserve">. The cost of achieving a rate</w:t>
      </w:r>
      <w:r>
        <w:t xml:space="preserve"> </w:t>
      </w:r>
      <m:oMath>
        <m:r>
          <m:t>η</m:t>
        </m:r>
      </m:oMath>
      <w:r>
        <w:t xml:space="preserve"> </w:t>
      </w:r>
      <w:r>
        <w:t xml:space="preserve">is therefore</w:t>
      </w:r>
      <w:r>
        <w:t xml:space="preserve"> </w:t>
      </w:r>
      <m:oMath>
        <m:d>
          <m:dPr>
            <m:begChr m:val="("/>
            <m:endChr m:val=")"/>
            <m:sepChr m:val=""/>
            <m:grow/>
          </m:dPr>
          <m:e>
            <m:r>
              <m:t>K</m:t>
            </m:r>
            <m:r>
              <m:rPr>
                <m:sty m:val="p"/>
              </m:rPr>
              <m:t>/</m:t>
            </m:r>
            <m:r>
              <m:t>2</m:t>
            </m:r>
          </m:e>
        </m:d>
        <m:sSup>
          <m:e>
            <m:r>
              <m:t>η</m:t>
            </m:r>
          </m:e>
          <m:sup>
            <m:r>
              <m:t>2</m:t>
            </m:r>
          </m:sup>
        </m:sSup>
      </m:oMath>
      <w:r>
        <w:t xml:space="preserve"> </w:t>
      </w:r>
      <w:r>
        <w:t xml:space="preserve">with</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which increases in</w:t>
      </w:r>
      <w:r>
        <w:t xml:space="preserve"> </w:t>
      </w:r>
      <m:oMath>
        <m:r>
          <m:t>s</m:t>
        </m:r>
      </m:oMath>
      <w:r>
        <w:t xml:space="preserve">. When it productizes the use, the developer gains the present value</w:t>
      </w:r>
      <w:r>
        <w:t xml:space="preserve"> </w:t>
      </w:r>
      <m:oMath>
        <m:r>
          <m:t>G</m:t>
        </m:r>
        <m:r>
          <m:rPr>
            <m:sty m:val="p"/>
          </m:rPr>
          <m:t>=</m:t>
        </m:r>
        <m:r>
          <m:t>ϕ</m:t>
        </m:r>
        <m:r>
          <m:t>R</m:t>
        </m:r>
        <m:r>
          <m:rPr>
            <m:sty m:val="p"/>
          </m:rPr>
          <m:t>/</m:t>
        </m:r>
        <m:r>
          <m:t>r</m:t>
        </m:r>
      </m:oMath>
      <w:r>
        <w:t xml:space="preserve">, where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it captures, and the rest passes to consumers. The developer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accrues until productization or imitation ends the opportunity.</w:t>
      </w:r>
    </w:p>
    <w:p>
      <w:pPr>
        <w:pStyle w:val="BodyText"/>
      </w:pPr>
      <w:r>
        <w:rPr>
          <w:bCs/>
          <w:b/>
        </w:rPr>
        <w:t xml:space="preserve">Proposition 6 (Equilibrium productization).</w:t>
      </w:r>
      <w:r>
        <w:t xml:space="preserve"> </w:t>
      </w:r>
      <w:r>
        <w:t xml:space="preserve">The developer’s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developer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developer move sooner, so that the two threats to the adopter’s rent compound. Proposition 7 is the hold-up logic of Klein et al. (1978) and Grossman and Hart (1986) applied to the LLM supply relationship. An adopter that fears productization under-invests in the co-specialized capital that generates its rent, and contract terms that raise the developer’s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developer’s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4 gives a numerical illustration. Protection clears for uses with small rents and fails for uses with large rents, because the developer’s gain from productizing grows with the rent. The pattern depends on the parameters and is not general, since in a simulation with randomly drawn parameters the willingness to pay fell short of the developer’s loss in about five percent of the draws. We therefore offer it as an illustration and not as a proposition. If it held more generally, it would imply that the uses most worth protecting are the ones least likely to be protected.</w:t>
      </w:r>
    </w:p>
    <w:p>
      <w:pPr>
        <w:pStyle w:val="BodyText"/>
      </w:pPr>
      <w:r>
        <w:rPr>
          <w:bCs/>
          <w:b/>
        </w:rPr>
        <w:t xml:space="preserve">Table 4. Willingness to pay for protection versus the developer’s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Developer’s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developer. Competition among vendors is added in Section 4.6. We still do not model the adopter’s responses (concealing the use,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does not model how the developer earns from a productized offering. Contract terms are not publicly observed, so the propositions cannot be examined with the data in Section 6.</w:t>
      </w:r>
    </w:p>
    <w:bookmarkEnd w:id="36"/>
    <w:bookmarkStart w:id="37" w:name="competition-among-vendors"/>
    <w:p>
      <w:pPr>
        <w:pStyle w:val="Heading2"/>
      </w:pPr>
      <w:r>
        <w:t xml:space="preserve">4.6 Competition among vendors</w:t>
      </w:r>
    </w:p>
    <w:p>
      <w:pPr>
        <w:pStyle w:val="FirstParagraph"/>
      </w:pPr>
      <w:r>
        <w:t xml:space="preserve">Section 4.5 has a single developer decide whether to productize the adopter’s use. In practice, several vendors can see that a use is valuable and build it. We now allow</w:t>
      </w:r>
      <w:r>
        <w:t xml:space="preserve"> </w:t>
      </w:r>
      <m:oMath>
        <m:r>
          <m:t>N</m:t>
        </m:r>
      </m:oMath>
      <w:r>
        <w:t xml:space="preserve"> </w:t>
      </w:r>
      <w:r>
        <w:t xml:space="preserve">symmetric vendors to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to productize the use earns</w:t>
      </w:r>
      <w:r>
        <w:t xml:space="preserve"> </w:t>
      </w:r>
      <m:oMath>
        <m:r>
          <m:t>G</m:t>
        </m:r>
      </m:oMath>
      <w:r>
        <w:t xml:space="preserve"> </w:t>
      </w:r>
      <w:r>
        <w:t xml:space="preserve">and the others earn nothing, and productization by any vendor ends the adopter’s rent. Rivals’ imitation continues at rate</w:t>
      </w:r>
      <w:r>
        <w:t xml:space="preserve"> </w:t>
      </w:r>
      <m:oMath>
        <m:r>
          <m:t>μ</m:t>
        </m:r>
      </m:oMath>
      <w:r>
        <w:t xml:space="preserve">. With</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4.5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that work in the same direction. Each vendor moves faster, because a rival’s progress raises the cost of waiting, and there are more vendors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The result in Proposition 7 required only that one vendor’s cost rise with protection. With several vendors, a contract between the adopter and its own supplier binds only that supplier.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so are unaffected by</w:t>
      </w:r>
      <w:r>
        <w:t xml:space="preserve"> </w:t>
      </w:r>
      <m:oMath>
        <m:r>
          <m:t>s</m:t>
        </m:r>
      </m:oMath>
      <w:r>
        <w:t xml:space="preserve">. Table 5 shows what protection then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gain in the value of the rent flow is under ten percent. In simulations with randomly drawn parameters (3,000 draws, up to six outsiders), both the proportional reduction in the total rate and the gain in the adopter’s rent declined with every added outsider, with no exceptions. We report this as a regularity and not as a proposition, since we have no proof for the asymmetric case.</w:t>
      </w:r>
    </w:p>
    <w:p>
      <w:pPr>
        <w:pStyle w:val="BodyText"/>
      </w:pPr>
      <w:r>
        <w:rPr>
          <w:bCs/>
          <w:b/>
        </w:rPr>
        <w:t xml:space="preserve">Table 5.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The implication is that bilateral contract terms are most useful where the adopter’s use is visible to few vendors. In a market with many capable vendors, protection from one supplier does little, and an adopter’s rent depends more on how hard the use is to replicate without its data than on what it has negotiated. This reinforces the importance of the organizational capital that makes a use difficult to copy (Section 3.3) and suggests that protection would need to be industry-wide, for example through norms or regulation, to be effective in such markets.</w:t>
      </w:r>
    </w:p>
    <w:p>
      <w:pPr>
        <w:pStyle w:val="BodyText"/>
      </w:pPr>
      <w:r>
        <w:t xml:space="preserve">The same limits apply as in Section 4.5. Vendors are symmetric apart from their access to the adopter’s data, the rate of each vendor is constant, and a vendor whose rival wins earns nothing. Letting the winner share the use, or letting vendors differentiate their offerings, would soften the race.</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9"/>
    <w:bookmarkStart w:id="40" w:name="empirical-implications"/>
    <w:p>
      <w:pPr>
        <w:pStyle w:val="Heading2"/>
      </w:pPr>
      <w:r>
        <w:t xml:space="preserve">5.2 Empirical implications</w:t>
      </w:r>
    </w:p>
    <w:p>
      <w:pPr>
        <w:pStyle w:val="FirstParagraph"/>
      </w:pPr>
      <w:r>
        <w:t xml:space="preserve">The comparative statics in Section 4.3 yield five testable implications, stated below as hypotheses.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2"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2"/>
    <w:bookmarkStart w:id="43"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3"/>
    <w:bookmarkStart w:id="44"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4 suggests that such terms may be hardest to obtain for the most valuable uses, which is a reason for adopters to negotiate them before a use proves valuable and not after. Table 5 adds that, when many vendors can build the use, a clause with one supplier buys little, so that the adopter’s protection comes mainly from the difficulty of replicating the use.</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2026-10-20T23:33:22Z</dcterms:created>
  <dcterms:modified xsi:type="dcterms:W3CDTF">2026-10-20T23:33:22Z</dcterms:modified>
</cp:coreProperties>
</file>

<file path=docProps/custom.xml><?xml version="1.0" encoding="utf-8"?>
<Properties xmlns="http://schemas.openxmlformats.org/officeDocument/2006/custom-properties" xmlns:vt="http://schemas.openxmlformats.org/officeDocument/2006/docPropsVTypes"/>
</file>