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eight LLMs in public transaction settings (mean counts of about 0.5, 4.8, and 7.8) and in a randomized email experiment. Direct and day-by-day designs collapse toward a single value in nearly every model and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Promotion effects have the right sign in most settings, yet their size varies by an order of magnitude with model and prompt, and the absolute lift in purchase probability is overstated in 15 of 16 configurations (median about tenfold). Treating the simulator as a decision-support artifact at the interface of information systems and marketing analytics, we read the two propositions as design constraints and a calibration mechanism, derive design principles and an evaluation protocol, and show that the overstated lifts would lead a firm to approve promotions that a randomized test rejects. We close with organizational implications for validating and governing synthetic data in analytics systems.</w:t>
      </w:r>
    </w:p>
    <w:p>
      <w:pPr>
        <w:pStyle w:val="BodyText"/>
      </w:pPr>
      <w:r>
        <w:rPr>
          <w:bCs/>
          <w:b/>
        </w:rPr>
        <w:t xml:space="preserve">Keywords:</w:t>
      </w:r>
      <w:r>
        <w:t xml:space="preserve"> </w:t>
      </w:r>
      <w:r>
        <w:t xml:space="preserve">synthetic customers, large language models, IT artifact, decision support systems, design science, purchase counts, overdispersion, customer heterogeneity,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The question is also one for information systems research. A synthetic-customer simulator is an IT artifact in the sense of a system that organizations design, deploy, and use to support decisions (Orlikowski and Iacono 2001, Hevner et al. 2004). Its value does not lie in the language model itself but in the decisions it supports, so the relevant test is task–technology fit (Goodhue and Thompson 1995): does the artifact reproduce the properties of customer behavior on which the decision depends? For promotion planning, those properties are the share of customers who do not buy, the weight of heavy buyers, and the absolute size of an effect. We therefore treat the elicitation design, meaning how the model is asked, how its answers become counts, and where heterogeneity comes from, as the artifact’s design variable, and ask which designs fit which decisions.</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which is marketed as a</w:t>
      </w:r>
      <w:r>
        <w:t xml:space="preserve"> </w:t>
      </w:r>
      <w:r>
        <w:t xml:space="preserve">“</w:t>
      </w:r>
      <w:r>
        <w:t xml:space="preserve">digital twin</w:t>
      </w:r>
      <w:r>
        <w:t xml:space="preserve">”</w:t>
      </w:r>
      <w:r>
        <w:t xml:space="preserve"> </w:t>
      </w:r>
      <w:r>
        <w:t xml:space="preserve">of a customer base. A twin is only as useful as the properties it preserves. If it preserves averages but not the spread of behavior, the systems built on it inherit a bias that looks like data but is not. Fluent, plausible output also invites reliance beyond what the system warrants (Lee and See 2004), so the limits of AI-based decision support are not a technical footnote but a question of how organizations should validate and use such outputs. We contribute to that question by showing, for a quantity that analytics systems depend on, which design choices preserve the property that matters and which do not.</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eight LLMs and two prompt variants, against public transaction data sets whose mean counts differ by a factor of ten or more, and we test the same models against a randomized email experiment.</w:t>
      </w:r>
    </w:p>
    <w:p>
      <w:pPr>
        <w:pStyle w:val="BodyText"/>
      </w:pPr>
      <w:r>
        <w:t xml:space="preserve">The study makes four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translate these findings into design principles for synthetic-customer systems and a diagnostic evaluation protocol, and we show in a stylized example how the overstated lifts would change a go/no-go decision.</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4" w:name="theoretical-framework-and-hypotheses"/>
    <w:p>
      <w:pPr>
        <w:pStyle w:val="Heading1"/>
      </w:pPr>
      <w:r>
        <w:t xml:space="preserve">3. Theoretical Framework and Hypotheses</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from-propositions-to-system-mechanisms"/>
    <w:p>
      <w:pPr>
        <w:pStyle w:val="Heading2"/>
      </w:pPr>
      <w:r>
        <w:t xml:space="preserve">3.7 From propositions to system mechanisms</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Proposition 1 and Proposition 2 therefore correspond to a separation of responsibilities between the language model, which supplies the level of a customer’s expected behavior, and the statistical layer, which supplies and calibrates the spread.</w:t>
      </w:r>
    </w:p>
    <w:bookmarkEnd w:id="33"/>
    <w:bookmarkEnd w:id="34"/>
    <w:bookmarkStart w:id="39" w:name="research-design"/>
    <w:p>
      <w:pPr>
        <w:pStyle w:val="Heading1"/>
      </w:pPr>
      <w:r>
        <w:t xml:space="preserve">4. Research Design</w:t>
      </w:r>
    </w:p>
    <w:bookmarkStart w:id="35"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5"/>
    <w:bookmarkStart w:id="36"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6"/>
    <w:bookmarkStart w:id="37"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The first three models (GPT-4o-mini, Llama-3.3-70B, and Haiku 5.5) were run on three random seeds, that is, on three independent samples of customers; the five newer models were run on one seed. In the low-mean setting GPT-4o-mini and Llama were run at temperatures 0.3, 0.7, and 1.0 in the first seed and at 0.7 in the two further seeds, giving 1,000 customers per cell; Haiku 5.5 contributes 600 (three seeds of 200), and the other five models 200. In the two high-mean settings the temperature was fixed at 0.7, with 600 customers per cell for the three models run on three seeds and 200 for the others. In the email experiment each seed uses 300 customers (900 for the three models run on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7"/>
    <w:bookmarkStart w:id="38"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8"/>
    <w:bookmarkEnd w:id="39"/>
    <w:bookmarkStart w:id="53" w:name="results"/>
    <w:p>
      <w:pPr>
        <w:pStyle w:val="Heading1"/>
      </w:pPr>
      <w:r>
        <w:t xml:space="preserve">5. Results</w:t>
      </w:r>
    </w:p>
    <w:bookmarkStart w:id="43"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2.15</w:t>
            </w:r>
          </w:p>
        </w:tc>
        <w:tc>
          <w:tcPr/>
          <w:p>
            <w:pPr>
              <w:pStyle w:val="Compact"/>
              <w:spacing w:before="20" w:after="20" w:line="240" w:lineRule="auto"/>
              <w:ind w:firstLine="0"/>
              <w:jc w:val="left"/>
            </w:pPr>
            <w:r>
              <w:rPr>
                <w:rFonts w:ascii="Times New Roman" w:hAnsi="Times New Roman"/>
                <w:sz w:val="17"/>
              </w:rPr>
              <w:t xml:space="preserve">0.00 to 18.37</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8.06</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2.96</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-0.67 to 0.63</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0.95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-0.10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 to 0.93</w:t>
            </w:r>
          </w:p>
        </w:tc>
        <w:tc>
          <w:tcPr/>
          <w:p>
            <w:pPr>
              <w:pStyle w:val="Compact"/>
              <w:spacing w:before="20" w:after="20" w:line="240" w:lineRule="auto"/>
              <w:ind w:firstLine="0"/>
              <w:jc w:val="left"/>
            </w:pPr>
            <w:r>
              <w:rPr>
                <w:rFonts w:ascii="Times New Roman" w:hAnsi="Times New Roman"/>
                <w:sz w:val="17"/>
              </w:rPr>
              <w:t xml:space="preserve">1.46 to 3.38</w:t>
            </w:r>
          </w:p>
        </w:tc>
        <w:tc>
          <w:tcPr/>
          <w:p>
            <w:pPr>
              <w:pStyle w:val="Compact"/>
              <w:spacing w:before="20" w:after="20" w:line="240" w:lineRule="auto"/>
              <w:ind w:firstLine="0"/>
              <w:jc w:val="left"/>
            </w:pPr>
            <w:r>
              <w:rPr>
                <w:rFonts w:ascii="Times New Roman" w:hAnsi="Times New Roman"/>
                <w:sz w:val="17"/>
              </w:rPr>
              <w:t xml:space="preserve">0.63 to 0.80</w:t>
            </w:r>
          </w:p>
        </w:tc>
        <w:tc>
          <w:tcPr/>
          <w:p>
            <w:pPr>
              <w:pStyle w:val="Compact"/>
              <w:spacing w:before="20" w:after="20" w:line="240" w:lineRule="auto"/>
              <w:ind w:firstLine="0"/>
              <w:jc w:val="left"/>
            </w:pPr>
            <w:r>
              <w:rPr>
                <w:rFonts w:ascii="Times New Roman" w:hAnsi="Times New Roman"/>
                <w:sz w:val="17"/>
              </w:rPr>
              <w:t xml:space="preserve">1.67 to 4.06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11.82</w:t>
            </w:r>
          </w:p>
        </w:tc>
        <w:tc>
          <w:tcPr/>
          <w:p>
            <w:pPr>
              <w:pStyle w:val="Compact"/>
              <w:spacing w:before="20" w:after="20" w:line="240" w:lineRule="auto"/>
              <w:ind w:firstLine="0"/>
              <w:jc w:val="left"/>
            </w:pPr>
            <w:r>
              <w:rPr>
                <w:rFonts w:ascii="Times New Roman" w:hAnsi="Times New Roman"/>
                <w:sz w:val="17"/>
              </w:rPr>
              <w:t xml:space="preserve">0.00 to 2.38</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 to 16.65</w:t>
            </w:r>
          </w:p>
        </w:tc>
        <w:tc>
          <w:tcPr/>
          <w:p>
            <w:pPr>
              <w:pStyle w:val="Compact"/>
              <w:spacing w:before="20" w:after="20" w:line="240" w:lineRule="auto"/>
              <w:ind w:firstLine="0"/>
              <w:jc w:val="left"/>
            </w:pPr>
            <w:r>
              <w:rPr>
                <w:rFonts w:ascii="Times New Roman" w:hAnsi="Times New Roman"/>
                <w:sz w:val="17"/>
              </w:rPr>
              <w:t xml:space="preserve">0.04 to 0.40</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-0.19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 to 7.79</w:t>
            </w:r>
          </w:p>
        </w:tc>
        <w:tc>
          <w:tcPr/>
          <w:p>
            <w:pPr>
              <w:pStyle w:val="Compact"/>
              <w:spacing w:before="20" w:after="20" w:line="240" w:lineRule="auto"/>
              <w:ind w:firstLine="0"/>
              <w:jc w:val="left"/>
            </w:pPr>
            <w:r>
              <w:rPr>
                <w:rFonts w:ascii="Times New Roman" w:hAnsi="Times New Roman"/>
                <w:sz w:val="17"/>
              </w:rPr>
              <w:t xml:space="preserve">3.18 to 6.44</w:t>
            </w:r>
          </w:p>
        </w:tc>
        <w:tc>
          <w:tcPr/>
          <w:p>
            <w:pPr>
              <w:pStyle w:val="Compact"/>
              <w:spacing w:before="20" w:after="20" w:line="240" w:lineRule="auto"/>
              <w:ind w:firstLine="0"/>
              <w:jc w:val="left"/>
            </w:pPr>
            <w:r>
              <w:rPr>
                <w:rFonts w:ascii="Times New Roman" w:hAnsi="Times New Roman"/>
                <w:sz w:val="17"/>
              </w:rPr>
              <w:t xml:space="preserve">0.01 to 0.14</w:t>
            </w:r>
          </w:p>
        </w:tc>
        <w:tc>
          <w:tcPr/>
          <w:p>
            <w:pPr>
              <w:pStyle w:val="Compact"/>
              <w:spacing w:before="20" w:after="20" w:line="240" w:lineRule="auto"/>
              <w:ind w:firstLine="0"/>
              <w:jc w:val="left"/>
            </w:pPr>
            <w:r>
              <w:rPr>
                <w:rFonts w:ascii="Times New Roman" w:hAnsi="Times New Roman"/>
                <w:sz w:val="17"/>
              </w:rPr>
              <w:t xml:space="preserve">0.40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 to 7.87</w:t>
            </w:r>
          </w:p>
        </w:tc>
        <w:tc>
          <w:tcPr/>
          <w:p>
            <w:pPr>
              <w:pStyle w:val="Compact"/>
              <w:spacing w:before="20" w:after="20" w:line="240" w:lineRule="auto"/>
              <w:ind w:firstLine="0"/>
              <w:jc w:val="left"/>
            </w:pPr>
            <w:r>
              <w:rPr>
                <w:rFonts w:ascii="Times New Roman" w:hAnsi="Times New Roman"/>
                <w:sz w:val="17"/>
              </w:rPr>
              <w:t xml:space="preserve">5.84 to 13.01</w:t>
            </w:r>
          </w:p>
        </w:tc>
        <w:tc>
          <w:tcPr/>
          <w:p>
            <w:pPr>
              <w:pStyle w:val="Compact"/>
              <w:spacing w:before="20" w:after="20" w:line="240" w:lineRule="auto"/>
              <w:ind w:firstLine="0"/>
              <w:jc w:val="left"/>
            </w:pPr>
            <w:r>
              <w:rPr>
                <w:rFonts w:ascii="Times New Roman" w:hAnsi="Times New Roman"/>
                <w:sz w:val="17"/>
              </w:rPr>
              <w:t xml:space="preserve">0.09 to 0.28</w:t>
            </w:r>
          </w:p>
        </w:tc>
        <w:tc>
          <w:tcPr/>
          <w:p>
            <w:pPr>
              <w:pStyle w:val="Compact"/>
              <w:spacing w:before="20" w:after="20" w:line="240" w:lineRule="auto"/>
              <w:ind w:firstLine="0"/>
              <w:jc w:val="left"/>
            </w:pPr>
            <w:r>
              <w:rPr>
                <w:rFonts w:ascii="Times New Roman" w:hAnsi="Times New Roman"/>
                <w:sz w:val="17"/>
              </w:rPr>
              <w:t xml:space="preserve">0.95 to 2.11</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1" name="Picture"/>
            <a:graphic>
              <a:graphicData uri="http://schemas.openxmlformats.org/drawingml/2006/picture">
                <pic:pic>
                  <pic:nvPicPr>
                    <pic:cNvPr descr="fig1_dispersion.png" id="42" name="Picture"/>
                    <pic:cNvPicPr>
                      <a:picLocks noChangeArrowheads="1" noChangeAspect="1"/>
                    </pic:cNvPicPr>
                  </pic:nvPicPr>
                  <pic:blipFill>
                    <a:blip r:embed="rId40"/>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3"/>
    <w:bookmarkStart w:id="44"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18.4 (interval 3.0 to 30.6), because a few customers receive very large counts alongside many zeros (mean 2.15, zero share 0.55); and Sonnet 5 without the anchor gives daily simulations with a ratio of 2.96 (2.58 to 3.34). Elsewhere direct answers are the most compressed, with ratios of at most 0.86 in 12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With the anchor, five cells in all (those three, and Sonnet 5 and GPT-5.6-terra for daily simulation) return</w:t>
      </w:r>
      <w:r>
        <w:t xml:space="preserve"> </w:t>
      </w:r>
      <w:r>
        <w:t xml:space="preserve">“</w:t>
      </w:r>
      <w:r>
        <w:t xml:space="preserve">0</w:t>
      </w:r>
      <w:r>
        <w:t xml:space="preserve">”</w:t>
      </w:r>
      <w:r>
        <w:t xml:space="preserve"> </w:t>
      </w:r>
      <w:r>
        <w:t xml:space="preserve">for 97%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0.95 to 1.61, below its own ceiling of 2.10 in all 16 cells, and its zero share is too low (0.32 to 0.71, against 0.74) in every cell.</w:t>
      </w:r>
    </w:p>
    <w:p>
      <w:pPr>
        <w:pStyle w:val="BodyText"/>
      </w:pPr>
      <w:r>
        <w:t xml:space="preserve">The hybrid matches the reference ratio in 7 of 16 cells, the mean in 8, the zero share in 13, and</w:t>
      </w:r>
      <w:r>
        <w:t xml:space="preserve"> </w:t>
      </w:r>
      <m:oMath>
        <m:r>
          <m:t>α</m:t>
        </m:r>
      </m:oMath>
      <w:r>
        <w:t xml:space="preserve"> </w:t>
      </w:r>
      <w:r>
        <w:t xml:space="preserve">in 14; all four in 5 cells (DeepSeek-V4-Pro in both prompt variants, and Gemini 3.1 Flash-Lite, Mistral Large 4, and GPT-5.6-terra with the anchor).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4"/>
    <w:bookmarkStart w:id="45" w:name="high-mean-setting"/>
    <w:p>
      <w:pPr>
        <w:pStyle w:val="Heading2"/>
      </w:pPr>
      <w:r>
        <w:t xml:space="preserve">5.3 High-mean setting</w:t>
      </w:r>
    </w:p>
    <w:p>
      <w:pPr>
        <w:pStyle w:val="FirstParagraph"/>
      </w:pPr>
      <w:r>
        <w:t xml:space="preserve">A higher mean does not relieve the collapse of direct answers (Table B2, Figure 1b). In 15 of 16 cells the variance-to-mean ratio of design A lies between 0.00 and 0.76, against a reference of 7.85. The exception is Mistral Large 4 without the anchor, whose direct answers have real spread (ratio 2.38, interval 1.82 to 3.02,</w:t>
      </w:r>
      <w:r>
        <w:t xml:space="preserve"> </w:t>
      </w:r>
      <m:oMath>
        <m:r>
          <m:t>α</m:t>
        </m:r>
        <m:r>
          <m:rPr>
            <m:sty m:val="p"/>
          </m:rPr>
          <m:t>=</m:t>
        </m:r>
        <m:r>
          <m:rPr>
            <m:sty m:val="p"/>
          </m:rPr>
          <m:t>+</m:t>
        </m:r>
        <m:r>
          <m:t>0.16</m:t>
        </m:r>
      </m:oMath>
      <w:r>
        <w:t xml:space="preserve">) but still carry only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5.20), so that the answer carries little persona information. Daily simulation again misses the mean (4.45 to 16.65 trips against 4.84) and has almost no dispersion (ratios of 0.04 to 0.40, zero share of at most 0.01). In all 48 cells of designs A, B, and C the variance-to-mean interval lies entirely below the reference.</w:t>
      </w:r>
    </w:p>
    <w:p>
      <w:pPr>
        <w:pStyle w:val="BodyText"/>
      </w:pPr>
      <w:r>
        <w:t xml:space="preserve">Describing a distribution reaches ratios of 3.18 to 6.44. Its intervals contain the ceiling of 6.61 in only 4 of 16 cells (4 of the 8 anchored cells), so the impression from the first three models that the anchor lets design C reach the ceiling does not generalize. Its weak point is the zero share: 0.01 to 0.14 against the real 0.19, below the reference in every cell. The hybrid matches the reference ratio in 15 of 16 cells, the mean in 7, the zero share in 8, and all four of mean, ratio, zero share, and</w:t>
      </w:r>
      <w:r>
        <w:t xml:space="preserve"> </w:t>
      </w:r>
      <m:oMath>
        <m:r>
          <m:t>α</m:t>
        </m:r>
      </m:oMath>
      <w:r>
        <w:t xml:space="preserve"> </w:t>
      </w:r>
      <w:r>
        <w:t xml:space="preserve">in 5: Haiku 5.5 without the anchor, GPT-4o-mini with it, Sonnet 5 in both variants, and Gemini 3.1 Flash-Lite with it. The remaining cells fail because the model’s mean is wrong, for example 3.09 for Mistral Large 4 with the anchor and 7.87 for DeepSeek-V4-Pro without it.</w:t>
      </w:r>
    </w:p>
    <w:bookmarkEnd w:id="45"/>
    <w:bookmarkStart w:id="46"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12 of 16 direct-answer cells have variance-to-mean ratios of at most 0.86, three more are cells in which nearly every answer was</w:t>
      </w:r>
      <w:r>
        <w:t xml:space="preserve"> </w:t>
      </w:r>
      <w:r>
        <w:t xml:space="preserve">“</w:t>
      </w:r>
      <w:r>
        <w:t xml:space="preserve">0</w:t>
      </w:r>
      <w:r>
        <w:t xml:space="preserve">”</w:t>
      </w:r>
      <w:r>
        <w:t xml:space="preserve">, and one (DeepSeek-V4-Pro without the anchor) is overdispersed; at a mean of 4.8 the ratio is at most 0.76 in 15 of 16 cells, and at a mean of 7.8 it is at most 1.32.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0.31 for direct and daily designs.</w:t>
      </w:r>
    </w:p>
    <w:bookmarkEnd w:id="46"/>
    <w:bookmarkStart w:id="47"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1.32, zero share at most 0.01) with</w:t>
      </w:r>
      <w:r>
        <w:t xml:space="preserve"> </w:t>
      </w:r>
      <m:oMath>
        <m:r>
          <m:t>α</m:t>
        </m:r>
      </m:oMath>
      <w:r>
        <w:t xml:space="preserve"> </w:t>
      </w:r>
      <w:r>
        <w:t xml:space="preserve">between -0.16 and +0.03.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(6.0 to 17.2 against 7.83) and has ratios of 0.07 to 0.31. Describing a distribution reaches ratios of 2.78 to 6.11, and its intervals contain the ceiling of 5.01 in 9 of 16 cells (6 of the 8 anchored cells); its zero share (0.01 to 0.13) matches the small real share of 0.03 in 11 of 16 cells. The hybrid matches the reference ratio in 13 of 16 cells, but its mean in only 5 of 16: the model’s</w:t>
      </w:r>
      <w:r>
        <w:t xml:space="preserve"> </w:t>
      </w:r>
      <m:oMath>
        <m:r>
          <m:t>λ</m:t>
        </m:r>
      </m:oMath>
      <w:r>
        <w:t xml:space="preserve"> </w:t>
      </w:r>
      <w:r>
        <w:t xml:space="preserve">is usually too low (3.95 to 6.57 in the cells that miss, against 7.83). It also matches the zero share in only 2 of 16 cells (0.06 to 0.14 against 0.03), and all four of mean, ratio, zero share, and</w:t>
      </w:r>
      <w:r>
        <w:t xml:space="preserve"> </w:t>
      </w:r>
      <m:oMath>
        <m:r>
          <m:t>α</m:t>
        </m:r>
      </m:oMath>
      <w:r>
        <w:t xml:space="preserve"> </w:t>
      </w:r>
      <w:r>
        <w:t xml:space="preserve">in 2 of 16 cells (DeepSeek-V4-Pro with the anchor and Gemini 3.1 Flash-Lite without it).</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 to 10.24</w:t>
            </w:r>
          </w:p>
        </w:tc>
        <w:tc>
          <w:tcPr/>
          <w:p>
            <w:pPr>
              <w:pStyle w:val="Compact"/>
              <w:spacing w:before="20" w:after="20" w:line="240" w:lineRule="auto"/>
              <w:ind w:firstLine="0"/>
              <w:jc w:val="left"/>
            </w:pPr>
            <w:r>
              <w:rPr>
                <w:rFonts w:ascii="Times New Roman" w:hAnsi="Times New Roman"/>
                <w:sz w:val="17"/>
              </w:rPr>
              <w:t xml:space="preserve">0.00 to 1.32</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-0.16 to 0.03</w:t>
            </w:r>
          </w:p>
        </w:tc>
        <w:tc>
          <w:tcPr/>
          <w:p>
            <w:pPr>
              <w:pStyle w:val="Compact"/>
              <w:spacing w:before="20" w:after="20" w:line="240" w:lineRule="auto"/>
              <w:ind w:firstLine="0"/>
              <w:jc w:val="left"/>
            </w:pPr>
            <w:r>
              <w:rPr>
                <w:rFonts w:ascii="Times New Roman" w:hAnsi="Times New Roman"/>
                <w:sz w:val="17"/>
              </w:rPr>
              <w:t xml:space="preserve">-0.17 to +0.07</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 to 17.21</w:t>
            </w:r>
          </w:p>
        </w:tc>
        <w:tc>
          <w:tcPr/>
          <w:p>
            <w:pPr>
              <w:pStyle w:val="Compact"/>
              <w:spacing w:before="20" w:after="20" w:line="240" w:lineRule="auto"/>
              <w:ind w:firstLine="0"/>
              <w:jc w:val="left"/>
            </w:pPr>
            <w:r>
              <w:rPr>
                <w:rFonts w:ascii="Times New Roman" w:hAnsi="Times New Roman"/>
                <w:sz w:val="17"/>
              </w:rPr>
              <w:t xml:space="preserve">0.07 to 0.31</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 to 8.79</w:t>
            </w:r>
          </w:p>
        </w:tc>
        <w:tc>
          <w:tcPr/>
          <w:p>
            <w:pPr>
              <w:pStyle w:val="Compact"/>
              <w:spacing w:before="20" w:after="20" w:line="240" w:lineRule="auto"/>
              <w:ind w:firstLine="0"/>
              <w:jc w:val="left"/>
            </w:pPr>
            <w:r>
              <w:rPr>
                <w:rFonts w:ascii="Times New Roman" w:hAnsi="Times New Roman"/>
                <w:sz w:val="17"/>
              </w:rPr>
              <w:t xml:space="preserve">2.78 to 6.11</w:t>
            </w:r>
          </w:p>
        </w:tc>
        <w:tc>
          <w:tcPr/>
          <w:p>
            <w:pPr>
              <w:pStyle w:val="Compact"/>
              <w:spacing w:before="20" w:after="20" w:line="240" w:lineRule="auto"/>
              <w:ind w:firstLine="0"/>
              <w:jc w:val="left"/>
            </w:pPr>
            <w:r>
              <w:rPr>
                <w:rFonts w:ascii="Times New Roman" w:hAnsi="Times New Roman"/>
                <w:sz w:val="17"/>
              </w:rPr>
              <w:t xml:space="preserve">0.01 to 0.13</w:t>
            </w:r>
          </w:p>
        </w:tc>
        <w:tc>
          <w:tcPr/>
          <w:p>
            <w:pPr>
              <w:pStyle w:val="Compact"/>
              <w:spacing w:before="20" w:after="20" w:line="240" w:lineRule="auto"/>
              <w:ind w:firstLine="0"/>
              <w:jc w:val="left"/>
            </w:pPr>
            <w:r>
              <w:rPr>
                <w:rFonts w:ascii="Times New Roman" w:hAnsi="Times New Roman"/>
                <w:sz w:val="17"/>
              </w:rPr>
              <w:t xml:space="preserve">0.32 to 0.79</w:t>
            </w:r>
          </w:p>
        </w:tc>
        <w:tc>
          <w:tcPr/>
          <w:p>
            <w:pPr>
              <w:pStyle w:val="Compact"/>
              <w:spacing w:before="20" w:after="20" w:line="240" w:lineRule="auto"/>
              <w:ind w:firstLine="0"/>
              <w:jc w:val="left"/>
            </w:pPr>
            <w:r>
              <w:rPr>
                <w:rFonts w:ascii="Times New Roman" w:hAnsi="Times New Roman"/>
                <w:sz w:val="17"/>
              </w:rPr>
              <w:t xml:space="preserve">-0.01 to +0.16</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 to 7.53</w:t>
            </w:r>
          </w:p>
        </w:tc>
        <w:tc>
          <w:tcPr/>
          <w:p>
            <w:pPr>
              <w:pStyle w:val="Compact"/>
              <w:spacing w:before="20" w:after="20" w:line="240" w:lineRule="auto"/>
              <w:ind w:firstLine="0"/>
              <w:jc w:val="left"/>
            </w:pPr>
            <w:r>
              <w:rPr>
                <w:rFonts w:ascii="Times New Roman" w:hAnsi="Times New Roman"/>
                <w:sz w:val="17"/>
              </w:rPr>
              <w:t xml:space="preserve">3.97 to 8.58</w:t>
            </w:r>
          </w:p>
        </w:tc>
        <w:tc>
          <w:tcPr/>
          <w:p>
            <w:pPr>
              <w:pStyle w:val="Compact"/>
              <w:spacing w:before="20" w:after="20" w:line="240" w:lineRule="auto"/>
              <w:ind w:firstLine="0"/>
              <w:jc w:val="left"/>
            </w:pPr>
            <w:r>
              <w:rPr>
                <w:rFonts w:ascii="Times New Roman" w:hAnsi="Times New Roman"/>
                <w:sz w:val="17"/>
              </w:rPr>
              <w:t xml:space="preserve">0.06 to 0.14</w:t>
            </w:r>
          </w:p>
        </w:tc>
        <w:tc>
          <w:tcPr/>
          <w:p>
            <w:pPr>
              <w:pStyle w:val="Compact"/>
              <w:spacing w:before="20" w:after="20" w:line="240" w:lineRule="auto"/>
              <w:ind w:firstLine="0"/>
              <w:jc w:val="left"/>
            </w:pPr>
            <w:r>
              <w:rPr>
                <w:rFonts w:ascii="Times New Roman" w:hAnsi="Times New Roman"/>
                <w:sz w:val="17"/>
              </w:rPr>
              <w:t xml:space="preserve">0.71 to 1.11</w:t>
            </w:r>
          </w:p>
        </w:tc>
        <w:tc>
          <w:tcPr/>
          <w:p>
            <w:pPr>
              <w:pStyle w:val="Compact"/>
              <w:spacing w:before="20" w:after="20" w:line="240" w:lineRule="auto"/>
              <w:ind w:firstLine="0"/>
              <w:jc w:val="left"/>
            </w:pPr>
            <w:r>
              <w:rPr>
                <w:rFonts w:ascii="Times New Roman" w:hAnsi="Times New Roman"/>
                <w:sz w:val="17"/>
              </w:rPr>
              <w:t xml:space="preserve">-0.10 to +0.06</w:t>
            </w:r>
          </w:p>
        </w:tc>
      </w:tr>
    </w:tbl>
    <w:p>
      <w:pPr>
        <w:pStyle w:val="BodyText"/>
        <w:spacing w:line="240" w:lineRule="auto"/>
        <w:ind w:firstLine="0"/>
      </w:pPr>
      <w:r>
        <w:rPr>
          <w:iCs/>
          <w:i/>
        </w:rPr>
        <w:t xml:space="preserve">Table 3. Persona experiment with real household demographics: range of results across the 16 model-and-prompt cells of each design (200 households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-0.17 and +0.16, and the interval excludes zero in only three cells (two positive, one negative). The model’s own</w:t>
      </w:r>
      <w:r>
        <w:t xml:space="preserve"> </w:t>
      </w:r>
      <m:oMath>
        <m:r>
          <m:t>λ</m:t>
        </m:r>
      </m:oMath>
      <w:r>
        <w:t xml:space="preserve"> </w:t>
      </w:r>
      <w:r>
        <w:t xml:space="preserve">in design D correlates between -0.05 and +0.05 with the real count, and none of its 16 intervals excludes zero. With 79 intervals, about four exclusions are expected by chance at the 5% level. Design C is the only design whose correlations are mostly positive (14 of 16 cells, median +0.06), but the models were run on overlapping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7"/>
    <w:bookmarkStart w:id="51"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0.223</w:t>
            </w:r>
          </w:p>
        </w:tc>
        <w:tc>
          <w:tcPr/>
          <w:p>
            <w:pPr>
              <w:pStyle w:val="Compact"/>
              <w:spacing w:before="20" w:after="20" w:line="240" w:lineRule="auto"/>
              <w:ind w:firstLine="0"/>
              <w:jc w:val="left"/>
            </w:pPr>
            <w:r>
              <w:rPr>
                <w:rFonts w:ascii="Times New Roman" w:hAnsi="Times New Roman"/>
                <w:sz w:val="17"/>
              </w:rPr>
              <w:t xml:space="preserve">+0.137 [+0.120, +0.153]*</w:t>
            </w:r>
          </w:p>
        </w:tc>
        <w:tc>
          <w:tcPr/>
          <w:p>
            <w:pPr>
              <w:pStyle w:val="Compact"/>
              <w:spacing w:before="20" w:after="20" w:line="240" w:lineRule="auto"/>
              <w:ind w:firstLine="0"/>
              <w:jc w:val="left"/>
            </w:pPr>
            <w:r>
              <w:rPr>
                <w:rFonts w:ascii="Times New Roman" w:hAnsi="Times New Roman"/>
                <w:sz w:val="17"/>
              </w:rPr>
              <w:t xml:space="preserve">+0.141 [+0.125, +0.157]*</w:t>
            </w:r>
          </w:p>
        </w:tc>
        <w:tc>
          <w:tcPr/>
          <w:p>
            <w:pPr>
              <w:pStyle w:val="Compact"/>
              <w:spacing w:before="20" w:after="20" w:line="240" w:lineRule="auto"/>
              <w:ind w:firstLine="0"/>
              <w:jc w:val="left"/>
            </w:pPr>
            <w:r>
              <w:rPr>
                <w:rFonts w:ascii="Times New Roman" w:hAnsi="Times New Roman"/>
                <w:sz w:val="17"/>
              </w:rPr>
              <w:t xml:space="preserve">-0.004 [-0.031, +0.024]*</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+0.025 [+0.012, +0.040]*</w:t>
            </w:r>
          </w:p>
        </w:tc>
        <w:tc>
          <w:tcPr/>
          <w:p>
            <w:pPr>
              <w:pStyle w:val="Compact"/>
              <w:spacing w:before="20" w:after="20" w:line="240" w:lineRule="auto"/>
              <w:ind w:firstLine="0"/>
              <w:jc w:val="left"/>
            </w:pPr>
            <w:r>
              <w:rPr>
                <w:rFonts w:ascii="Times New Roman" w:hAnsi="Times New Roman"/>
                <w:sz w:val="17"/>
              </w:rPr>
              <w:t xml:space="preserve">+0.025 [+0.011, +0.040]*</w:t>
            </w:r>
          </w:p>
        </w:tc>
        <w:tc>
          <w:tcPr/>
          <w:p>
            <w:pPr>
              <w:pStyle w:val="Compact"/>
              <w:spacing w:before="20" w:after="20" w:line="240" w:lineRule="auto"/>
              <w:ind w:firstLine="0"/>
              <w:jc w:val="left"/>
            </w:pPr>
            <w:r>
              <w:rPr>
                <w:rFonts w:ascii="Times New Roman" w:hAnsi="Times New Roman"/>
                <w:sz w:val="17"/>
              </w:rPr>
              <w:t xml:space="preserve">-0.000 [-0.022, +0.020]*</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1.13*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0.282</w:t>
            </w:r>
          </w:p>
        </w:tc>
        <w:tc>
          <w:tcPr/>
          <w:p>
            <w:pPr>
              <w:pStyle w:val="Compact"/>
              <w:spacing w:before="20" w:after="20" w:line="240" w:lineRule="auto"/>
              <w:ind w:firstLine="0"/>
              <w:jc w:val="left"/>
            </w:pPr>
            <w:r>
              <w:rPr>
                <w:rFonts w:ascii="Times New Roman" w:hAnsi="Times New Roman"/>
                <w:sz w:val="17"/>
              </w:rPr>
              <w:t xml:space="preserve">+0.050 [+0.033, +0.069]*</w:t>
            </w:r>
          </w:p>
        </w:tc>
        <w:tc>
          <w:tcPr/>
          <w:p>
            <w:pPr>
              <w:pStyle w:val="Compact"/>
              <w:spacing w:before="20" w:after="20" w:line="240" w:lineRule="auto"/>
              <w:ind w:firstLine="0"/>
              <w:jc w:val="left"/>
            </w:pPr>
            <w:r>
              <w:rPr>
                <w:rFonts w:ascii="Times New Roman" w:hAnsi="Times New Roman"/>
                <w:sz w:val="17"/>
              </w:rPr>
              <w:t xml:space="preserve">+0.052 [+0.035, +0.070]</w:t>
            </w:r>
          </w:p>
        </w:tc>
        <w:tc>
          <w:tcPr/>
          <w:p>
            <w:pPr>
              <w:pStyle w:val="Compact"/>
              <w:spacing w:before="20" w:after="20" w:line="240" w:lineRule="auto"/>
              <w:ind w:firstLine="0"/>
              <w:jc w:val="left"/>
            </w:pPr>
            <w:r>
              <w:rPr>
                <w:rFonts w:ascii="Times New Roman" w:hAnsi="Times New Roman"/>
                <w:sz w:val="17"/>
              </w:rPr>
              <w:t xml:space="preserve">-0.001 [-0.030, +0.027]*</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0.102</w:t>
            </w:r>
          </w:p>
        </w:tc>
        <w:tc>
          <w:tcPr/>
          <w:p>
            <w:pPr>
              <w:pStyle w:val="Compact"/>
              <w:spacing w:before="20" w:after="20" w:line="240" w:lineRule="auto"/>
              <w:ind w:firstLine="0"/>
              <w:jc w:val="left"/>
            </w:pPr>
            <w:r>
              <w:rPr>
                <w:rFonts w:ascii="Times New Roman" w:hAnsi="Times New Roman"/>
                <w:sz w:val="17"/>
              </w:rPr>
              <w:t xml:space="preserve">+0.075 [+0.063, +0.087]</w:t>
            </w:r>
          </w:p>
        </w:tc>
        <w:tc>
          <w:tcPr/>
          <w:p>
            <w:pPr>
              <w:pStyle w:val="Compact"/>
              <w:spacing w:before="20" w:after="20" w:line="240" w:lineRule="auto"/>
              <w:ind w:firstLine="0"/>
              <w:jc w:val="left"/>
            </w:pPr>
            <w:r>
              <w:rPr>
                <w:rFonts w:ascii="Times New Roman" w:hAnsi="Times New Roman"/>
                <w:sz w:val="17"/>
              </w:rPr>
              <w:t xml:space="preserve">+0.083 [+0.070, +0.095]*</w:t>
            </w:r>
          </w:p>
        </w:tc>
        <w:tc>
          <w:tcPr/>
          <w:p>
            <w:pPr>
              <w:pStyle w:val="Compact"/>
              <w:spacing w:before="20" w:after="20" w:line="240" w:lineRule="auto"/>
              <w:ind w:firstLine="0"/>
              <w:jc w:val="left"/>
            </w:pPr>
            <w:r>
              <w:rPr>
                <w:rFonts w:ascii="Times New Roman" w:hAnsi="Times New Roman"/>
                <w:sz w:val="17"/>
              </w:rPr>
              <w:t xml:space="preserve">-0.008 [-0.028, +0.013]*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+0.037 [+0.012, +0.058]*</w:t>
            </w:r>
          </w:p>
        </w:tc>
        <w:tc>
          <w:tcPr/>
          <w:p>
            <w:pPr>
              <w:pStyle w:val="Compact"/>
              <w:spacing w:before="20" w:after="20" w:line="240" w:lineRule="auto"/>
              <w:ind w:firstLine="0"/>
              <w:jc w:val="left"/>
            </w:pPr>
            <w:r>
              <w:rPr>
                <w:rFonts w:ascii="Times New Roman" w:hAnsi="Times New Roman"/>
                <w:sz w:val="17"/>
              </w:rPr>
              <w:t xml:space="preserve">+0.035 [+0.010, +0.059]</w:t>
            </w:r>
          </w:p>
        </w:tc>
        <w:tc>
          <w:tcPr/>
          <w:p>
            <w:pPr>
              <w:pStyle w:val="Compact"/>
              <w:spacing w:before="20" w:after="20" w:line="240" w:lineRule="auto"/>
              <w:ind w:firstLine="0"/>
              <w:jc w:val="left"/>
            </w:pPr>
            <w:r>
              <w:rPr>
                <w:rFonts w:ascii="Times New Roman" w:hAnsi="Times New Roman"/>
                <w:sz w:val="17"/>
              </w:rPr>
              <w:t xml:space="preserve">+0.001 [-0.024, +0.026]*</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+0.196 [+0.178, +0.213]*</w:t>
            </w:r>
          </w:p>
        </w:tc>
        <w:tc>
          <w:tcPr/>
          <w:p>
            <w:pPr>
              <w:pStyle w:val="Compact"/>
              <w:spacing w:before="20" w:after="20" w:line="240" w:lineRule="auto"/>
              <w:ind w:firstLine="0"/>
              <w:jc w:val="left"/>
            </w:pPr>
            <w:r>
              <w:rPr>
                <w:rFonts w:ascii="Times New Roman" w:hAnsi="Times New Roman"/>
                <w:sz w:val="17"/>
              </w:rPr>
              <w:t xml:space="preserve">+0.183 [+0.165, +0.200]*</w:t>
            </w:r>
          </w:p>
        </w:tc>
        <w:tc>
          <w:tcPr/>
          <w:p>
            <w:pPr>
              <w:pStyle w:val="Compact"/>
              <w:spacing w:before="20" w:after="20" w:line="240" w:lineRule="auto"/>
              <w:ind w:firstLine="0"/>
              <w:jc w:val="left"/>
            </w:pPr>
            <w:r>
              <w:rPr>
                <w:rFonts w:ascii="Times New Roman" w:hAnsi="Times New Roman"/>
                <w:sz w:val="17"/>
              </w:rPr>
              <w:t xml:space="preserve">+0.013 [-0.011, +0.036]</w:t>
            </w:r>
          </w:p>
        </w:tc>
        <w:tc>
          <w:tcPr/>
          <w:p>
            <w:pPr>
              <w:pStyle w:val="Compact"/>
              <w:spacing w:before="20" w:after="20" w:line="240" w:lineRule="auto"/>
              <w:ind w:firstLine="0"/>
              <w:jc w:val="left"/>
            </w:pPr>
            <w:r>
              <w:rPr>
                <w:rFonts w:ascii="Times New Roman" w:hAnsi="Times New Roman"/>
                <w:sz w:val="17"/>
              </w:rPr>
              <w:t xml:space="preserve">3.82*</w:t>
            </w:r>
          </w:p>
        </w:tc>
        <w:tc>
          <w:tcPr/>
          <w:p>
            <w:pPr>
              <w:pStyle w:val="Compact"/>
              <w:spacing w:before="20" w:after="20" w:line="240" w:lineRule="auto"/>
              <w:ind w:firstLine="0"/>
              <w:jc w:val="left"/>
            </w:pPr>
            <w:r>
              <w:rPr>
                <w:rFonts w:ascii="Times New Roman" w:hAnsi="Times New Roman"/>
                <w:sz w:val="17"/>
              </w:rPr>
              <w:t xml:space="preserve">3.63*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0.126</w:t>
            </w:r>
          </w:p>
        </w:tc>
        <w:tc>
          <w:tcPr/>
          <w:p>
            <w:pPr>
              <w:pStyle w:val="Compact"/>
              <w:spacing w:before="20" w:after="20" w:line="240" w:lineRule="auto"/>
              <w:ind w:firstLine="0"/>
              <w:jc w:val="left"/>
            </w:pPr>
            <w:r>
              <w:rPr>
                <w:rFonts w:ascii="Times New Roman" w:hAnsi="Times New Roman"/>
                <w:sz w:val="17"/>
              </w:rPr>
              <w:t xml:space="preserve">+0.050 [+0.035, +0.067]*</w:t>
            </w:r>
          </w:p>
        </w:tc>
        <w:tc>
          <w:tcPr/>
          <w:p>
            <w:pPr>
              <w:pStyle w:val="Compact"/>
              <w:spacing w:before="20" w:after="20" w:line="240" w:lineRule="auto"/>
              <w:ind w:firstLine="0"/>
              <w:jc w:val="left"/>
            </w:pPr>
            <w:r>
              <w:rPr>
                <w:rFonts w:ascii="Times New Roman" w:hAnsi="Times New Roman"/>
                <w:sz w:val="17"/>
              </w:rPr>
              <w:t xml:space="preserve">+0.044 [+0.029, +0.060]</w:t>
            </w:r>
          </w:p>
        </w:tc>
        <w:tc>
          <w:tcPr/>
          <w:p>
            <w:pPr>
              <w:pStyle w:val="Compact"/>
              <w:spacing w:before="20" w:after="20" w:line="240" w:lineRule="auto"/>
              <w:ind w:firstLine="0"/>
              <w:jc w:val="left"/>
            </w:pPr>
            <w:r>
              <w:rPr>
                <w:rFonts w:ascii="Times New Roman" w:hAnsi="Times New Roman"/>
                <w:sz w:val="17"/>
              </w:rPr>
              <w:t xml:space="preserve">+0.006 [-0.022, +0.033]</w:t>
            </w:r>
          </w:p>
        </w:tc>
        <w:tc>
          <w:tcPr/>
          <w:p>
            <w:pPr>
              <w:pStyle w:val="Compact"/>
              <w:spacing w:before="20" w:after="20" w:line="240" w:lineRule="auto"/>
              <w:ind w:firstLine="0"/>
              <w:jc w:val="left"/>
            </w:pPr>
            <w:r>
              <w:rPr>
                <w:rFonts w:ascii="Times New Roman" w:hAnsi="Times New Roman"/>
                <w:sz w:val="17"/>
              </w:rPr>
              <w:t xml:space="preserve">1.39*</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+0.062 [+0.053, +0.070]*</w:t>
            </w:r>
          </w:p>
        </w:tc>
        <w:tc>
          <w:tcPr/>
          <w:p>
            <w:pPr>
              <w:pStyle w:val="Compact"/>
              <w:spacing w:before="20" w:after="20" w:line="240" w:lineRule="auto"/>
              <w:ind w:firstLine="0"/>
              <w:jc w:val="left"/>
            </w:pPr>
            <w:r>
              <w:rPr>
                <w:rFonts w:ascii="Times New Roman" w:hAnsi="Times New Roman"/>
                <w:sz w:val="17"/>
              </w:rPr>
              <w:t xml:space="preserve">+0.054 [+0.046, +0.063]*</w:t>
            </w:r>
          </w:p>
        </w:tc>
        <w:tc>
          <w:tcPr/>
          <w:p>
            <w:pPr>
              <w:pStyle w:val="Compact"/>
              <w:spacing w:before="20" w:after="20" w:line="240" w:lineRule="auto"/>
              <w:ind w:firstLine="0"/>
              <w:jc w:val="left"/>
            </w:pPr>
            <w:r>
              <w:rPr>
                <w:rFonts w:ascii="Times New Roman" w:hAnsi="Times New Roman"/>
                <w:sz w:val="17"/>
              </w:rPr>
              <w:t xml:space="preserve">+0.008 [-0.007, +0.021]*</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0.235</w:t>
            </w:r>
          </w:p>
        </w:tc>
        <w:tc>
          <w:tcPr/>
          <w:p>
            <w:pPr>
              <w:pStyle w:val="Compact"/>
              <w:spacing w:before="20" w:after="20" w:line="240" w:lineRule="auto"/>
              <w:ind w:firstLine="0"/>
              <w:jc w:val="left"/>
            </w:pPr>
            <w:r>
              <w:rPr>
                <w:rFonts w:ascii="Times New Roman" w:hAnsi="Times New Roman"/>
                <w:sz w:val="17"/>
              </w:rPr>
              <w:t xml:space="preserve">+0.080 [+0.058, +0.100]</w:t>
            </w:r>
          </w:p>
        </w:tc>
        <w:tc>
          <w:tcPr/>
          <w:p>
            <w:pPr>
              <w:pStyle w:val="Compact"/>
              <w:spacing w:before="20" w:after="20" w:line="240" w:lineRule="auto"/>
              <w:ind w:firstLine="0"/>
              <w:jc w:val="left"/>
            </w:pPr>
            <w:r>
              <w:rPr>
                <w:rFonts w:ascii="Times New Roman" w:hAnsi="Times New Roman"/>
                <w:sz w:val="17"/>
              </w:rPr>
              <w:t xml:space="preserve">+0.075 [+0.053, +0.095]*</w:t>
            </w:r>
          </w:p>
        </w:tc>
        <w:tc>
          <w:tcPr/>
          <w:p>
            <w:pPr>
              <w:pStyle w:val="Compact"/>
              <w:spacing w:before="20" w:after="20" w:line="240" w:lineRule="auto"/>
              <w:ind w:firstLine="0"/>
              <w:jc w:val="left"/>
            </w:pPr>
            <w:r>
              <w:rPr>
                <w:rFonts w:ascii="Times New Roman" w:hAnsi="Times New Roman"/>
                <w:sz w:val="17"/>
              </w:rPr>
              <w:t xml:space="preserve">+0.005 [-0.033, +0.043]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[+0.029, +0.049]*</w:t>
            </w:r>
          </w:p>
        </w:tc>
        <w:tc>
          <w:tcPr/>
          <w:p>
            <w:pPr>
              <w:pStyle w:val="Compact"/>
              <w:spacing w:before="20" w:after="20" w:line="240" w:lineRule="auto"/>
              <w:ind w:firstLine="0"/>
              <w:jc w:val="left"/>
            </w:pPr>
            <w:r>
              <w:rPr>
                <w:rFonts w:ascii="Times New Roman" w:hAnsi="Times New Roman"/>
                <w:sz w:val="17"/>
              </w:rPr>
              <w:t xml:space="preserve">+0.030 [+0.021, +0.040]*</w:t>
            </w:r>
          </w:p>
        </w:tc>
        <w:tc>
          <w:tcPr/>
          <w:p>
            <w:pPr>
              <w:pStyle w:val="Compact"/>
              <w:spacing w:before="20" w:after="20" w:line="240" w:lineRule="auto"/>
              <w:ind w:firstLine="0"/>
              <w:jc w:val="left"/>
            </w:pPr>
            <w:r>
              <w:rPr>
                <w:rFonts w:ascii="Times New Roman" w:hAnsi="Times New Roman"/>
                <w:sz w:val="17"/>
              </w:rPr>
              <w:t xml:space="preserve">+0.008 [-0.008, +0.024]*</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0.094</w:t>
            </w:r>
          </w:p>
        </w:tc>
        <w:tc>
          <w:tcPr/>
          <w:p>
            <w:pPr>
              <w:pStyle w:val="Compact"/>
              <w:spacing w:before="20" w:after="20" w:line="240" w:lineRule="auto"/>
              <w:ind w:firstLine="0"/>
              <w:jc w:val="left"/>
            </w:pPr>
            <w:r>
              <w:rPr>
                <w:rFonts w:ascii="Times New Roman" w:hAnsi="Times New Roman"/>
                <w:sz w:val="17"/>
              </w:rPr>
              <w:t xml:space="preserve">+0.050 [+0.040, +0.060]*</w:t>
            </w:r>
          </w:p>
        </w:tc>
        <w:tc>
          <w:tcPr/>
          <w:p>
            <w:pPr>
              <w:pStyle w:val="Compact"/>
              <w:spacing w:before="20" w:after="20" w:line="240" w:lineRule="auto"/>
              <w:ind w:firstLine="0"/>
              <w:jc w:val="left"/>
            </w:pPr>
            <w:r>
              <w:rPr>
                <w:rFonts w:ascii="Times New Roman" w:hAnsi="Times New Roman"/>
                <w:sz w:val="17"/>
              </w:rPr>
              <w:t xml:space="preserve">+0.054 [+0.045, +0.063]*</w:t>
            </w:r>
          </w:p>
        </w:tc>
        <w:tc>
          <w:tcPr/>
          <w:p>
            <w:pPr>
              <w:pStyle w:val="Compact"/>
              <w:spacing w:before="20" w:after="20" w:line="240" w:lineRule="auto"/>
              <w:ind w:firstLine="0"/>
              <w:jc w:val="left"/>
            </w:pPr>
            <w:r>
              <w:rPr>
                <w:rFonts w:ascii="Times New Roman" w:hAnsi="Times New Roman"/>
                <w:sz w:val="17"/>
              </w:rPr>
              <w:t xml:space="preserve">-0.004 [-0.020, +0.012]</w:t>
            </w:r>
          </w:p>
        </w:tc>
        <w:tc>
          <w:tcPr/>
          <w:p>
            <w:pPr>
              <w:pStyle w:val="Compact"/>
              <w:spacing w:before="20" w:after="20" w:line="240" w:lineRule="auto"/>
              <w:ind w:firstLine="0"/>
              <w:jc w:val="left"/>
            </w:pPr>
            <w:r>
              <w:rPr>
                <w:rFonts w:ascii="Times New Roman" w:hAnsi="Times New Roman"/>
                <w:sz w:val="17"/>
              </w:rPr>
              <w:t xml:space="preserve">1.53*</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0.046</w:t>
            </w:r>
          </w:p>
        </w:tc>
        <w:tc>
          <w:tcPr/>
          <w:p>
            <w:pPr>
              <w:pStyle w:val="Compact"/>
              <w:spacing w:before="20" w:after="20" w:line="240" w:lineRule="auto"/>
              <w:ind w:firstLine="0"/>
              <w:jc w:val="left"/>
            </w:pPr>
            <w:r>
              <w:rPr>
                <w:rFonts w:ascii="Times New Roman" w:hAnsi="Times New Roman"/>
                <w:sz w:val="17"/>
              </w:rPr>
              <w:t xml:space="preserve">+0.004 [-0.002, +0.010]</w:t>
            </w:r>
          </w:p>
        </w:tc>
        <w:tc>
          <w:tcPr/>
          <w:p>
            <w:pPr>
              <w:pStyle w:val="Compact"/>
              <w:spacing w:before="20" w:after="20" w:line="240" w:lineRule="auto"/>
              <w:ind w:firstLine="0"/>
              <w:jc w:val="left"/>
            </w:pPr>
            <w:r>
              <w:rPr>
                <w:rFonts w:ascii="Times New Roman" w:hAnsi="Times New Roman"/>
                <w:sz w:val="17"/>
              </w:rPr>
              <w:t xml:space="preserve">+0.006 [-0.001, +0.013]</w:t>
            </w:r>
          </w:p>
        </w:tc>
        <w:tc>
          <w:tcPr/>
          <w:p>
            <w:pPr>
              <w:pStyle w:val="Compact"/>
              <w:spacing w:before="20" w:after="20" w:line="240" w:lineRule="auto"/>
              <w:ind w:firstLine="0"/>
              <w:jc w:val="left"/>
            </w:pPr>
            <w:r>
              <w:rPr>
                <w:rFonts w:ascii="Times New Roman" w:hAnsi="Times New Roman"/>
                <w:sz w:val="17"/>
              </w:rPr>
              <w:t xml:space="preserve">-0.002 [-0.011, +0.007]</w:t>
            </w:r>
          </w:p>
        </w:tc>
        <w:tc>
          <w:tcPr/>
          <w:p>
            <w:pPr>
              <w:pStyle w:val="Compact"/>
              <w:spacing w:before="20" w:after="20" w:line="240" w:lineRule="auto"/>
              <w:ind w:firstLine="0"/>
              <w:jc w:val="left"/>
            </w:pPr>
            <w:r>
              <w:rPr>
                <w:rFonts w:ascii="Times New Roman" w:hAnsi="Times New Roman"/>
                <w:sz w:val="17"/>
              </w:rPr>
              <w:t xml:space="preserve">1.09*</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+0.115 [+0.103, +0.128]*</w:t>
            </w:r>
          </w:p>
        </w:tc>
        <w:tc>
          <w:tcPr/>
          <w:p>
            <w:pPr>
              <w:pStyle w:val="Compact"/>
              <w:spacing w:before="20" w:after="20" w:line="240" w:lineRule="auto"/>
              <w:ind w:firstLine="0"/>
              <w:jc w:val="left"/>
            </w:pPr>
            <w:r>
              <w:rPr>
                <w:rFonts w:ascii="Times New Roman" w:hAnsi="Times New Roman"/>
                <w:sz w:val="17"/>
              </w:rPr>
              <w:t xml:space="preserve">+0.106 [+0.095, +0.117]*</w:t>
            </w:r>
          </w:p>
        </w:tc>
        <w:tc>
          <w:tcPr/>
          <w:p>
            <w:pPr>
              <w:pStyle w:val="Compact"/>
              <w:spacing w:before="20" w:after="20" w:line="240" w:lineRule="auto"/>
              <w:ind w:firstLine="0"/>
              <w:jc w:val="left"/>
            </w:pPr>
            <w:r>
              <w:rPr>
                <w:rFonts w:ascii="Times New Roman" w:hAnsi="Times New Roman"/>
                <w:sz w:val="17"/>
              </w:rPr>
              <w:t xml:space="preserve">+0.009 [-0.010, +0.027]</w:t>
            </w:r>
          </w:p>
        </w:tc>
        <w:tc>
          <w:tcPr/>
          <w:p>
            <w:pPr>
              <w:pStyle w:val="Compact"/>
              <w:spacing w:before="20" w:after="20" w:line="240" w:lineRule="auto"/>
              <w:ind w:firstLine="0"/>
              <w:jc w:val="left"/>
            </w:pPr>
            <w:r>
              <w:rPr>
                <w:rFonts w:ascii="Times New Roman" w:hAnsi="Times New Roman"/>
                <w:sz w:val="17"/>
              </w:rPr>
              <w:t xml:space="preserve">2.58*</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+0.017 [+0.013, +0.020]*</w:t>
            </w:r>
          </w:p>
        </w:tc>
        <w:tc>
          <w:tcPr/>
          <w:p>
            <w:pPr>
              <w:pStyle w:val="Compact"/>
              <w:spacing w:before="20" w:after="20" w:line="240" w:lineRule="auto"/>
              <w:ind w:firstLine="0"/>
              <w:jc w:val="left"/>
            </w:pPr>
            <w:r>
              <w:rPr>
                <w:rFonts w:ascii="Times New Roman" w:hAnsi="Times New Roman"/>
                <w:sz w:val="17"/>
              </w:rPr>
              <w:t xml:space="preserve">+0.016 [+0.013, +0.019]*</w:t>
            </w:r>
          </w:p>
        </w:tc>
        <w:tc>
          <w:tcPr/>
          <w:p>
            <w:pPr>
              <w:pStyle w:val="Compact"/>
              <w:spacing w:before="20" w:after="20" w:line="240" w:lineRule="auto"/>
              <w:ind w:firstLine="0"/>
              <w:jc w:val="left"/>
            </w:pPr>
            <w:r>
              <w:rPr>
                <w:rFonts w:ascii="Times New Roman" w:hAnsi="Times New Roman"/>
                <w:sz w:val="17"/>
              </w:rPr>
              <w:t xml:space="preserve">+0.001 [-0.005, +0.006]</w:t>
            </w:r>
          </w:p>
        </w:tc>
        <w:tc>
          <w:tcPr/>
          <w:p>
            <w:pPr>
              <w:pStyle w:val="Compact"/>
              <w:spacing w:before="20" w:after="20" w:line="240" w:lineRule="auto"/>
              <w:ind w:firstLine="0"/>
              <w:jc w:val="left"/>
            </w:pPr>
            <w:r>
              <w:rPr>
                <w:rFonts w:ascii="Times New Roman" w:hAnsi="Times New Roman"/>
                <w:sz w:val="17"/>
              </w:rPr>
              <w:t xml:space="preserve">3.15*</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+0.028 [+0.010, +0.045]*</w:t>
            </w:r>
          </w:p>
        </w:tc>
        <w:tc>
          <w:tcPr/>
          <w:p>
            <w:pPr>
              <w:pStyle w:val="Compact"/>
              <w:spacing w:before="20" w:after="20" w:line="240" w:lineRule="auto"/>
              <w:ind w:firstLine="0"/>
              <w:jc w:val="left"/>
            </w:pPr>
            <w:r>
              <w:rPr>
                <w:rFonts w:ascii="Times New Roman" w:hAnsi="Times New Roman"/>
                <w:sz w:val="17"/>
              </w:rPr>
              <w:t xml:space="preserve">+0.025 [+0.009, +0.042]*</w:t>
            </w:r>
          </w:p>
        </w:tc>
        <w:tc>
          <w:tcPr/>
          <w:p>
            <w:pPr>
              <w:pStyle w:val="Compact"/>
              <w:spacing w:before="20" w:after="20" w:line="240" w:lineRule="auto"/>
              <w:ind w:firstLine="0"/>
              <w:jc w:val="left"/>
            </w:pPr>
            <w:r>
              <w:rPr>
                <w:rFonts w:ascii="Times New Roman" w:hAnsi="Times New Roman"/>
                <w:sz w:val="17"/>
              </w:rPr>
              <w:t xml:space="preserve">+0.003 [-0.016, +0.020]</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0.076</w:t>
            </w:r>
          </w:p>
        </w:tc>
        <w:tc>
          <w:tcPr/>
          <w:p>
            <w:pPr>
              <w:pStyle w:val="Compact"/>
              <w:spacing w:before="20" w:after="20" w:line="240" w:lineRule="auto"/>
              <w:ind w:firstLine="0"/>
              <w:jc w:val="left"/>
            </w:pPr>
            <w:r>
              <w:rPr>
                <w:rFonts w:ascii="Times New Roman" w:hAnsi="Times New Roman"/>
                <w:sz w:val="17"/>
              </w:rPr>
              <w:t xml:space="preserve">+0.128 [+0.108, +0.150]*</w:t>
            </w:r>
          </w:p>
        </w:tc>
        <w:tc>
          <w:tcPr/>
          <w:p>
            <w:pPr>
              <w:pStyle w:val="Compact"/>
              <w:spacing w:before="20" w:after="20" w:line="240" w:lineRule="auto"/>
              <w:ind w:firstLine="0"/>
              <w:jc w:val="left"/>
            </w:pPr>
            <w:r>
              <w:rPr>
                <w:rFonts w:ascii="Times New Roman" w:hAnsi="Times New Roman"/>
                <w:sz w:val="17"/>
              </w:rPr>
              <w:t xml:space="preserve">+0.105 [+0.088, +0.124]*</w:t>
            </w:r>
          </w:p>
        </w:tc>
        <w:tc>
          <w:tcPr/>
          <w:p>
            <w:pPr>
              <w:pStyle w:val="Compact"/>
              <w:spacing w:before="20" w:after="20" w:line="240" w:lineRule="auto"/>
              <w:ind w:firstLine="0"/>
              <w:jc w:val="left"/>
            </w:pPr>
            <w:r>
              <w:rPr>
                <w:rFonts w:ascii="Times New Roman" w:hAnsi="Times New Roman"/>
                <w:sz w:val="17"/>
              </w:rPr>
              <w:t xml:space="preserve">+0.023 [+0.000, +0.047]</w:t>
            </w:r>
          </w:p>
        </w:tc>
        <w:tc>
          <w:tcPr/>
          <w:p>
            <w:pPr>
              <w:pStyle w:val="Compact"/>
              <w:spacing w:before="20" w:after="20" w:line="240" w:lineRule="auto"/>
              <w:ind w:firstLine="0"/>
              <w:jc w:val="left"/>
            </w:pPr>
            <w:r>
              <w:rPr>
                <w:rFonts w:ascii="Times New Roman" w:hAnsi="Times New Roman"/>
                <w:sz w:val="17"/>
              </w:rPr>
              <w:t xml:space="preserve">2.68*</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+0.032 [+0.025, +0.039]*</w:t>
            </w:r>
          </w:p>
        </w:tc>
        <w:tc>
          <w:tcPr/>
          <w:p>
            <w:pPr>
              <w:pStyle w:val="Compact"/>
              <w:spacing w:before="20" w:after="20" w:line="240" w:lineRule="auto"/>
              <w:ind w:firstLine="0"/>
              <w:jc w:val="left"/>
            </w:pPr>
            <w:r>
              <w:rPr>
                <w:rFonts w:ascii="Times New Roman" w:hAnsi="Times New Roman"/>
                <w:sz w:val="17"/>
              </w:rPr>
              <w:t xml:space="preserve">+0.028 [+0.021, +0.035]*</w:t>
            </w:r>
          </w:p>
        </w:tc>
        <w:tc>
          <w:tcPr/>
          <w:p>
            <w:pPr>
              <w:pStyle w:val="Compact"/>
              <w:spacing w:before="20" w:after="20" w:line="240" w:lineRule="auto"/>
              <w:ind w:firstLine="0"/>
              <w:jc w:val="left"/>
            </w:pPr>
            <w:r>
              <w:rPr>
                <w:rFonts w:ascii="Times New Roman" w:hAnsi="Times New Roman"/>
                <w:sz w:val="17"/>
              </w:rPr>
              <w:t xml:space="preserve">+0.004 [-0.008, +0.016]</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+0.015 [+0.013, +0.018]*</w:t>
            </w:r>
          </w:p>
        </w:tc>
        <w:tc>
          <w:tcPr/>
          <w:p>
            <w:pPr>
              <w:pStyle w:val="Compact"/>
              <w:spacing w:before="20" w:after="20" w:line="240" w:lineRule="auto"/>
              <w:ind w:firstLine="0"/>
              <w:jc w:val="left"/>
            </w:pPr>
            <w:r>
              <w:rPr>
                <w:rFonts w:ascii="Times New Roman" w:hAnsi="Times New Roman"/>
                <w:sz w:val="17"/>
              </w:rPr>
              <w:t xml:space="preserve">+0.011 [+0.009, +0.014]*</w:t>
            </w:r>
          </w:p>
        </w:tc>
        <w:tc>
          <w:tcPr/>
          <w:p>
            <w:pPr>
              <w:pStyle w:val="Compact"/>
              <w:spacing w:before="20" w:after="20" w:line="240" w:lineRule="auto"/>
              <w:ind w:firstLine="0"/>
              <w:jc w:val="left"/>
            </w:pPr>
            <w:r>
              <w:rPr>
                <w:rFonts w:ascii="Times New Roman" w:hAnsi="Times New Roman"/>
                <w:sz w:val="17"/>
              </w:rPr>
              <w:t xml:space="preserve">+0.004 [-0.001, +0.009]</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2.16*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0.124</w:t>
            </w:r>
          </w:p>
        </w:tc>
        <w:tc>
          <w:tcPr/>
          <w:p>
            <w:pPr>
              <w:pStyle w:val="Compact"/>
              <w:spacing w:before="20" w:after="20" w:line="240" w:lineRule="auto"/>
              <w:ind w:firstLine="0"/>
              <w:jc w:val="left"/>
            </w:pPr>
            <w:r>
              <w:rPr>
                <w:rFonts w:ascii="Times New Roman" w:hAnsi="Times New Roman"/>
                <w:sz w:val="17"/>
              </w:rPr>
              <w:t xml:space="preserve">+0.103 [+0.089, +0.118]*</w:t>
            </w:r>
          </w:p>
        </w:tc>
        <w:tc>
          <w:tcPr/>
          <w:p>
            <w:pPr>
              <w:pStyle w:val="Compact"/>
              <w:spacing w:before="20" w:after="20" w:line="240" w:lineRule="auto"/>
              <w:ind w:firstLine="0"/>
              <w:jc w:val="left"/>
            </w:pPr>
            <w:r>
              <w:rPr>
                <w:rFonts w:ascii="Times New Roman" w:hAnsi="Times New Roman"/>
                <w:sz w:val="17"/>
              </w:rPr>
              <w:t xml:space="preserve">+0.099 [+0.083, +0.115]*</w:t>
            </w:r>
          </w:p>
        </w:tc>
        <w:tc>
          <w:tcPr/>
          <w:p>
            <w:pPr>
              <w:pStyle w:val="Compact"/>
              <w:spacing w:before="20" w:after="20" w:line="240" w:lineRule="auto"/>
              <w:ind w:firstLine="0"/>
              <w:jc w:val="left"/>
            </w:pPr>
            <w:r>
              <w:rPr>
                <w:rFonts w:ascii="Times New Roman" w:hAnsi="Times New Roman"/>
                <w:sz w:val="17"/>
              </w:rPr>
              <w:t xml:space="preserve">+0.004 [-0.022, +0.030]</w:t>
            </w:r>
          </w:p>
        </w:tc>
        <w:tc>
          <w:tcPr/>
          <w:p>
            <w:pPr>
              <w:pStyle w:val="Compact"/>
              <w:spacing w:before="20" w:after="20" w:line="240" w:lineRule="auto"/>
              <w:ind w:firstLine="0"/>
              <w:jc w:val="left"/>
            </w:pPr>
            <w:r>
              <w:rPr>
                <w:rFonts w:ascii="Times New Roman" w:hAnsi="Times New Roman"/>
                <w:sz w:val="17"/>
              </w:rPr>
              <w:t xml:space="preserve">1.83*</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+0.080 [+0.072, +0.088]*</w:t>
            </w:r>
          </w:p>
        </w:tc>
        <w:tc>
          <w:tcPr/>
          <w:p>
            <w:pPr>
              <w:pStyle w:val="Compact"/>
              <w:spacing w:before="20" w:after="20" w:line="240" w:lineRule="auto"/>
              <w:ind w:firstLine="0"/>
              <w:jc w:val="left"/>
            </w:pPr>
            <w:r>
              <w:rPr>
                <w:rFonts w:ascii="Times New Roman" w:hAnsi="Times New Roman"/>
                <w:sz w:val="17"/>
              </w:rPr>
              <w:t xml:space="preserve">+0.077 [+0.069, +0.084]*</w:t>
            </w:r>
          </w:p>
        </w:tc>
        <w:tc>
          <w:tcPr/>
          <w:p>
            <w:pPr>
              <w:pStyle w:val="Compact"/>
              <w:spacing w:before="20" w:after="20" w:line="240" w:lineRule="auto"/>
              <w:ind w:firstLine="0"/>
              <w:jc w:val="left"/>
            </w:pPr>
            <w:r>
              <w:rPr>
                <w:rFonts w:ascii="Times New Roman" w:hAnsi="Times New Roman"/>
                <w:sz w:val="17"/>
              </w:rPr>
              <w:t xml:space="preserve">+0.003 [-0.010, +0.017]</w:t>
            </w:r>
          </w:p>
        </w:tc>
        <w:tc>
          <w:tcPr/>
          <w:p>
            <w:pPr>
              <w:pStyle w:val="Compact"/>
              <w:spacing w:before="20" w:after="20" w:line="240" w:lineRule="auto"/>
              <w:ind w:firstLine="0"/>
              <w:jc w:val="left"/>
            </w:pPr>
            <w:r>
              <w:rPr>
                <w:rFonts w:ascii="Times New Roman" w:hAnsi="Times New Roman"/>
                <w:sz w:val="17"/>
              </w:rPr>
              <w:t xml:space="preserve">10.43*</w:t>
            </w:r>
          </w:p>
        </w:tc>
        <w:tc>
          <w:tcPr/>
          <w:p>
            <w:pPr>
              <w:pStyle w:val="Compact"/>
              <w:spacing w:before="20" w:after="20" w:line="240" w:lineRule="auto"/>
              <w:ind w:firstLine="0"/>
              <w:jc w:val="left"/>
            </w:pPr>
            <w:r>
              <w:rPr>
                <w:rFonts w:ascii="Times New Roman" w:hAnsi="Times New Roman"/>
                <w:sz w:val="17"/>
              </w:rPr>
              <w:t xml:space="preserve">10.03*</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900 customers for GPT-4o-mini, Llama-3.3-70B, and Haiku 5.5, which were run on three seeds). Lift = probability with the email minus probability without it; gap = lift of the men’s email minus lift of the women’s email; intervals are 95% paired bootstrap intervals over customers (real values: normal approximation). RR = risk ratio; for the models run on three seeds it is the mean of the three per-seed ratios, and the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49" name="Picture"/>
            <a:graphic>
              <a:graphicData uri="http://schemas.openxmlformats.org/drawingml/2006/picture">
                <pic:pic>
                  <pic:nvPicPr>
                    <pic:cNvPr descr="fig2_lift.png" id="50" name="Picture"/>
                    <pic:cNvPicPr>
                      <a:picLocks noChangeArrowheads="1" noChangeAspect="1"/>
                    </pic:cNvPicPr>
                  </pic:nvPicPr>
                  <pic:blipFill>
                    <a:blip r:embed="rId48"/>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but its interval includes or touches one in two (GPT-4o-mini with the anchor for visits, 1.01 [1.00, 1.03], where the model answered about 10% regardless of the email, and Sonnet 5 with the anchor for purchases, 1.09 [0.96, 1.25]), and Llama with the anchor gave a risk ratio below one in the yes/no format for visits (0.60 to 0.69 in all three seeds). For the three models run on three seeds, the risk ratio exceeded one in all 24 cells of the two further seeds (smallest lower bound 1.00). Second, the size of the visit effect depends on the model and the prompt. In 4 of 16 configurations the lift for the men’s email is statistically consistent with the real +0.077 (Llama-3.3-70B, Haiku 5.5, and Mistral Large 4 without the anchor, and GPT-5.6-terra with it); five are less than half as large (for example Sonnet 5 with the anchor, +0.025),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10 and by up to 25 (for example +0.169 for GPT-4o-mini without the anchor). The one exception is Sonnet 5 with the anchor, whose purchase lift (+0.004, interval -0.002 to +0.010) is consistent with the real one; but this model rates the visit lift at only 0.3 times the real value and its no-email purchase probability (0.046)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none has a gap interval that excludes zero in the right direction. The point estimate of the gap is positive in only 15 cells, the largest simulated visit gap is +0.013, and in three cells (Haiku 5.5 without the anchor for visits, and GPT-4o-mini in both prompt variants for purchases) the women’s email is rated significantly higher.</w:t>
      </w:r>
    </w:p>
    <w:p>
      <w:pPr>
        <w:pStyle w:val="BodyText"/>
      </w:pPr>
      <w:r>
        <w:t xml:space="preserve">Direct yes/no answers are not usable for rare events. In 15 of 32 yes/no cells of the first seed (and in 13 of 24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+0.007 to +0.55, up to 80 times the real lift.</w:t>
      </w:r>
    </w:p>
    <w:bookmarkEnd w:id="51"/>
    <w:bookmarkStart w:id="52" w:name="summary-of-hypotheses"/>
    <w:p>
      <w:pPr>
        <w:pStyle w:val="Heading2"/>
      </w:pPr>
      <w:r>
        <w:t xml:space="preserve">5.7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two DeepSeek-V4-Pro and Sonnet 5 cells without the anchor), 48 of 48 (high mean), and 43 of 48 (demographic personas, where design C often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4 of 16 high-mean cells, and reaches it in 9 of 16 cells with demographic personas. Zero shares are too low where the real share is large (0.74 and 0.19) but close to the real value where it is small (0.03; 11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Supported with a qualification. It matches the reference ratio in 35 of 48 cells (7 of 16, 15 of 16, 13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12 of 48 (5, 5, 2) because the model’s mean is often wrong. Sonnet 5 reproduces all four in both prompt variants in the high-mean setting.</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tenfold). Not for visits: 4 of 16 are consistent with the real value, 5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only 3 of 32 cells, and in all three the sign is the opposite of the real one.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44 of 48 cells; the four exceptions are DeepSeek-V4-Pro or Mistral Large 4 without the anchor). Partly for the hybrid design, whose accuracy follows the model’s mean (best for Sonnet 5 in the high-mean setting).</w:t>
            </w:r>
          </w:p>
        </w:tc>
      </w:tr>
    </w:tbl>
    <w:p>
      <w:pPr>
        <w:pStyle w:val="BodyText"/>
        <w:spacing w:line="240" w:lineRule="auto"/>
        <w:ind w:firstLine="0"/>
      </w:pPr>
      <w:r>
        <w:rPr>
          <w:iCs/>
          <w:i/>
        </w:rPr>
        <w:t xml:space="preserve">Table 5. Hypotheses and evidence.</w:t>
      </w:r>
    </w:p>
    <w:bookmarkEnd w:id="52"/>
    <w:bookmarkEnd w:id="53"/>
    <w:bookmarkStart w:id="59" w:name="discussion"/>
    <w:p>
      <w:pPr>
        <w:pStyle w:val="Heading1"/>
      </w:pPr>
      <w:r>
        <w:t xml:space="preserve">6. Discussion</w:t>
      </w:r>
    </w:p>
    <w:bookmarkStart w:id="54"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at most 1.00 in 44 of 48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Mistral Large 4) do not escape the collapse of direct answers, but the better ones supply a more accurate mean, and the hybrid design then works well (Sonnet 5 in the high-mean setting).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p>
      <w:pPr>
        <w:pStyle w:val="BodyText"/>
      </w:pPr>
      <w:r>
        <w:t xml:space="preserve">A further implication concerns the limits of AI-based decision support and of the</w:t>
      </w:r>
      <w:r>
        <w:t xml:space="preserve"> </w:t>
      </w:r>
      <w:r>
        <w:t xml:space="preserve">“</w:t>
      </w:r>
      <w:r>
        <w:t xml:space="preserve">digital twin</w:t>
      </w:r>
      <w:r>
        <w:t xml:space="preserve">”</w:t>
      </w:r>
      <w:r>
        <w:t xml:space="preserve"> </w:t>
      </w:r>
      <w:r>
        <w:t xml:space="preserve">idea. A twin is usually understood as a replica that can stand in for the original in a decision. Our evidence supports a narrower reading. At the level of the individual customer, the demographic personas carried almost no information about real counts (rank correlations between -0.17 and +0.16),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tail, and the absolute size of an effect. We view this as the main point for information systems research on generative AI in decision support. Evaluation should be stated in terms of the decision-relevant properties of the artifact’s output, because fluency and aggregate plausibility, which are what users see, do not indicate them.</w:t>
      </w:r>
    </w:p>
    <w:bookmarkEnd w:id="54"/>
    <w:bookmarkStart w:id="55"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35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w:t>
      </w:r>
      <w:r>
        <w:t xml:space="preserve"> </w:t>
      </w:r>
      <w:r>
        <w:t xml:space="preserve">The mean from the model was the bottleneck of the hybrid design (matching the reference in only 20 of 48 cells). A rescaling of the model’s rate against a historical customer file is a natural step that we did not test.</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5"/>
    <w:bookmarkStart w:id="56" w:name="implications-for-practice"/>
    <w:p>
      <w:pPr>
        <w:pStyle w:val="Heading2"/>
      </w:pPr>
      <w:r>
        <w:t xml:space="preserve">6.3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 and in our data the mean matched the reference in only 20 of 48 hybrid cells.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0.065,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6"/>
    <w:bookmarkStart w:id="57" w:name="X94616b3a30dccc1fe21684587130f01609b39ab"/>
    <w:p>
      <w:pPr>
        <w:pStyle w:val="Heading2"/>
      </w:pPr>
      <w:r>
        <w:t xml:space="preserve">6.4 Organizational implications: validating and using synthetic data in marketing analytics systems</w:t>
      </w:r>
    </w:p>
    <w:p>
      <w:pPr>
        <w:pStyle w:val="FirstParagraph"/>
      </w:pPr>
      <w:r>
        <w:t xml:space="preserve">The findings have implications for how organizations that run marketing analytics systems should treat synthetic customers. We state them as recommendations that follow from our evidence and from the artifact view; we did not test them in an organization.</w:t>
      </w:r>
    </w:p>
    <w:p>
      <w:pPr>
        <w:pStyle w:val="BodyText"/>
      </w:pPr>
      <w:r>
        <w:rPr>
          <w:iCs/>
          <w:i/>
        </w:rPr>
        <w:t xml:space="preserve">Treat validation as an acceptance gate, not an afterthought.</w:t>
      </w:r>
      <w:r>
        <w:t xml:space="preserve"> </w:t>
      </w:r>
      <w:r>
        <w:t xml:space="preserve">Before synthetic customers enter a planning process, the system should pass a standing acceptance test against the organization’s own history: level, variance-to-mean ratio, zero share, and, where a past randomized test exists, the absolute lift. The reference values come from the customer file and the experiment archive that the marketing analytics team already holds. This puts a concrete interface between two functions. The marketing team owns the reference data and the decision requirements, and the information systems team owns the pipeline, the model versions, and the calibration step.</w:t>
      </w:r>
    </w:p>
    <w:p>
      <w:pPr>
        <w:pStyle w:val="BodyText"/>
      </w:pPr>
      <w:r>
        <w:rPr>
          <w:iCs/>
          <w:i/>
        </w:rPr>
        <w:t xml:space="preserve">Re-validate when the model changes.</w:t>
      </w:r>
      <w:r>
        <w:t xml:space="preserve"> </w:t>
      </w:r>
      <w:r>
        <w:t xml:space="preserve">The eight models we tested differed widely in the same design, for example in the mean they implied and in how they reacted to a stated base rate, and the same model reacted differently to different prompt context. A vendor update or a switch of model or provider should therefore trigger the acceptance test again, in the same way that a schema change triggers regression tests in other systems. The same applies to changes in the prompt template.</w:t>
      </w:r>
    </w:p>
    <w:p>
      <w:pPr>
        <w:pStyle w:val="BodyText"/>
      </w:pPr>
      <w:r>
        <w:rPr>
          <w:iCs/>
          <w:i/>
        </w:rPr>
        <w:t xml:space="preserve">Use synthetic data where its errors do the least harm.</w:t>
      </w:r>
      <w:r>
        <w:t xml:space="preserve"> </w:t>
      </w:r>
      <w:r>
        <w:t xml:space="preserve">The designs we studied reproduced the sign of a promotion effect in nearly all cases, but not its size. Synthetic customers are therefore better suited to screening and ranking options, or to generating hypotheses, than to sizing a campaign or computing revenue. A randomized holdout test remains the standard for the latter, and the stylized example in Section 6.3 shows what is at risk if that standard is skipped.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 We did not study this risk empirically; it follows from the finding that the spread is the property that is lost.</w:t>
      </w:r>
    </w:p>
    <w:p>
      <w:pPr>
        <w:pStyle w:val="BodyText"/>
      </w:pPr>
      <w:r>
        <w:rPr>
          <w:iCs/>
          <w:i/>
        </w:rPr>
        <w:t xml:space="preserve">Weigh the savings against the cost of a wrong decision.</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therefore not the simulation but the decision made on its output, and the governance effort should be proportional to the value of that decision.</w:t>
      </w:r>
    </w:p>
    <w:p>
      <w:pPr>
        <w:pStyle w:val="BodyText"/>
      </w:pPr>
      <w:r>
        <w:rPr>
          <w:iCs/>
          <w:i/>
        </w:rPr>
        <w:t xml:space="preserve">Build the loop that corrects the system.</w:t>
      </w:r>
      <w:r>
        <w:t xml:space="preserve"> </w:t>
      </w:r>
      <w:r>
        <w:t xml:space="preserve">Each randomized test that the organization runs is also a calibration data point for its simulator. A system that stores the simulated and the realized lift for each past campaign can track its own bias over time and adjust the calibration step, which turns an occasional validation into a continuing feedback process.</w:t>
      </w:r>
    </w:p>
    <w:bookmarkEnd w:id="57"/>
    <w:bookmarkStart w:id="58" w:name="limitations-and-future-research"/>
    <w:p>
      <w:pPr>
        <w:pStyle w:val="Heading2"/>
      </w:pPr>
      <w:r>
        <w:t xml:space="preserve">6.5 Limitations and future research</w:t>
      </w:r>
    </w:p>
    <w:p>
      <w:pPr>
        <w:pStyle w:val="FirstParagraph"/>
      </w:pPr>
      <w:r>
        <w:t xml:space="preserve">The evidence is preliminary. The five newer models were run on a single random seed, and every design has one prompt wording, so our intervals capture the sampling of customers but not variation across prompts. For the three models that we repeated on three seeds, the qualitative conclusions did not change, and the per-seed variance-to-mean ratios of the direct and daily designs differ by at most 0.11 and 0.20; the ratio of the describe design varies by up to 2.1 and that of the hybrid by up to 4.2 across seeds in the high-mean settings, which is why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58"/>
    <w:bookmarkEnd w:id="59"/>
    <w:bookmarkStart w:id="60"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 For the design of such systems, the evidence points to separating the level, which the model can supply, from the spread, which must come from an external calibrated source, and to evaluating the artifact against the decision it is meant to support.</w:t>
      </w:r>
    </w:p>
    <w:bookmarkEnd w:id="60"/>
    <w:bookmarkStart w:id="61"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61"/>
    <w:bookmarkStart w:id="62"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2"/>
    <w:bookmarkStart w:id="63"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1.33*</w:t>
            </w:r>
          </w:p>
        </w:tc>
        <w:tc>
          <w:tcPr/>
          <w:p>
            <w:pPr>
              <w:pStyle w:val="Compact"/>
              <w:spacing w:before="20" w:after="20" w:line="240" w:lineRule="auto"/>
              <w:ind w:firstLine="0"/>
              <w:jc w:val="left"/>
            </w:pPr>
            <w:r>
              <w:rPr>
                <w:rFonts w:ascii="Times New Roman" w:hAnsi="Times New Roman"/>
                <w:sz w:val="17"/>
              </w:rPr>
              <w:t xml:space="preserve">0.86*</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3.12*</w:t>
            </w:r>
          </w:p>
        </w:tc>
        <w:tc>
          <w:tcPr/>
          <w:p>
            <w:pPr>
              <w:pStyle w:val="Compact"/>
              <w:spacing w:before="20" w:after="20" w:line="240" w:lineRule="auto"/>
              <w:ind w:firstLine="0"/>
              <w:jc w:val="left"/>
            </w:pPr>
            <w:r>
              <w:rPr>
                <w:rFonts w:ascii="Times New Roman" w:hAnsi="Times New Roman"/>
                <w:sz w:val="17"/>
              </w:rPr>
              <w:t xml:space="preserve">2.96*</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1.70*</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2.02*</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1.56*</w:t>
            </w:r>
          </w:p>
        </w:tc>
        <w:tc>
          <w:tcPr/>
          <w:p>
            <w:pPr>
              <w:pStyle w:val="Compact"/>
              <w:spacing w:before="20" w:after="20" w:line="240" w:lineRule="auto"/>
              <w:ind w:firstLine="0"/>
              <w:jc w:val="left"/>
            </w:pPr>
            <w:r>
              <w:rPr>
                <w:rFonts w:ascii="Times New Roman" w:hAnsi="Times New Roman"/>
                <w:sz w:val="17"/>
              </w:rPr>
              <w:t xml:space="preserve">1.16*</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2.19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2.15*</w:t>
            </w:r>
          </w:p>
        </w:tc>
        <w:tc>
          <w:tcPr/>
          <w:p>
            <w:pPr>
              <w:pStyle w:val="Compact"/>
              <w:spacing w:before="20" w:after="20" w:line="240" w:lineRule="auto"/>
              <w:ind w:firstLine="0"/>
              <w:jc w:val="left"/>
            </w:pPr>
            <w:r>
              <w:rPr>
                <w:rFonts w:ascii="Times New Roman" w:hAnsi="Times New Roman"/>
                <w:sz w:val="17"/>
              </w:rPr>
              <w:t xml:space="preserve">18.37*</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8.06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0.30*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2.66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4.06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0.83*</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-0.04*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2.92</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3.50*</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0.38*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0.79</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2.56</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0.68*</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1.01*</w:t>
            </w:r>
          </w:p>
        </w:tc>
        <w:tc>
          <w:tcPr/>
          <w:p>
            <w:pPr>
              <w:pStyle w:val="Compact"/>
              <w:spacing w:before="20" w:after="20" w:line="240" w:lineRule="auto"/>
              <w:ind w:firstLine="0"/>
              <w:jc w:val="left"/>
            </w:pPr>
            <w:r>
              <w:rPr>
                <w:rFonts w:ascii="Times New Roman" w:hAnsi="Times New Roman"/>
                <w:sz w:val="17"/>
              </w:rPr>
              <w:t xml:space="preserve">1.31*</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1.46*</w:t>
            </w:r>
          </w:p>
        </w:tc>
        <w:tc>
          <w:tcPr/>
          <w:p>
            <w:pPr>
              <w:pStyle w:val="Compact"/>
              <w:spacing w:before="20" w:after="20" w:line="240" w:lineRule="auto"/>
              <w:ind w:firstLine="0"/>
              <w:jc w:val="left"/>
            </w:pPr>
            <w:r>
              <w:rPr>
                <w:rFonts w:ascii="Times New Roman" w:hAnsi="Times New Roman"/>
                <w:sz w:val="17"/>
              </w:rPr>
              <w:t xml:space="preserve">0.80</w:t>
            </w:r>
          </w:p>
        </w:tc>
        <w:tc>
          <w:tcPr/>
          <w:p>
            <w:pPr>
              <w:pStyle w:val="Compact"/>
              <w:spacing w:before="20" w:after="20" w:line="240" w:lineRule="auto"/>
              <w:ind w:firstLine="0"/>
              <w:jc w:val="left"/>
            </w:pPr>
            <w:r>
              <w:rPr>
                <w:rFonts w:ascii="Times New Roman" w:hAnsi="Times New Roman"/>
                <w:sz w:val="17"/>
              </w:rPr>
              <w:t xml:space="preserve">1.67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2.67</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3.67</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10.22*</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9.99</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8.19*</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4.41*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4.94</w:t>
            </w:r>
          </w:p>
        </w:tc>
        <w:tc>
          <w:tcPr/>
          <w:p>
            <w:pPr>
              <w:pStyle w:val="Compact"/>
              <w:spacing w:before="20" w:after="20" w:line="240" w:lineRule="auto"/>
              <w:ind w:firstLine="0"/>
              <w:jc w:val="left"/>
            </w:pPr>
            <w:r>
              <w:rPr>
                <w:rFonts w:ascii="Times New Roman" w:hAnsi="Times New Roman"/>
                <w:sz w:val="17"/>
              </w:rPr>
              <w:t xml:space="preserve">8.87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7.56*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0.61*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10.65</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3.70*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4.67</w:t>
            </w:r>
          </w:p>
        </w:tc>
        <w:tc>
          <w:tcPr/>
          <w:p>
            <w:pPr>
              <w:pStyle w:val="Compact"/>
              <w:spacing w:before="20" w:after="20" w:line="240" w:lineRule="auto"/>
              <w:ind w:firstLine="0"/>
              <w:jc w:val="left"/>
            </w:pPr>
            <w:r>
              <w:rPr>
                <w:rFonts w:ascii="Times New Roman" w:hAnsi="Times New Roman"/>
                <w:sz w:val="17"/>
              </w:rPr>
              <w:t xml:space="preserve">10.85</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2.11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3.85*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7.87*</w:t>
            </w:r>
          </w:p>
        </w:tc>
        <w:tc>
          <w:tcPr/>
          <w:p>
            <w:pPr>
              <w:pStyle w:val="Compact"/>
              <w:spacing w:before="20" w:after="20" w:line="240" w:lineRule="auto"/>
              <w:ind w:firstLine="0"/>
              <w:jc w:val="left"/>
            </w:pPr>
            <w:r>
              <w:rPr>
                <w:rFonts w:ascii="Times New Roman" w:hAnsi="Times New Roman"/>
                <w:sz w:val="17"/>
              </w:rPr>
              <w:t xml:space="preserve">11.54</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1.34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5.20*</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5.24</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6.69*</w:t>
            </w:r>
          </w:p>
        </w:tc>
        <w:tc>
          <w:tcPr/>
          <w:p>
            <w:pPr>
              <w:pStyle w:val="Compact"/>
              <w:spacing w:before="20" w:after="20" w:line="240" w:lineRule="auto"/>
              <w:ind w:firstLine="0"/>
              <w:jc w:val="left"/>
            </w:pPr>
            <w:r>
              <w:rPr>
                <w:rFonts w:ascii="Times New Roman" w:hAnsi="Times New Roman"/>
                <w:sz w:val="17"/>
              </w:rPr>
              <w:t xml:space="preserve">7.34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11.82*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6.24*</w:t>
            </w:r>
          </w:p>
        </w:tc>
        <w:tc>
          <w:tcPr/>
          <w:p>
            <w:pPr>
              <w:pStyle w:val="Compact"/>
              <w:spacing w:before="20" w:after="20" w:line="240" w:lineRule="auto"/>
              <w:ind w:firstLine="0"/>
              <w:jc w:val="left"/>
            </w:pPr>
            <w:r>
              <w:rPr>
                <w:rFonts w:ascii="Times New Roman" w:hAnsi="Times New Roman"/>
                <w:sz w:val="17"/>
              </w:rPr>
              <w:t xml:space="preserve">3.52*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7.57*</w:t>
            </w:r>
          </w:p>
        </w:tc>
        <w:tc>
          <w:tcPr/>
          <w:p>
            <w:pPr>
              <w:pStyle w:val="Compact"/>
              <w:spacing w:before="20" w:after="20" w:line="240" w:lineRule="auto"/>
              <w:ind w:firstLine="0"/>
              <w:jc w:val="left"/>
            </w:pPr>
            <w:r>
              <w:rPr>
                <w:rFonts w:ascii="Times New Roman" w:hAnsi="Times New Roman"/>
                <w:sz w:val="17"/>
              </w:rPr>
              <w:t xml:space="preserve">13.01</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3.18*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7.02</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8.59*</w:t>
            </w:r>
          </w:p>
        </w:tc>
        <w:tc>
          <w:tcPr/>
          <w:p>
            <w:pPr>
              <w:pStyle w:val="Compact"/>
              <w:spacing w:before="20" w:after="20" w:line="240" w:lineRule="auto"/>
              <w:ind w:firstLine="0"/>
              <w:jc w:val="left"/>
            </w:pPr>
            <w:r>
              <w:rPr>
                <w:rFonts w:ascii="Times New Roman" w:hAnsi="Times New Roman"/>
                <w:sz w:val="17"/>
              </w:rPr>
              <w:t xml:space="preserve">2.38*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7.79*</w:t>
            </w:r>
          </w:p>
        </w:tc>
        <w:tc>
          <w:tcPr/>
          <w:p>
            <w:pPr>
              <w:pStyle w:val="Compact"/>
              <w:spacing w:before="20" w:after="20" w:line="240" w:lineRule="auto"/>
              <w:ind w:firstLine="0"/>
              <w:jc w:val="left"/>
            </w:pPr>
            <w:r>
              <w:rPr>
                <w:rFonts w:ascii="Times New Roman" w:hAnsi="Times New Roman"/>
                <w:sz w:val="17"/>
              </w:rPr>
              <w:t xml:space="preserve">4.39*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6.22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8.22*</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1.64</w:t>
            </w:r>
          </w:p>
        </w:tc>
      </w:tr>
    </w:tbl>
    <w:p>
      <w:pPr>
        <w:pStyle w:val="BodyText"/>
        <w:spacing w:line="240" w:lineRule="auto"/>
        <w:ind w:firstLine="0"/>
      </w:pPr>
      <w:r>
        <w:rPr>
          <w:iCs/>
          <w:i/>
        </w:rPr>
        <w:t xml:space="preserve">Table B2. High-mean setting, 200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10.51*</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6.33*</w:t>
            </w:r>
          </w:p>
        </w:tc>
        <w:tc>
          <w:tcPr/>
          <w:p>
            <w:pPr>
              <w:pStyle w:val="Compact"/>
              <w:spacing w:before="20" w:after="20" w:line="240" w:lineRule="auto"/>
              <w:ind w:firstLine="0"/>
              <w:jc w:val="left"/>
            </w:pPr>
            <w:r>
              <w:rPr>
                <w:rFonts w:ascii="Times New Roman" w:hAnsi="Times New Roman"/>
                <w:sz w:val="17"/>
              </w:rPr>
              <w:t xml:space="preserve">3.87*</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4.72*</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6.78*</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10.27*</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6.89*</w:t>
            </w:r>
          </w:p>
        </w:tc>
        <w:tc>
          <w:tcPr/>
          <w:p>
            <w:pPr>
              <w:pStyle w:val="Compact"/>
              <w:spacing w:before="20" w:after="20" w:line="240" w:lineRule="auto"/>
              <w:ind w:firstLine="0"/>
              <w:jc w:val="left"/>
            </w:pPr>
            <w:r>
              <w:rPr>
                <w:rFonts w:ascii="Times New Roman" w:hAnsi="Times New Roman"/>
                <w:sz w:val="17"/>
              </w:rPr>
              <w:t xml:space="preserve">4.16*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8.58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8.46*</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6.66*</w:t>
            </w:r>
          </w:p>
        </w:tc>
        <w:tc>
          <w:tcPr/>
          <w:p>
            <w:pPr>
              <w:pStyle w:val="Compact"/>
              <w:spacing w:before="20" w:after="20" w:line="240" w:lineRule="auto"/>
              <w:ind w:firstLine="0"/>
              <w:jc w:val="left"/>
            </w:pPr>
            <w:r>
              <w:rPr>
                <w:rFonts w:ascii="Times New Roman" w:hAnsi="Times New Roman"/>
                <w:sz w:val="17"/>
              </w:rPr>
              <w:t xml:space="preserve">3.80*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5.29</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8.79*</w:t>
            </w:r>
          </w:p>
        </w:tc>
        <w:tc>
          <w:tcPr/>
          <w:p>
            <w:pPr>
              <w:pStyle w:val="Compact"/>
              <w:spacing w:before="20" w:after="20" w:line="240" w:lineRule="auto"/>
              <w:ind w:firstLine="0"/>
              <w:jc w:val="left"/>
            </w:pPr>
            <w:r>
              <w:rPr>
                <w:rFonts w:ascii="Times New Roman" w:hAnsi="Times New Roman"/>
                <w:sz w:val="17"/>
              </w:rPr>
              <w:t xml:space="preserve">4.95*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8.24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8.68*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0.32*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6.37*</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6.51*</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4.06*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6.99</w:t>
            </w:r>
          </w:p>
        </w:tc>
        <w:tc>
          <w:tcPr/>
          <w:p>
            <w:pPr>
              <w:pStyle w:val="Compact"/>
              <w:spacing w:before="20" w:after="20" w:line="240" w:lineRule="auto"/>
              <w:ind w:firstLine="0"/>
              <w:jc w:val="left"/>
            </w:pPr>
            <w:r>
              <w:rPr>
                <w:rFonts w:ascii="Times New Roman" w:hAnsi="Times New Roman"/>
                <w:sz w:val="17"/>
              </w:rPr>
              <w:t xml:space="preserve">6.08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6.25*</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0.34*</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7.16</w:t>
            </w:r>
          </w:p>
        </w:tc>
        <w:tc>
          <w:tcPr/>
          <w:p>
            <w:pPr>
              <w:pStyle w:val="Compact"/>
              <w:spacing w:before="20" w:after="20" w:line="240" w:lineRule="auto"/>
              <w:ind w:firstLine="0"/>
              <w:jc w:val="left"/>
            </w:pPr>
            <w:r>
              <w:rPr>
                <w:rFonts w:ascii="Times New Roman" w:hAnsi="Times New Roman"/>
                <w:sz w:val="17"/>
              </w:rPr>
              <w:t xml:space="preserve">7.58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0.92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5.75*</w:t>
            </w:r>
          </w:p>
        </w:tc>
        <w:tc>
          <w:tcPr/>
          <w:p>
            <w:pPr>
              <w:pStyle w:val="Compact"/>
              <w:spacing w:before="20" w:after="20" w:line="240" w:lineRule="auto"/>
              <w:ind w:firstLine="0"/>
              <w:jc w:val="left"/>
            </w:pPr>
            <w:r>
              <w:rPr>
                <w:rFonts w:ascii="Times New Roman" w:hAnsi="Times New Roman"/>
                <w:sz w:val="17"/>
              </w:rPr>
              <w:t xml:space="preserve">5.18</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6.30</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9.68*</w:t>
            </w:r>
          </w:p>
        </w:tc>
        <w:tc>
          <w:tcPr/>
          <w:p>
            <w:pPr>
              <w:pStyle w:val="Compact"/>
              <w:spacing w:before="20" w:after="20" w:line="240" w:lineRule="auto"/>
              <w:ind w:firstLine="0"/>
              <w:jc w:val="left"/>
            </w:pPr>
            <w:r>
              <w:rPr>
                <w:rFonts w:ascii="Times New Roman" w:hAnsi="Times New Roman"/>
                <w:sz w:val="17"/>
              </w:rPr>
              <w:t xml:space="preserve">1.32*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6.79*</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3.97*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7.38*</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8.84*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6.23*</w:t>
            </w:r>
          </w:p>
        </w:tc>
        <w:tc>
          <w:tcPr/>
          <w:p>
            <w:pPr>
              <w:pStyle w:val="Compact"/>
              <w:spacing w:before="20" w:after="20" w:line="240" w:lineRule="auto"/>
              <w:ind w:firstLine="0"/>
              <w:jc w:val="left"/>
            </w:pPr>
            <w:r>
              <w:rPr>
                <w:rFonts w:ascii="Times New Roman" w:hAnsi="Times New Roman"/>
                <w:sz w:val="17"/>
              </w:rPr>
              <w:t xml:space="preserve">5.39</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5.19*</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0.90</w:t>
            </w:r>
          </w:p>
        </w:tc>
      </w:tr>
    </w:tbl>
    <w:p>
      <w:pPr>
        <w:pStyle w:val="BodyText"/>
        <w:spacing w:line="240" w:lineRule="auto"/>
        <w:ind w:firstLine="0"/>
      </w:pPr>
      <w:r>
        <w:rPr>
          <w:iCs/>
          <w:i/>
        </w:rPr>
        <w:t xml:space="preserve">Table B3. Persona experiment with real household demographics, 200 households per cell. Reference row: real distribution of the 801 households (10,413 household-windows). * the 95% bootstrap interval excludes the reference value.</w:t>
      </w:r>
    </w:p>
    <w:bookmarkEnd w:id="63"/>
    <w:bookmarkStart w:id="64"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image" Target="media/rId40.png"/><Relationship Id="rId48" Type="http://schemas.openxmlformats.org/officeDocument/2006/relationships/image" Target="media/rId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2026-10-17T05:59:33Z</dcterms:created>
  <dcterms:modified xsi:type="dcterms:W3CDTF">2026-10-17T05:59:33Z</dcterms:modified>
</cp:coreProperties>
</file>

<file path=docProps/custom.xml><?xml version="1.0" encoding="utf-8"?>
<Properties xmlns="http://schemas.openxmlformats.org/officeDocument/2006/custom-properties" xmlns:vt="http://schemas.openxmlformats.org/officeDocument/2006/docPropsVTypes"/>
</file>