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Appendix</w:t>
      </w:r>
    </w:p>
    <w:p>
      <w:pPr>
        <w:pStyle w:val="BodyText"/>
      </w:pPr>
      <w:r>
        <w:rPr>
          <w:bCs/>
          <w:b/>
        </w:rPr>
        <w:t xml:space="preserve">Do Influencers Pay? Limited Attention, Engagement Elasticity, and Simulation-Based Pre-Tests for Seeding Decisions</w:t>
      </w:r>
    </w:p>
    <w:p>
      <w:pPr>
        <w:pStyle w:val="BodyText"/>
      </w:pPr>
      <w:r>
        <w:rPr>
          <w:iCs/>
          <w:i/>
        </w:rPr>
        <w:t xml:space="preserve">Contents</w:t>
      </w:r>
    </w:p>
    <w:p>
      <w:pPr>
        <w:pStyle w:val="BodyText"/>
      </w:pPr>
      <w:r>
        <w:t xml:space="preserve">Web Appendix A: Simulation Settings and Assumptions … 2</w:t>
      </w:r>
    </w:p>
    <w:p>
      <w:pPr>
        <w:pStyle w:val="BodyText"/>
      </w:pPr>
      <w:r>
        <w:t xml:space="preserve">Web Appendix B: Validation of the Estimation Procedure on Synthetic Data … 4</w:t>
      </w:r>
    </w:p>
    <w:p>
      <w:pPr>
        <w:pStyle w:val="BodyText"/>
      </w:pPr>
      <w:r>
        <w:t xml:space="preserve">Web Appendix C: Additional Estimates of the Engagement Elasticity … 6</w:t>
      </w:r>
    </w:p>
    <w:p>
      <w:pPr>
        <w:pStyle w:val="BodyText"/>
      </w:pPr>
      <w:r>
        <w:rPr>
          <w:iCs/>
          <w:i/>
        </w:rPr>
        <w:t xml:space="preserve">These materials have been supplied by the authors to aid in the understanding of their paper. The AMA is sharing these materials at the request of the authors.</w:t>
      </w:r>
    </w:p>
    <w:p>
      <w:r>
        <w:br w:type="page"/>
      </w:r>
    </w:p>
    <w:bookmarkStart w:id="20" w:name="Xa128b3d5cf9558005a2d24ee528c6750546f8c6"/>
    <w:p>
      <w:pPr>
        <w:pStyle w:val="Heading1"/>
      </w:pPr>
      <w:r>
        <w:t xml:space="preserve">Web Appendix A: Simulation Settings and Assumptions</w:t>
      </w:r>
    </w:p>
    <w:p>
      <w:pPr>
        <w:pStyle w:val="FirstParagraph"/>
      </w:pPr>
      <w:r>
        <w:rPr>
          <w:bCs/>
          <w:b/>
        </w:rPr>
        <w:t xml:space="preserve">Table W1. Simulation Parameters and Assumptions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Remarks</w:t>
            </w:r>
          </w:p>
        </w:tc>
      </w:tr>
      <w:tr>
        <w:tc>
          <w:tcPr/>
          <w:p>
            <w:pPr>
              <w:pStyle w:val="Compact"/>
              <w:jc w:val="left"/>
            </w:pPr>
            <w:r>
              <w:t xml:space="preserve">Stimulus scale κ</w:t>
            </w:r>
          </w:p>
        </w:tc>
        <w:tc>
          <w:tcPr/>
          <w:p>
            <w:pPr>
              <w:pStyle w:val="Compact"/>
              <w:jc w:val="left"/>
            </w:pPr>
            <w:r>
              <w:t xml:space="preserve">0.16</w:t>
            </w:r>
          </w:p>
        </w:tc>
        <w:tc>
          <w:tcPr/>
          <w:p>
            <w:pPr>
              <w:pStyle w:val="Compact"/>
              <w:jc w:val="left"/>
            </w:pPr>
            <w:r>
              <w:t xml:space="preserve">Set manually</w:t>
            </w:r>
          </w:p>
        </w:tc>
      </w:tr>
      <w:tr>
        <w:tc>
          <w:tcPr/>
          <w:p>
            <w:pPr>
              <w:pStyle w:val="Compact"/>
              <w:jc w:val="left"/>
            </w:pPr>
            <w:r>
              <w:t xml:space="preserve">Stimulus decay τ</w:t>
            </w:r>
          </w:p>
        </w:tc>
        <w:tc>
          <w:tcPr/>
          <w:p>
            <w:pPr>
              <w:pStyle w:val="Compact"/>
              <w:jc w:val="left"/>
            </w:pPr>
            <w:r>
              <w:t xml:space="preserve">1 hour</w:t>
            </w:r>
          </w:p>
        </w:tc>
        <w:tc>
          <w:tcPr/>
          <w:p>
            <w:pPr>
              <w:pStyle w:val="Compact"/>
              <w:jc w:val="left"/>
            </w:pPr>
            <w:r>
              <w:t xml:space="preserve">Single exponential</w:t>
            </w:r>
          </w:p>
        </w:tc>
      </w:tr>
      <w:tr>
        <w:tc>
          <w:tcPr/>
          <w:p>
            <w:pPr>
              <w:pStyle w:val="Compact"/>
              <w:jc w:val="left"/>
            </w:pPr>
            <w:r>
              <w:t xml:space="preserve">Stimulus cap S</w:t>
            </w:r>
            <w:r>
              <w:rPr>
                <w:vertAlign w:val="subscript"/>
              </w:rPr>
              <w:t xml:space="preserve">max</w:t>
            </w:r>
          </w:p>
        </w:tc>
        <w:tc>
          <w:tcPr/>
          <w:p>
            <w:pPr>
              <w:pStyle w:val="Compact"/>
              <w:jc w:val="left"/>
            </w:pPr>
            <w:r>
              <w:t xml:space="preserve">3.0</w:t>
            </w:r>
          </w:p>
        </w:tc>
        <w:tc>
          <w:tcPr/>
          <w:p>
            <w:pPr>
              <w:pStyle w:val="Compact"/>
              <w:jc w:val="left"/>
            </w:pPr>
            <w:r>
              <w:t xml:space="preserve">Synthetic saturation</w:t>
            </w:r>
          </w:p>
        </w:tc>
      </w:tr>
      <w:tr>
        <w:tc>
          <w:tcPr/>
          <w:p>
            <w:pPr>
              <w:pStyle w:val="Compact"/>
              <w:jc w:val="left"/>
            </w:pPr>
            <w:r>
              <w:t xml:space="preserve">Base exposure probability</w:t>
            </w:r>
          </w:p>
        </w:tc>
        <w:tc>
          <w:tcPr/>
          <w:p>
            <w:pPr>
              <w:pStyle w:val="Compact"/>
              <w:jc w:val="left"/>
            </w:pPr>
            <w:r>
              <w:t xml:space="preserve">0.5</w:t>
            </w:r>
          </w:p>
        </w:tc>
        <w:tc>
          <w:tcPr/>
          <w:p>
            <w:pPr>
              <w:pStyle w:val="Compact"/>
              <w:jc w:val="left"/>
            </w:pPr>
            <w:r>
              <w:t xml:space="preserve">Multiplied by (max{f, 10}/10)</w:t>
            </w:r>
            <w:r>
              <w:rPr>
                <w:vertAlign w:val="superscript"/>
              </w:rPr>
              <w:t xml:space="preserve">−β</w:t>
            </w:r>
          </w:p>
        </w:tc>
      </w:tr>
      <w:tr>
        <w:tc>
          <w:tcPr/>
          <w:p>
            <w:pPr>
              <w:pStyle w:val="Compact"/>
              <w:jc w:val="left"/>
            </w:pPr>
            <w:r>
              <w:t xml:space="preserve">Engagement elasticity β</w:t>
            </w:r>
          </w:p>
        </w:tc>
        <w:tc>
          <w:tcPr/>
          <w:p>
            <w:pPr>
              <w:pStyle w:val="Compact"/>
              <w:jc w:val="left"/>
            </w:pPr>
            <w:r>
              <w:t xml:space="preserve">0 (base); 0 to 0.66</w:t>
            </w:r>
          </w:p>
        </w:tc>
        <w:tc>
          <w:tcPr/>
          <w:p>
            <w:pPr>
              <w:pStyle w:val="Compact"/>
              <w:jc w:val="left"/>
            </w:pPr>
            <w:r>
              <w:t xml:space="preserve">Applied to all accounts</w:t>
            </w:r>
          </w:p>
        </w:tc>
      </w:tr>
      <w:tr>
        <w:tc>
          <w:tcPr/>
          <w:p>
            <w:pPr>
              <w:pStyle w:val="Compact"/>
              <w:jc w:val="left"/>
            </w:pPr>
            <w:r>
              <w:t xml:space="preserve">Comment visibility factor</w:t>
            </w:r>
          </w:p>
        </w:tc>
        <w:tc>
          <w:tcPr/>
          <w:p>
            <w:pPr>
              <w:pStyle w:val="Compact"/>
              <w:jc w:val="left"/>
            </w:pPr>
            <w:r>
              <w:t xml:space="preserve">0.4</w:t>
            </w:r>
          </w:p>
        </w:tc>
        <w:tc>
          <w:tcPr/>
          <w:p>
            <w:pPr>
              <w:pStyle w:val="Compact"/>
              <w:jc w:val="left"/>
            </w:pPr>
            <w:r>
              <w:t xml:space="preserve">Multiplies exposure probability</w:t>
            </w:r>
          </w:p>
        </w:tc>
      </w:tr>
      <w:tr>
        <w:tc>
          <w:tcPr/>
          <w:p>
            <w:pPr>
              <w:pStyle w:val="Compact"/>
              <w:jc w:val="left"/>
            </w:pPr>
            <w:r>
              <w:t xml:space="preserve">Feed capacity</w:t>
            </w:r>
          </w:p>
        </w:tc>
        <w:tc>
          <w:tcPr/>
          <w:p>
            <w:pPr>
              <w:pStyle w:val="Compact"/>
              <w:jc w:val="left"/>
            </w:pPr>
            <w:r>
              <w:t xml:space="preserve">40 items</w:t>
            </w:r>
          </w:p>
        </w:tc>
        <w:tc>
          <w:tcPr/>
          <w:p>
            <w:pPr>
              <w:pStyle w:val="Compact"/>
              <w:jc w:val="left"/>
            </w:pPr>
            <w:r>
              <w:t xml:space="preserve">Most recent items</w:t>
            </w:r>
          </w:p>
        </w:tc>
      </w:tr>
      <w:tr>
        <w:tc>
          <w:tcPr/>
          <w:p>
            <w:pPr>
              <w:pStyle w:val="Compact"/>
              <w:jc w:val="left"/>
            </w:pPr>
            <w:r>
              <w:t xml:space="preserve">Recency weight</w:t>
            </w:r>
          </w:p>
        </w:tc>
        <w:tc>
          <w:tcPr/>
          <w:p>
            <w:pPr>
              <w:pStyle w:val="Compact"/>
              <w:jc w:val="left"/>
            </w:pPr>
            <w:r>
              <w:t xml:space="preserve">exp(−age/2 hours)</w:t>
            </w:r>
          </w:p>
        </w:tc>
        <w:tc>
          <w:tcPr/>
          <w:p>
            <w:pPr>
              <w:pStyle w:val="Compact"/>
              <w:jc w:val="left"/>
            </w:pPr>
            <w:r>
              <w:t xml:space="preserve">For comment and retweet targets</w:t>
            </w:r>
          </w:p>
        </w:tc>
      </w:tr>
      <w:tr>
        <w:tc>
          <w:tcPr/>
          <w:p>
            <w:pPr>
              <w:pStyle w:val="Compact"/>
              <w:jc w:val="left"/>
            </w:pPr>
            <w:r>
              <w:t xml:space="preserve">Circadian profile</w:t>
            </w:r>
          </w:p>
        </w:tc>
        <w:tc>
          <w:tcPr/>
          <w:p>
            <w:pPr>
              <w:pStyle w:val="Compact"/>
              <w:jc w:val="left"/>
            </w:pPr>
            <w:r>
              <w:t xml:space="preserve">0.12 + evening Gaussian at chronotype (SD 2.2 hours) + 0.45 × midday Gaussian at 12.5 hours (SD 1.8 hours)</w:t>
            </w:r>
          </w:p>
        </w:tc>
        <w:tc>
          <w:tcPr/>
          <w:p>
            <w:pPr>
              <w:pStyle w:val="Compact"/>
              <w:jc w:val="left"/>
            </w:pPr>
            <w:r>
              <w:t xml:space="preserve">Normalized to mean one; 15-minute resolution</w:t>
            </w:r>
          </w:p>
        </w:tc>
      </w:tr>
      <w:tr>
        <w:tc>
          <w:tcPr/>
          <w:p>
            <w:pPr>
              <w:pStyle w:val="Compact"/>
              <w:jc w:val="left"/>
            </w:pPr>
            <w:r>
              <w:t xml:space="preserve">Emotion at each urge evaluation</w:t>
            </w:r>
          </w:p>
        </w:tc>
        <w:tc>
          <w:tcPr/>
          <w:p>
            <w:pPr>
              <w:pStyle w:val="Compact"/>
              <w:jc w:val="left"/>
            </w:pPr>
            <w:r>
              <w:t xml:space="preserve">excited / angry / happy / indifferent with probabilities .20 / .15 / .30 / .35</w:t>
            </w:r>
          </w:p>
        </w:tc>
        <w:tc>
          <w:tcPr/>
          <w:p>
            <w:pPr>
              <w:pStyle w:val="Compact"/>
              <w:jc w:val="left"/>
            </w:pPr>
            <w:r>
              <w:t xml:space="preserve">Assumption</w:t>
            </w:r>
          </w:p>
        </w:tc>
      </w:tr>
      <w:tr>
        <w:tc>
          <w:tcPr/>
          <w:p>
            <w:pPr>
              <w:pStyle w:val="Compact"/>
              <w:jc w:val="left"/>
            </w:pPr>
            <w:r>
              <w:t xml:space="preserve">Relevance level</w:t>
            </w:r>
          </w:p>
        </w:tc>
        <w:tc>
          <w:tcPr/>
          <w:p>
            <w:pPr>
              <w:pStyle w:val="Compact"/>
              <w:jc w:val="left"/>
            </w:pPr>
            <w:r>
              <w:t xml:space="preserve">interest &lt; 0.10: 0.25; &lt; 0.30: 0.50; otherwise 0.75</w:t>
            </w:r>
          </w:p>
        </w:tc>
        <w:tc>
          <w:tcPr/>
          <w:p>
            <w:pPr>
              <w:pStyle w:val="Compact"/>
              <w:jc w:val="left"/>
            </w:pPr>
            <w:r>
              <w:t xml:space="preserve">Assumption</w:t>
            </w:r>
          </w:p>
        </w:tc>
      </w:tr>
      <w:tr>
        <w:tc>
          <w:tcPr/>
          <w:p>
            <w:pPr>
              <w:pStyle w:val="Compact"/>
              <w:jc w:val="left"/>
            </w:pPr>
            <w:r>
              <w:t xml:space="preserve">Network</w:t>
            </w:r>
          </w:p>
        </w:tc>
        <w:tc>
          <w:tcPr/>
          <w:p>
            <w:pPr>
              <w:pStyle w:val="Compact"/>
              <w:jc w:val="left"/>
            </w:pPr>
            <w:r>
              <w:t xml:space="preserve">2,000 agents, preferential attachment, 3 follows per new agent</w:t>
            </w:r>
          </w:p>
        </w:tc>
        <w:tc>
          <w:tcPr/>
          <w:p>
            <w:pPr>
              <w:pStyle w:val="Compact"/>
            </w:pPr>
          </w:p>
        </w:tc>
      </w:tr>
      <w:tr>
        <w:tc>
          <w:tcPr/>
          <w:p>
            <w:pPr>
              <w:pStyle w:val="Compact"/>
              <w:jc w:val="left"/>
            </w:pPr>
            <w:r>
              <w:t xml:space="preserve">Horizon</w:t>
            </w:r>
          </w:p>
        </w:tc>
        <w:tc>
          <w:tcPr/>
          <w:p>
            <w:pPr>
              <w:pStyle w:val="Compact"/>
              <w:jc w:val="left"/>
            </w:pPr>
            <w:r>
              <w:t xml:space="preserve">18-hour warm-up; 48 hours after injection</w:t>
            </w:r>
          </w:p>
        </w:tc>
        <w:tc>
          <w:tcPr/>
          <w:p>
            <w:pPr>
              <w:pStyle w:val="Compact"/>
              <w:jc w:val="left"/>
            </w:pPr>
            <w:r>
              <w:t xml:space="preserve">Injection at 18:00 unless stated</w:t>
            </w:r>
          </w:p>
        </w:tc>
      </w:tr>
      <w:tr>
        <w:tc>
          <w:tcPr/>
          <w:p>
            <w:pPr>
              <w:pStyle w:val="Compact"/>
              <w:jc w:val="left"/>
            </w:pPr>
            <w:r>
              <w:t xml:space="preserve">Distributed seed pool</w:t>
            </w:r>
          </w:p>
        </w:tc>
        <w:tc>
          <w:tcPr/>
          <w:p>
            <w:pPr>
              <w:pStyle w:val="Compact"/>
              <w:jc w:val="left"/>
            </w:pPr>
            <w:r>
              <w:t xml:space="preserve">Accounts outside the top 5% by followers</w:t>
            </w:r>
          </w:p>
        </w:tc>
        <w:tc>
          <w:tcPr/>
          <w:p>
            <w:pPr>
              <w:pStyle w:val="Compact"/>
              <w:jc w:val="left"/>
            </w:pPr>
            <w:r>
              <w:t xml:space="preserve">Random order until the budget is spent</w:t>
            </w:r>
          </w:p>
        </w:tc>
      </w:tr>
      <w:tr>
        <w:tc>
          <w:tcPr/>
          <w:p>
            <w:pPr>
              <w:pStyle w:val="Compact"/>
              <w:jc w:val="left"/>
            </w:pPr>
            <w:r>
              <w:t xml:space="preserve">Volume-matching factor</w:t>
            </w:r>
          </w:p>
        </w:tc>
        <w:tc>
          <w:tcPr/>
          <w:p>
            <w:pPr>
              <w:pStyle w:val="Compact"/>
              <w:jc w:val="left"/>
            </w:pPr>
            <w:r>
              <w:t xml:space="preserve">2.00</w:t>
            </w:r>
          </w:p>
        </w:tc>
        <w:tc>
          <w:tcPr/>
          <w:p>
            <w:pPr>
              <w:pStyle w:val="Compact"/>
              <w:jc w:val="left"/>
            </w:pPr>
            <w:r>
              <w:t xml:space="preserve">Alternative schedulers only; ratio of total events in pilot runs without a campaign</w:t>
            </w:r>
          </w:p>
        </w:tc>
      </w:tr>
      <w:tr>
        <w:tc>
          <w:tcPr/>
          <w:p>
            <w:pPr>
              <w:pStyle w:val="Compact"/>
              <w:jc w:val="left"/>
            </w:pPr>
            <w:r>
              <w:t xml:space="preserve">Seed price floor</w:t>
            </w:r>
          </w:p>
        </w:tc>
        <w:tc>
          <w:tcPr/>
          <w:p>
            <w:pPr>
              <w:pStyle w:val="Compact"/>
              <w:jc w:val="left"/>
            </w:pPr>
            <w:r>
              <w:t xml:space="preserve">One follower-equivalent</w:t>
            </w:r>
          </w:p>
        </w:tc>
        <w:tc>
          <w:tcPr/>
          <w:p>
            <w:pPr>
              <w:pStyle w:val="Compact"/>
              <w:jc w:val="left"/>
            </w:pPr>
            <w:r>
              <w:t xml:space="preserve">Accounts without followers are priced as one follower</w:t>
            </w:r>
          </w:p>
        </w:tc>
      </w:tr>
      <w:tr>
        <w:tc>
          <w:tcPr/>
          <w:p>
            <w:pPr>
              <w:pStyle w:val="Compact"/>
              <w:jc w:val="left"/>
            </w:pPr>
            <w:r>
              <w:t xml:space="preserve">Adoption</w:t>
            </w:r>
          </w:p>
        </w:tc>
        <w:tc>
          <w:tcPr/>
          <w:p>
            <w:pPr>
              <w:pStyle w:val="Compact"/>
              <w:jc w:val="left"/>
            </w:pPr>
            <w:r>
              <w:t xml:space="preserve">First comment or retweet of campaign content</w:t>
            </w:r>
          </w:p>
        </w:tc>
        <w:tc>
          <w:tcPr/>
          <w:p>
            <w:pPr>
              <w:pStyle w:val="Compact"/>
              <w:jc w:val="left"/>
            </w:pPr>
            <w:r>
              <w:t xml:space="preserve">Seeds are not counted as adopters</w:t>
            </w:r>
          </w:p>
        </w:tc>
      </w:tr>
    </w:tbl>
    <w:p>
      <w:pPr>
        <w:pStyle w:val="BodyText"/>
      </w:pPr>
      <w:r>
        <w:rPr>
          <w:iCs/>
          <w:i/>
        </w:rPr>
        <w:t xml:space="preserve">Notes:</w:t>
      </w:r>
      <w:r>
        <w:t xml:space="preserve"> </w:t>
      </w:r>
      <w:r>
        <w:t xml:space="preserve">Likes create no items and no notifications. The code in the supplementary archive reproduces every value.</w:t>
      </w:r>
    </w:p>
    <w:p>
      <w:pPr>
        <w:pStyle w:val="BodyText"/>
      </w:pPr>
      <w:r>
        <w:rPr>
          <w:iCs/>
          <w:i/>
        </w:rPr>
        <w:t xml:space="preserve">Rule-based urge function.</w:t>
      </w:r>
      <w:r>
        <w:t xml:space="preserve"> </w:t>
      </w:r>
      <w:r>
        <w:t xml:space="preserve">With h the hour of day, leisure = 1 if h ≥ 19 or h &lt; 1, 0.5 if 11 ≤ h &lt; 14, and 0 otherwise; n the number of feed items in the last hour on topics with interest weight ≥ 0.10; ℓ ∈ {0, 1, 2} the relevance level of the latest item; ν = 1 for a notification and 0 otherwise; and e an emotion bonus of 0.8 (excited), 0.6 (angry), 0.4 (happy), or −0.6 (indifferent), the rating is I = min(max(1.0 + 1.0 × leisure + 0.4 × min(n, 3) + 0.5 × ℓ + 0.8 × ν + e, 0), 5). For notifications ℓ is set to 1.</w:t>
      </w:r>
    </w:p>
    <w:p>
      <w:r>
        <w:br w:type="page"/>
      </w:r>
    </w:p>
    <w:bookmarkEnd w:id="20"/>
    <w:bookmarkStart w:id="21" w:name="Xacd4b52738575ad021380cf64ea33dcfbeca402"/>
    <w:p>
      <w:pPr>
        <w:pStyle w:val="Heading1"/>
      </w:pPr>
      <w:r>
        <w:t xml:space="preserve">Web Appendix B: Validation of the Estimation Procedure on Synthetic Data</w:t>
      </w:r>
    </w:p>
    <w:p>
      <w:pPr>
        <w:pStyle w:val="FirstParagraph"/>
      </w:pPr>
      <w:r>
        <w:t xml:space="preserve">To check that the procedure in the main text recovers known parameters, we generated synthetic campaign data with the structure of an influencer-campaign dataset with timestamps: 400 authors with follower counts drawn log-uniformly between 10</w:t>
      </w:r>
      <w:r>
        <w:rPr>
          <w:vertAlign w:val="superscript"/>
        </w:rPr>
        <w:t xml:space="preserve">5</w:t>
      </w:r>
      <w:r>
        <w:t xml:space="preserve"> </w:t>
      </w:r>
      <w:r>
        <w:t xml:space="preserve">and 10</w:t>
      </w:r>
      <w:r>
        <w:rPr>
          <w:vertAlign w:val="superscript"/>
        </w:rPr>
        <w:t xml:space="preserve">7</w:t>
      </w:r>
      <w:r>
        <w:t xml:space="preserve">, assigned to six products, 15 posts per author over 60 days, author and product random effects (SD 0.8 and 0.3), post-level noise (SD 0.5), log-normal reply delays (median 0.8 hours, log-SD 1.2), and interaction times thinned by a known daily profile with an evening peak at 21:30. Table W2 reports the results for two true values of β. The random-effect scales are our choices, because the structure rather than the scale is what the exercise needs.</w:t>
      </w:r>
    </w:p>
    <w:p>
      <w:pPr>
        <w:pStyle w:val="BodyText"/>
      </w:pPr>
      <w:r>
        <w:rPr>
          <w:bCs/>
          <w:b/>
        </w:rPr>
        <w:t xml:space="preserve">Table W2. Poisson Pseudo-Maximum Likelihood Recovers the True Elasticity, Whereas OLS on the Log Count Does Not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True β</w:t>
            </w:r>
          </w:p>
        </w:tc>
        <w:tc>
          <w:tcPr/>
          <w:p>
            <w:pPr>
              <w:pStyle w:val="Compact"/>
              <w:jc w:val="left"/>
            </w:pPr>
            <w:r>
              <w:t xml:space="preserve">PPML β̂ (SE) [95% CI]</w:t>
            </w:r>
          </w:p>
        </w:tc>
        <w:tc>
          <w:tcPr/>
          <w:p>
            <w:pPr>
              <w:pStyle w:val="Compact"/>
              <w:jc w:val="left"/>
            </w:pPr>
            <w:r>
              <w:t xml:space="preserve">OLS on ln(1 + y) β̂</w:t>
            </w:r>
          </w:p>
        </w:tc>
        <w:tc>
          <w:tcPr/>
          <w:p>
            <w:pPr>
              <w:pStyle w:val="Compact"/>
              <w:jc w:val="left"/>
            </w:pPr>
            <w:r>
              <w:t xml:space="preserve">Fitted evening peak</w:t>
            </w:r>
          </w:p>
        </w:tc>
        <w:tc>
          <w:tcPr/>
          <w:p>
            <w:pPr>
              <w:pStyle w:val="Compact"/>
              <w:jc w:val="left"/>
            </w:pPr>
            <w:r>
              <w:t xml:space="preserve">Held-out TV (flat profile)</w:t>
            </w:r>
          </w:p>
        </w:tc>
        <w:tc>
          <w:tcPr/>
          <w:p>
            <w:pPr>
              <w:pStyle w:val="Compact"/>
              <w:jc w:val="left"/>
            </w:pPr>
            <w:r>
              <w:t xml:space="preserve">Held-out r</w:t>
            </w:r>
          </w:p>
        </w:tc>
      </w:tr>
      <w:tr>
        <w:tc>
          <w:tcPr/>
          <w:p>
            <w:pPr>
              <w:pStyle w:val="Compact"/>
              <w:jc w:val="left"/>
            </w:pPr>
            <w:r>
              <w:t xml:space="preserve">0</w:t>
            </w:r>
          </w:p>
        </w:tc>
        <w:tc>
          <w:tcPr/>
          <w:p>
            <w:pPr>
              <w:pStyle w:val="Compact"/>
              <w:jc w:val="left"/>
            </w:pPr>
            <w:r>
              <w:t xml:space="preserve">-0.064 (0.064) [-0.189, 0.061]</w:t>
            </w:r>
          </w:p>
        </w:tc>
        <w:tc>
          <w:tcPr/>
          <w:p>
            <w:pPr>
              <w:pStyle w:val="Compact"/>
              <w:jc w:val="left"/>
            </w:pPr>
            <w:r>
              <w:t xml:space="preserve">-0.003</w:t>
            </w:r>
          </w:p>
        </w:tc>
        <w:tc>
          <w:tcPr/>
          <w:p>
            <w:pPr>
              <w:pStyle w:val="Compact"/>
              <w:jc w:val="left"/>
            </w:pPr>
            <w:r>
              <w:t xml:space="preserve">21.6 hours</w:t>
            </w:r>
          </w:p>
        </w:tc>
        <w:tc>
          <w:tcPr/>
          <w:p>
            <w:pPr>
              <w:pStyle w:val="Compact"/>
              <w:jc w:val="left"/>
            </w:pPr>
            <w:r>
              <w:t xml:space="preserve">0.034 (0.286)</w:t>
            </w:r>
          </w:p>
        </w:tc>
        <w:tc>
          <w:tcPr/>
          <w:p>
            <w:pPr>
              <w:pStyle w:val="Compact"/>
              <w:jc w:val="left"/>
            </w:pPr>
            <w:r>
              <w:t xml:space="preserve">0.992</w:t>
            </w:r>
          </w:p>
        </w:tc>
      </w:tr>
      <w:tr>
        <w:tc>
          <w:tcPr/>
          <w:p>
            <w:pPr>
              <w:pStyle w:val="Compact"/>
              <w:jc w:val="left"/>
            </w:pPr>
            <w:r>
              <w:t xml:space="preserve">0.35</w:t>
            </w:r>
          </w:p>
        </w:tc>
        <w:tc>
          <w:tcPr/>
          <w:p>
            <w:pPr>
              <w:pStyle w:val="Compact"/>
              <w:jc w:val="left"/>
            </w:pPr>
            <w:r>
              <w:t xml:space="preserve">0.346 (0.042) [0.264, 0.428]</w:t>
            </w:r>
          </w:p>
        </w:tc>
        <w:tc>
          <w:tcPr/>
          <w:p>
            <w:pPr>
              <w:pStyle w:val="Compact"/>
              <w:jc w:val="left"/>
            </w:pPr>
            <w:r>
              <w:t xml:space="preserve">0.829</w:t>
            </w:r>
          </w:p>
        </w:tc>
        <w:tc>
          <w:tcPr/>
          <w:p>
            <w:pPr>
              <w:pStyle w:val="Compact"/>
              <w:jc w:val="left"/>
            </w:pPr>
            <w:r>
              <w:t xml:space="preserve">21.5 hours</w:t>
            </w:r>
          </w:p>
        </w:tc>
        <w:tc>
          <w:tcPr/>
          <w:p>
            <w:pPr>
              <w:pStyle w:val="Compact"/>
              <w:jc w:val="left"/>
            </w:pPr>
            <w:r>
              <w:t xml:space="preserve">0.046 (0.317)</w:t>
            </w:r>
          </w:p>
        </w:tc>
        <w:tc>
          <w:tcPr/>
          <w:p>
            <w:pPr>
              <w:pStyle w:val="Compact"/>
              <w:jc w:val="left"/>
            </w:pPr>
            <w:r>
              <w:t xml:space="preserve">0.991</w:t>
            </w:r>
          </w:p>
        </w:tc>
      </w:tr>
    </w:tbl>
    <w:p>
      <w:pPr>
        <w:pStyle w:val="BodyText"/>
      </w:pPr>
      <w:r>
        <w:rPr>
          <w:iCs/>
          <w:i/>
        </w:rPr>
        <w:t xml:space="preserve">Notes:</w:t>
      </w:r>
      <w:r>
        <w:t xml:space="preserve"> </w:t>
      </w:r>
      <w:r>
        <w:t xml:space="preserve">6,000 posts per row. PPML = Poisson pseudo-maximum likelihood; SE = standard error implied by the confidence interval (clustered by author). TV = total variation distance between the fitted profile from three calibration products and the observed hourly distribution in three held-out products; the value for a flat profile is shown in parentheses. The fitted reply-delay median was 0.80 and 0.79 hours in the two cases, against a generating value of 0.8 hours.</w:t>
      </w:r>
    </w:p>
    <w:p>
      <w:pPr>
        <w:pStyle w:val="BodyText"/>
      </w:pPr>
      <w:r>
        <w:t xml:space="preserve">The PPML confidence interval contained the true β in both cases. OLS on the log-transformed count was close to the truth when the true β was 0 but far off when it was 0.35 (0.83), because adding one to the count distorts the relation between interactions and audience size. The daily profile fitted on calibration products reproduced the held-out profile closely in both cases (r = 0.99), far more closely than a flat profile. The synthetic data include posts with no interactions and only accounts with 10</w:t>
      </w:r>
      <w:r>
        <w:rPr>
          <w:vertAlign w:val="superscript"/>
        </w:rPr>
        <w:t xml:space="preserve">5</w:t>
      </w:r>
      <w:r>
        <w:t xml:space="preserve"> </w:t>
      </w:r>
      <w:r>
        <w:t xml:space="preserve">to 10</w:t>
      </w:r>
      <w:r>
        <w:rPr>
          <w:vertAlign w:val="superscript"/>
        </w:rPr>
        <w:t xml:space="preserve">7</w:t>
      </w:r>
      <w:r>
        <w:t xml:space="preserve"> </w:t>
      </w:r>
      <w:r>
        <w:t xml:space="preserve">followers, so this exercise does not test the estimator under the zero truncation and account selection present in SAGraph, which the main text addresses with the zero-truncated model and a discussion of bias. Because the public SAGraph release lacks timestamps, only the elasticity part of the procedure could be applied to real data.</w:t>
      </w:r>
    </w:p>
    <w:p>
      <w:r>
        <w:br w:type="page"/>
      </w:r>
    </w:p>
    <w:bookmarkEnd w:id="21"/>
    <w:bookmarkStart w:id="22" w:name="Xdae2e33239099782eb8ee94fd4ec2d4625351b1"/>
    <w:p>
      <w:pPr>
        <w:pStyle w:val="Heading1"/>
      </w:pPr>
      <w:r>
        <w:t xml:space="preserve">Web Appendix C: Additional Estimates of the Engagement Elasticity</w:t>
      </w:r>
    </w:p>
    <w:p>
      <w:pPr>
        <w:pStyle w:val="FirstParagraph"/>
      </w:pPr>
      <w:r>
        <w:rPr>
          <w:bCs/>
          <w:b/>
        </w:rPr>
        <w:t xml:space="preserve">Table W3. Elasticity Estimates Are Similar Across Robustness Checks, but Imprecise for the Largest Accounts Within a Campaign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Posts</w:t>
            </w:r>
          </w:p>
        </w:tc>
        <w:tc>
          <w:tcPr/>
          <w:p>
            <w:pPr>
              <w:pStyle w:val="Compact"/>
              <w:jc w:val="left"/>
            </w:pPr>
            <w:r>
              <w:t xml:space="preserve">Authors</w:t>
            </w:r>
          </w:p>
        </w:tc>
        <w:tc>
          <w:tcPr/>
          <w:p>
            <w:pPr>
              <w:pStyle w:val="Compact"/>
              <w:jc w:val="left"/>
            </w:pPr>
            <w:r>
              <w:t xml:space="preserve">β̂ PPML (SE) [95% CI]</w:t>
            </w:r>
          </w:p>
        </w:tc>
        <w:tc>
          <w:tcPr/>
          <w:p>
            <w:pPr>
              <w:pStyle w:val="Compact"/>
              <w:jc w:val="left"/>
            </w:pPr>
            <w:r>
              <w:t xml:space="preserve">β̂ ZTP (SE) [95% CI]</w:t>
            </w:r>
          </w:p>
        </w:tc>
      </w:tr>
      <w:tr>
        <w:tc>
          <w:tcPr/>
          <w:p>
            <w:pPr>
              <w:pStyle w:val="Compact"/>
              <w:jc w:val="left"/>
            </w:pPr>
            <w:r>
              <w:t xml:space="preserve">Pooled, 10 ≤ f &lt; 10</w:t>
            </w:r>
            <w:r>
              <w:rPr>
                <w:vertAlign w:val="superscript"/>
              </w:rPr>
              <w:t xml:space="preserve">3</w:t>
            </w:r>
            <w:r>
              <w:t xml:space="preserve"> </w:t>
            </w:r>
            <w:r>
              <w:t xml:space="preserve">(selected sample; not interpreted)</w:t>
            </w:r>
          </w:p>
        </w:tc>
        <w:tc>
          <w:tcPr/>
          <w:p>
            <w:pPr>
              <w:pStyle w:val="Compact"/>
              <w:jc w:val="left"/>
            </w:pPr>
            <w:r>
              <w:t xml:space="preserve">50,342</w:t>
            </w:r>
          </w:p>
        </w:tc>
        <w:tc>
          <w:tcPr/>
          <w:p>
            <w:pPr>
              <w:pStyle w:val="Compact"/>
              <w:jc w:val="left"/>
            </w:pPr>
            <w:r>
              <w:t xml:space="preserve">21,580</w:t>
            </w:r>
          </w:p>
        </w:tc>
        <w:tc>
          <w:tcPr/>
          <w:p>
            <w:pPr>
              <w:pStyle w:val="Compact"/>
              <w:jc w:val="left"/>
            </w:pPr>
            <w:r>
              <w:t xml:space="preserve">1.02 (0.023) [0.98, 1.07]</w:t>
            </w:r>
          </w:p>
        </w:tc>
        <w:tc>
          <w:tcPr/>
          <w:p>
            <w:pPr>
              <w:pStyle w:val="Compact"/>
              <w:jc w:val="left"/>
            </w:pPr>
            <w:r>
              <w:t xml:space="preserve">1.03 (0.029) [0.97, 1.09]</w:t>
            </w:r>
          </w:p>
        </w:tc>
      </w:tr>
      <w:tr>
        <w:tc>
          <w:tcPr/>
          <w:p>
            <w:pPr>
              <w:pStyle w:val="Compact"/>
              <w:jc w:val="left"/>
            </w:pPr>
            <w:r>
              <w:t xml:space="preserve">abc_reading, f ≥ 10</w:t>
            </w:r>
            <w:r>
              <w:rPr>
                <w:vertAlign w:val="superscript"/>
              </w:rPr>
              <w:t xml:space="preserve">5</w:t>
            </w:r>
          </w:p>
        </w:tc>
        <w:tc>
          <w:tcPr/>
          <w:p>
            <w:pPr>
              <w:pStyle w:val="Compact"/>
              <w:jc w:val="left"/>
            </w:pPr>
            <w:r>
              <w:t xml:space="preserve">28,574</w:t>
            </w:r>
          </w:p>
        </w:tc>
        <w:tc>
          <w:tcPr/>
          <w:p>
            <w:pPr>
              <w:pStyle w:val="Compact"/>
              <w:jc w:val="left"/>
            </w:pPr>
            <w:r>
              <w:t xml:space="preserve">1,415</w:t>
            </w:r>
          </w:p>
        </w:tc>
        <w:tc>
          <w:tcPr/>
          <w:p>
            <w:pPr>
              <w:pStyle w:val="Compact"/>
              <w:jc w:val="left"/>
            </w:pPr>
            <w:r>
              <w:t xml:space="preserve">0.56 (0.099) [0.37, 0.76]</w:t>
            </w:r>
          </w:p>
        </w:tc>
        <w:tc>
          <w:tcPr/>
          <w:p>
            <w:pPr>
              <w:pStyle w:val="Compact"/>
              <w:jc w:val="left"/>
            </w:pPr>
            <w:r>
              <w:t xml:space="preserve">0.56 (0.099) [0.37, 0.76]</w:t>
            </w:r>
          </w:p>
        </w:tc>
      </w:tr>
      <w:tr>
        <w:tc>
          <w:tcPr/>
          <w:p>
            <w:pPr>
              <w:pStyle w:val="Compact"/>
              <w:jc w:val="left"/>
            </w:pPr>
            <w:r>
              <w:t xml:space="preserve">electric_toothbrush, f ≥ 10</w:t>
            </w:r>
            <w:r>
              <w:rPr>
                <w:vertAlign w:val="superscript"/>
              </w:rPr>
              <w:t xml:space="preserve">5</w:t>
            </w:r>
          </w:p>
        </w:tc>
        <w:tc>
          <w:tcPr/>
          <w:p>
            <w:pPr>
              <w:pStyle w:val="Compact"/>
              <w:jc w:val="left"/>
            </w:pPr>
            <w:r>
              <w:t xml:space="preserve">1,556</w:t>
            </w:r>
          </w:p>
        </w:tc>
        <w:tc>
          <w:tcPr/>
          <w:p>
            <w:pPr>
              <w:pStyle w:val="Compact"/>
              <w:jc w:val="left"/>
            </w:pPr>
            <w:r>
              <w:t xml:space="preserve">180</w:t>
            </w:r>
          </w:p>
        </w:tc>
        <w:tc>
          <w:tcPr/>
          <w:p>
            <w:pPr>
              <w:pStyle w:val="Compact"/>
              <w:jc w:val="left"/>
            </w:pPr>
            <w:r>
              <w:t xml:space="preserve">0.51 (0.180) [0.16, 0.86]</w:t>
            </w:r>
          </w:p>
        </w:tc>
        <w:tc>
          <w:tcPr/>
          <w:p>
            <w:pPr>
              <w:pStyle w:val="Compact"/>
              <w:jc w:val="left"/>
            </w:pPr>
            <w:r>
              <w:t xml:space="preserve">0.51 (0.180) [0.16, 0.86]</w:t>
            </w:r>
          </w:p>
        </w:tc>
      </w:tr>
      <w:tr>
        <w:tc>
          <w:tcPr/>
          <w:p>
            <w:pPr>
              <w:pStyle w:val="Compact"/>
              <w:jc w:val="left"/>
            </w:pPr>
            <w:r>
              <w:t xml:space="preserve">intelligent_floor_scrubber, f ≥ 10</w:t>
            </w:r>
            <w:r>
              <w:rPr>
                <w:vertAlign w:val="superscript"/>
              </w:rPr>
              <w:t xml:space="preserve">5</w:t>
            </w:r>
          </w:p>
        </w:tc>
        <w:tc>
          <w:tcPr/>
          <w:p>
            <w:pPr>
              <w:pStyle w:val="Compact"/>
              <w:jc w:val="left"/>
            </w:pPr>
            <w:r>
              <w:t xml:space="preserve">23,256</w:t>
            </w:r>
          </w:p>
        </w:tc>
        <w:tc>
          <w:tcPr/>
          <w:p>
            <w:pPr>
              <w:pStyle w:val="Compact"/>
              <w:jc w:val="left"/>
            </w:pPr>
            <w:r>
              <w:t xml:space="preserve">1,276</w:t>
            </w:r>
          </w:p>
        </w:tc>
        <w:tc>
          <w:tcPr/>
          <w:p>
            <w:pPr>
              <w:pStyle w:val="Compact"/>
              <w:jc w:val="left"/>
            </w:pPr>
            <w:r>
              <w:t xml:space="preserve">0.59 (0.088) [0.42, 0.77]</w:t>
            </w:r>
          </w:p>
        </w:tc>
        <w:tc>
          <w:tcPr/>
          <w:p>
            <w:pPr>
              <w:pStyle w:val="Compact"/>
              <w:jc w:val="left"/>
            </w:pPr>
            <w:r>
              <w:t xml:space="preserve">0.59 (0.088) [0.42, 0.77]</w:t>
            </w:r>
          </w:p>
        </w:tc>
      </w:tr>
      <w:tr>
        <w:tc>
          <w:tcPr/>
          <w:p>
            <w:pPr>
              <w:pStyle w:val="Compact"/>
              <w:jc w:val="left"/>
            </w:pPr>
            <w:r>
              <w:t xml:space="preserve">ruby_face_cream, f ≥ 10</w:t>
            </w:r>
            <w:r>
              <w:rPr>
                <w:vertAlign w:val="superscript"/>
              </w:rPr>
              <w:t xml:space="preserve">5</w:t>
            </w:r>
          </w:p>
        </w:tc>
        <w:tc>
          <w:tcPr/>
          <w:p>
            <w:pPr>
              <w:pStyle w:val="Compact"/>
              <w:jc w:val="left"/>
            </w:pPr>
            <w:r>
              <w:t xml:space="preserve">1,826</w:t>
            </w:r>
          </w:p>
        </w:tc>
        <w:tc>
          <w:tcPr/>
          <w:p>
            <w:pPr>
              <w:pStyle w:val="Compact"/>
              <w:jc w:val="left"/>
            </w:pPr>
            <w:r>
              <w:t xml:space="preserve">135</w:t>
            </w:r>
          </w:p>
        </w:tc>
        <w:tc>
          <w:tcPr/>
          <w:p>
            <w:pPr>
              <w:pStyle w:val="Compact"/>
              <w:jc w:val="left"/>
            </w:pPr>
            <w:r>
              <w:t xml:space="preserve">0.36 (0.143) [0.08, 0.64]</w:t>
            </w:r>
          </w:p>
        </w:tc>
        <w:tc>
          <w:tcPr/>
          <w:p>
            <w:pPr>
              <w:pStyle w:val="Compact"/>
              <w:jc w:val="left"/>
            </w:pPr>
            <w:r>
              <w:t xml:space="preserve">0.36 (0.143) [0.08, 0.64]</w:t>
            </w:r>
          </w:p>
        </w:tc>
      </w:tr>
      <w:tr>
        <w:tc>
          <w:tcPr/>
          <w:p>
            <w:pPr>
              <w:pStyle w:val="Compact"/>
              <w:jc w:val="left"/>
            </w:pPr>
            <w:r>
              <w:t xml:space="preserve">spark_thinking, f ≥ 10</w:t>
            </w:r>
            <w:r>
              <w:rPr>
                <w:vertAlign w:val="superscript"/>
              </w:rPr>
              <w:t xml:space="preserve">5</w:t>
            </w:r>
          </w:p>
        </w:tc>
        <w:tc>
          <w:tcPr/>
          <w:p>
            <w:pPr>
              <w:pStyle w:val="Compact"/>
              <w:jc w:val="left"/>
            </w:pPr>
            <w:r>
              <w:t xml:space="preserve">27,889</w:t>
            </w:r>
          </w:p>
        </w:tc>
        <w:tc>
          <w:tcPr/>
          <w:p>
            <w:pPr>
              <w:pStyle w:val="Compact"/>
              <w:jc w:val="left"/>
            </w:pPr>
            <w:r>
              <w:t xml:space="preserve">1,416</w:t>
            </w:r>
          </w:p>
        </w:tc>
        <w:tc>
          <w:tcPr/>
          <w:p>
            <w:pPr>
              <w:pStyle w:val="Compact"/>
              <w:jc w:val="left"/>
            </w:pPr>
            <w:r>
              <w:t xml:space="preserve">0.60 (0.066) [0.47, 0.72]</w:t>
            </w:r>
          </w:p>
        </w:tc>
        <w:tc>
          <w:tcPr/>
          <w:p>
            <w:pPr>
              <w:pStyle w:val="Compact"/>
              <w:jc w:val="left"/>
            </w:pPr>
            <w:r>
              <w:t xml:space="preserve">0.60 (0.066) [0.47, 0.72]</w:t>
            </w:r>
          </w:p>
        </w:tc>
      </w:tr>
      <w:tr>
        <w:tc>
          <w:tcPr/>
          <w:p>
            <w:pPr>
              <w:pStyle w:val="Compact"/>
              <w:jc w:val="left"/>
            </w:pPr>
            <w:r>
              <w:t xml:space="preserve">supor_boosted_showerhead, f ≥ 10</w:t>
            </w:r>
            <w:r>
              <w:rPr>
                <w:vertAlign w:val="superscript"/>
              </w:rPr>
              <w:t xml:space="preserve">5</w:t>
            </w:r>
          </w:p>
        </w:tc>
        <w:tc>
          <w:tcPr/>
          <w:p>
            <w:pPr>
              <w:pStyle w:val="Compact"/>
              <w:jc w:val="left"/>
            </w:pPr>
            <w:r>
              <w:t xml:space="preserve">3,487</w:t>
            </w:r>
          </w:p>
        </w:tc>
        <w:tc>
          <w:tcPr/>
          <w:p>
            <w:pPr>
              <w:pStyle w:val="Compact"/>
              <w:jc w:val="left"/>
            </w:pPr>
            <w:r>
              <w:t xml:space="preserve">517</w:t>
            </w:r>
          </w:p>
        </w:tc>
        <w:tc>
          <w:tcPr/>
          <w:p>
            <w:pPr>
              <w:pStyle w:val="Compact"/>
              <w:jc w:val="left"/>
            </w:pPr>
            <w:r>
              <w:t xml:space="preserve">0.65 (0.122) [0.41, 0.89]</w:t>
            </w:r>
          </w:p>
        </w:tc>
        <w:tc>
          <w:tcPr/>
          <w:p>
            <w:pPr>
              <w:pStyle w:val="Compact"/>
              <w:jc w:val="left"/>
            </w:pPr>
            <w:r>
              <w:t xml:space="preserve">0.65 (0.122) [0.41, 0.89]</w:t>
            </w:r>
          </w:p>
        </w:tc>
      </w:tr>
      <w:tr>
        <w:tc>
          <w:tcPr/>
          <w:p>
            <w:pPr>
              <w:pStyle w:val="Compact"/>
              <w:jc w:val="left"/>
            </w:pPr>
            <w:r>
              <w:t xml:space="preserve">Pooled, comments only (f ≥ 10)</w:t>
            </w:r>
          </w:p>
        </w:tc>
        <w:tc>
          <w:tcPr/>
          <w:p>
            <w:pPr>
              <w:pStyle w:val="Compact"/>
              <w:jc w:val="left"/>
            </w:pPr>
            <w:r>
              <w:t xml:space="preserve">209,178</w:t>
            </w:r>
          </w:p>
        </w:tc>
        <w:tc>
          <w:tcPr/>
          <w:p>
            <w:pPr>
              <w:pStyle w:val="Compact"/>
              <w:jc w:val="left"/>
            </w:pPr>
            <w:r>
              <w:t xml:space="preserve">38,279</w:t>
            </w:r>
          </w:p>
        </w:tc>
        <w:tc>
          <w:tcPr/>
          <w:p>
            <w:pPr>
              <w:pStyle w:val="Compact"/>
              <w:jc w:val="left"/>
            </w:pPr>
            <w:r>
              <w:t xml:space="preserve">0.74 (0.009) [0.72, 0.76]</w:t>
            </w:r>
          </w:p>
        </w:tc>
        <w:tc>
          <w:tcPr/>
          <w:p>
            <w:pPr>
              <w:pStyle w:val="Compact"/>
              <w:jc w:val="left"/>
            </w:pPr>
            <w:r>
              <w:t xml:space="preserve">0.72 (0.010) [0.70, 0.74]</w:t>
            </w:r>
          </w:p>
        </w:tc>
      </w:tr>
      <w:tr>
        <w:tc>
          <w:tcPr/>
          <w:p>
            <w:pPr>
              <w:pStyle w:val="Compact"/>
              <w:jc w:val="left"/>
            </w:pPr>
            <w:r>
              <w:t xml:space="preserve">Pooled, all accounts with f set to at least 10</w:t>
            </w:r>
          </w:p>
        </w:tc>
        <w:tc>
          <w:tcPr/>
          <w:p>
            <w:pPr>
              <w:pStyle w:val="Compact"/>
              <w:jc w:val="left"/>
            </w:pPr>
            <w:r>
              <w:t xml:space="preserve">219,379</w:t>
            </w:r>
          </w:p>
        </w:tc>
        <w:tc>
          <w:tcPr/>
          <w:p>
            <w:pPr>
              <w:pStyle w:val="Compact"/>
              <w:jc w:val="left"/>
            </w:pPr>
            <w:r>
              <w:t xml:space="preserve">43,077</w:t>
            </w:r>
          </w:p>
        </w:tc>
        <w:tc>
          <w:tcPr/>
          <w:p>
            <w:pPr>
              <w:pStyle w:val="Compact"/>
              <w:jc w:val="left"/>
            </w:pPr>
            <w:r>
              <w:t xml:space="preserve">0.72 (0.019) [0.68, 0.75]</w:t>
            </w:r>
          </w:p>
        </w:tc>
        <w:tc>
          <w:tcPr/>
          <w:p>
            <w:pPr>
              <w:pStyle w:val="Compact"/>
              <w:jc w:val="left"/>
            </w:pPr>
            <w:r>
              <w:t xml:space="preserve">0.70 (0.022) [0.66, 0.74]</w:t>
            </w:r>
          </w:p>
        </w:tc>
      </w:tr>
      <w:tr>
        <w:tc>
          <w:tcPr/>
          <w:p>
            <w:pPr>
              <w:pStyle w:val="Compact"/>
              <w:jc w:val="left"/>
            </w:pPr>
            <w:r>
              <w:t xml:space="preserve">Pooled, clusters merged across campaigns</w:t>
            </w:r>
          </w:p>
        </w:tc>
        <w:tc>
          <w:tcPr/>
          <w:p>
            <w:pPr>
              <w:pStyle w:val="Compact"/>
              <w:jc w:val="left"/>
            </w:pPr>
            <w:r>
              <w:t xml:space="preserve">209,890</w:t>
            </w:r>
          </w:p>
        </w:tc>
        <w:tc>
          <w:tcPr/>
          <w:p>
            <w:pPr>
              <w:pStyle w:val="Compact"/>
              <w:jc w:val="left"/>
            </w:pPr>
            <w:r>
              <w:t xml:space="preserve">38,279</w:t>
            </w:r>
          </w:p>
        </w:tc>
        <w:tc>
          <w:tcPr/>
          <w:p>
            <w:pPr>
              <w:pStyle w:val="Compact"/>
              <w:jc w:val="left"/>
            </w:pPr>
            <w:r>
              <w:t xml:space="preserve">0.66 (0.015) [0.63, 0.68]</w:t>
            </w:r>
          </w:p>
        </w:tc>
        <w:tc>
          <w:tcPr/>
          <w:p>
            <w:pPr>
              <w:pStyle w:val="Compact"/>
              <w:jc w:val="left"/>
            </w:pPr>
            <w:r>
              <w:t xml:space="preserve">0.63 (0.017) [0.59, 0.66]</w:t>
            </w:r>
          </w:p>
        </w:tc>
      </w:tr>
    </w:tbl>
    <w:p>
      <w:pPr>
        <w:pStyle w:val="BodyText"/>
      </w:pPr>
      <w:r>
        <w:rPr>
          <w:iCs/>
          <w:i/>
        </w:rPr>
        <w:t xml:space="preserve">Notes:</w:t>
      </w:r>
      <w:r>
        <w:t xml:space="preserve"> </w:t>
      </w:r>
      <w:r>
        <w:t xml:space="preserve">Standard errors (SE) are clustered by author within campaign, except in the last row, where accounts that appear in several campaigns (identical description and following count, same order of magnitude of followers) share one cluster. A post is a unique pair of author and post text; the dependent variable counts comments and reposts, except in the comments-only row. For accounts with 10 to 10</w:t>
      </w:r>
      <w:r>
        <w:rPr>
          <w:vertAlign w:val="superscript"/>
        </w:rPr>
        <w:t xml:space="preserve">3</w:t>
      </w:r>
      <w:r>
        <w:t xml:space="preserve"> </w:t>
      </w:r>
      <w:r>
        <w:t xml:space="preserve">followers the estimate is close to 1, but such accounts enter the data only when one of their posts received an interaction, which inflates their measured engagement; we do not interpret this estimate. PPML = Poisson pseudo-maximum likelihood; ZTP = zero-truncated Poisson.</w:t>
      </w:r>
    </w:p>
    <w:bookmarkEnd w:id="22"/>
    <w:sectPr>
      <w:footerReference w:type="default" r:id="rId9"/>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left"/>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ind w:firstLine="720"/>
      <w:jc w:val="left"/>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0" w:before="0" w:line="480" w:lineRule="auto"/>
      <w:ind w:firstLine="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0" w:before="0" w:line="480" w:lineRule="auto"/>
      <w:ind w:firstLine="0"/>
      <w:jc w:val="left"/>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spacing w:after="0" w:before="0" w:line="480" w:lineRule="auto"/>
      <w:ind w:firstLine="0"/>
      <w:jc w:val="left"/>
    </w:pPr>
    <w:rPr>
      <w:rFonts w:ascii="Times New Roman" w:cs="Times New Roman" w:eastAsia="Times New Roman" w:hAnsi="Times New Roman"/>
      <w:color w:val="000000"/>
      <w:sz w:val="24"/>
    </w:rPr>
  </w:style>
  <w:style w:styleId="Date" w:type="paragraph">
    <w:name w:val="Date"/>
    <w:next w:val="BodyText"/>
    <w:qFormat/>
    <w:pPr>
      <w:keepNext/>
      <w:keepLines/>
      <w:spacing w:after="0" w:before="0" w:line="480" w:lineRule="auto"/>
      <w:ind w:firstLine="0"/>
      <w:jc w:val="left"/>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0" w:before="0" w:line="480" w:lineRule="auto"/>
      <w:ind w:firstLine="0"/>
      <w:jc w:val="left"/>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480"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ind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480" w:lineRule="auto"/>
      <w:ind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rPr>
      <w:rFonts w:ascii="Times New Roman" w:cs="Times New Roman" w:eastAsia="Times New Roman" w:hAnsi="Times New Roman"/>
      <w:color w:val="000000"/>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240" w:line="240" w:lineRule="auto"/>
      <w:ind w:firstLine="0"/>
      <w:jc w:val="left"/>
    </w:pPr>
    <w:rPr>
      <w:rFonts w:ascii="Times New Roman" w:cs="Times New Roman" w:eastAsia="Times New Roman" w:hAnsi="Times New Roman"/>
      <w:b w:val="0"/>
      <w:i/>
      <w:color w:val="000000"/>
      <w:sz w:val="24"/>
    </w:rPr>
  </w:style>
  <w:style w:customStyle="1" w:styleId="TableCaption" w:type="paragraph">
    <w:name w:val="Table Caption"/>
    <w:basedOn w:val="Caption"/>
    <w:pPr>
      <w:keepNext/>
      <w:spacing w:after="120" w:before="240" w:line="240" w:lineRule="auto"/>
      <w:ind w:firstLine="0"/>
      <w:jc w:val="left"/>
    </w:pPr>
    <w:rPr>
      <w:rFonts w:ascii="Times New Roman" w:cs="Times New Roman" w:eastAsia="Times New Roman" w:hAnsi="Times New Roman"/>
      <w:b/>
      <w:color w:val="000000"/>
      <w:sz w:val="24"/>
    </w:rPr>
  </w:style>
  <w:style w:customStyle="1" w:styleId="ImageCaption" w:type="paragraph">
    <w:name w:val="Image Caption"/>
    <w:basedOn w:val="Caption"/>
    <w:pPr>
      <w:spacing w:after="120" w:before="240" w:line="240" w:lineRule="auto"/>
      <w:ind w:firstLine="0"/>
      <w:jc w:val="left"/>
    </w:pPr>
    <w:rPr>
      <w:rFonts w:ascii="Times New Roman" w:cs="Times New Roman" w:eastAsia="Times New Roman" w:hAnsi="Times New Roman"/>
      <w:b w:val="0"/>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240" w:line="240" w:lineRule="auto"/>
      <w:ind w:firstLine="0"/>
      <w:jc w:val="left"/>
    </w:pPr>
    <w:rPr>
      <w:rFonts w:ascii="Times New Roman" w:cs="Times New Roman" w:eastAsia="Times New Roman" w:hAnsi="Times New Roman"/>
      <w:b w:val="0"/>
      <w:color w:val="000000"/>
      <w:sz w:val="24"/>
    </w:rPr>
  </w:style>
  <w:style w:customStyle="1" w:styleId="BodyTextChar" w:type="character">
    <w:name w:val="Body Text Char"/>
    <w:basedOn w:val="DefaultParagraphFont"/>
    <w:link w:val="BodyText"/>
    <w:rPr>
      <w:rFonts w:ascii="Times New Roman" w:cs="Times New Roman" w:eastAsia="Times New Roman" w:hAnsi="Times New Roman"/>
      <w:color w:val="000000"/>
      <w:sz w:val="24"/>
    </w:rPr>
  </w:style>
  <w:style w:customStyle="1" w:styleId="VerbatimChar" w:type="character">
    <w:name w:val="Verbatim Char"/>
    <w:basedOn w:val="BodyTextChar"/>
    <w:rPr>
      <w:rFonts w:ascii="Times New Roman" w:cs="Times New Roman" w:eastAsia="Times New Roman" w:hAnsi="Times New Roman"/>
      <w:color w:val="000000"/>
      <w:sz w:val="24"/>
    </w:rPr>
  </w:style>
  <w:style w:customStyle="1" w:styleId="SectionNumber" w:type="character">
    <w:name w:val="Section Number"/>
    <w:basedOn w:val="BodyTextChar"/>
    <w:rPr>
      <w:rFonts w:ascii="Times New Roman" w:cs="Times New Roman" w:eastAsia="Times New Roman" w:hAnsi="Times New Roman"/>
      <w:color w:val="000000"/>
      <w:sz w:val="24"/>
    </w:rPr>
  </w:style>
  <w:style w:styleId="FootnoteReference" w:type="character">
    <w:name w:val="Footnote Reference"/>
    <w:basedOn w:val="BodyTextChar"/>
    <w:rPr>
      <w:rFonts w:ascii="Times New Roman" w:cs="Times New Roman" w:eastAsia="Times New Roman" w:hAnsi="Times New Roman"/>
      <w:color w:val="000000"/>
      <w:sz w:val="24"/>
      <w:vertAlign w:val="superscript"/>
    </w:rPr>
  </w:style>
  <w:style w:styleId="Hyperlink" w:type="character">
    <w:name w:val="Hyperlink"/>
    <w:basedOn w:val="BodyTextChar"/>
    <w:rPr>
      <w:rFonts w:ascii="Times New Roman" w:cs="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Appendix</dc:title>
  <dc:creator/>
  <cp:keywords/>
  <dcterms:created xsi:type="dcterms:W3CDTF">2026-10-25T00:04:11Z</dcterms:created>
  <dcterms:modified xsi:type="dcterms:W3CDTF">2026-10-25T00:04:11Z</dcterms:modified>
  <cp:lastModifiedBy/>
</cp:coreProperties>
</file>

<file path=docProps/custom.xml><?xml version="1.0" encoding="utf-8"?>
<Properties xmlns="http://schemas.openxmlformats.org/officeDocument/2006/custom-properties" xmlns:vt="http://schemas.openxmlformats.org/officeDocument/2006/docPropsVTypes"/>
</file>