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Agent timing in LLM simulators is set by a point process, not the simulation clock</w:t>
      </w:r>
    </w:p>
    <w:p>
      <w:pPr>
        <w:pStyle w:val="ListBullet"/>
      </w:pPr>
      <w:r>
        <w:t>An LLM rates the urge to act; an inhomogeneous Poisson process decides when</w:t>
      </w:r>
    </w:p>
    <w:p>
      <w:pPr>
        <w:pStyle w:val="ListBullet"/>
      </w:pPr>
      <w:r>
        <w:t>At equal exposure budget, influencer seeding gave about 78% more adopters</w:t>
      </w:r>
    </w:p>
    <w:p>
      <w:pPr>
        <w:pStyle w:val="ListBullet"/>
      </w:pPr>
      <w:r>
        <w:t>Distributed seeding reached half its adopters sooner and varied far less</w:t>
      </w:r>
    </w:p>
    <w:p>
      <w:pPr>
        <w:pStyle w:val="ListBullet"/>
      </w:pPr>
      <w:r>
        <w:t>Conclusions are unchanged when a rule-based oracle is replaced by LLM ratings</w:t>
      </w:r>
    </w:p>
    <w:p>
      <w:r/>
      <w:r>
        <w:rPr>
          <w:highlight w:val="yellow"/>
        </w:rPr>
        <w:t>[Check the Guide for Authors for the number of bullets and the character limit per bullet (each line above is under 85 characters).]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