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 Appendix to</w:t>
      </w:r>
      <w:r>
        <w:t xml:space="preserve"> </w:t>
      </w:r>
      <w:r>
        <w:t xml:space="preserve">“</w:t>
      </w:r>
      <w:r>
        <w:t xml:space="preserve">Synthetic Customers as Decision-Support Artifacts: Design Constraints, Calibration, and Accountability in Generative-AI Marketing Analytics</w:t>
      </w:r>
      <w:r>
        <w:t xml:space="preserve">”</w:t>
      </w:r>
    </w:p>
    <w:bookmarkStart w:id="20"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20"/>
    <w:bookmarkStart w:id="21"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B4. Email experiment,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B5. Low-mean and high-mean settings: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B6.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bookmarkEnd w:id="21"/>
    <w:bookmarkStart w:id="22"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an anonymized project repository (the link will be provided after the review process to preserve double-blind review). Raw model responses are saved with each run. Household-level Complete Journey data are not redistributed; the code reads them from the public package files.</w:t>
      </w:r>
    </w:p>
    <w:bookmarkEnd w:id="22"/>
    <w:bookmarkStart w:id="23" w:name="Xfa6ed117d2613d7c69e3452731e6a2d286c73c1"/>
    <w:p>
      <w:pPr>
        <w:pStyle w:val="Heading1"/>
      </w:pPr>
      <w:r>
        <w:t xml:space="preserve">Appendix D. Proofs of Propositions 1 to 3</w:t>
      </w:r>
    </w:p>
    <w:p>
      <w:pPr>
        <w:pStyle w:val="FirstParagraph"/>
      </w:pPr>
      <w:r>
        <w:rPr>
          <w:bCs/>
          <w:b/>
        </w:rPr>
        <w:t xml:space="preserve">Proposition 1.</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rPr>
          <w:bCs/>
          <w:b/>
        </w:rPr>
        <w:t xml:space="preserve">Proposition 2.</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rPr>
          <w:bCs/>
          <w:b/>
        </w:rPr>
        <w:t xml:space="preserve">Proposition 3.</w:t>
      </w:r>
      <w:r>
        <w:rPr>
          <w:iCs/>
          <w:i/>
        </w:rPr>
        <w:t xml:space="preserve">Proof.</w:t>
      </w:r>
      <w:r>
        <w:t xml:space="preserve"> </w:t>
      </w:r>
      <w:r>
        <w:t xml:space="preserve">(a) Let</w:t>
      </w:r>
      <w:r>
        <w:t xml:space="preserve"> </w:t>
      </w:r>
      <m:oMath>
        <m:r>
          <m:t>A</m:t>
        </m:r>
      </m:oMath>
      <w:r>
        <w:t xml:space="preserve"> </w:t>
      </w:r>
      <w:r>
        <w:t xml:space="preserve">be any event with</w:t>
      </w:r>
      <w:r>
        <w:t xml:space="preserve"> </w:t>
      </w:r>
      <m:oMath>
        <m:r>
          <m:t>P</m:t>
        </m:r>
        <m:d>
          <m:dPr>
            <m:begChr m:val="("/>
            <m:endChr m:val=")"/>
            <m:sepChr m:val=""/>
            <m:grow/>
          </m:dPr>
          <m:e>
            <m:r>
              <m:t>A</m:t>
            </m:r>
          </m:e>
        </m:d>
        <m:r>
          <m:rPr>
            <m:sty m:val="p"/>
          </m:rPr>
          <m:t>=</m:t>
        </m:r>
        <m:r>
          <m:t>q</m:t>
        </m:r>
      </m:oMath>
      <w:r>
        <w:t xml:space="preserve">. Then</w:t>
      </w:r>
      <w:r>
        <w:t xml:space="preserve"> </w:t>
      </w:r>
      <m:oMath>
        <m:r>
          <m:t>E</m:t>
        </m:r>
        <m:d>
          <m:dPr>
            <m:begChr m:val="["/>
            <m:endChr m:val="]"/>
            <m:sepChr m:val=""/>
            <m:grow/>
          </m:dPr>
          <m:e>
            <m:r>
              <m:t>Λ</m:t>
            </m:r>
            <m:sSub>
              <m:e>
                <m:r>
                  <m:rPr>
                    <m:sty m:val="b"/>
                  </m:rPr>
                  <m:t>1</m:t>
                </m:r>
              </m:e>
              <m:sub>
                <m:r>
                  <m:t>A</m:t>
                </m:r>
              </m:sub>
            </m:sSub>
          </m:e>
        </m:d>
        <m:r>
          <m:rPr>
            <m:sty m:val="p"/>
          </m:rPr>
          <m:t>=</m:t>
        </m:r>
        <m:r>
          <m:t>μ</m:t>
        </m:r>
        <m:r>
          <m:t>q</m:t>
        </m:r>
        <m:r>
          <m:rPr>
            <m:sty m:val="p"/>
          </m:rPr>
          <m:t>+</m:t>
        </m:r>
        <m:r>
          <m:rPr>
            <m:nor/>
            <m:sty m:val="p"/>
          </m:rPr>
          <m:t>Cov</m:t>
        </m:r>
        <m:d>
          <m:dPr>
            <m:begChr m:val="("/>
            <m:endChr m:val=")"/>
            <m:sepChr m:val=""/>
            <m:grow/>
          </m:dPr>
          <m:e>
            <m:r>
              <m:t>Λ</m:t>
            </m:r>
            <m:r>
              <m:rPr>
                <m:sty m:val="p"/>
              </m:rPr>
              <m:t>,</m:t>
            </m:r>
            <m:sSub>
              <m:e>
                <m:r>
                  <m:rPr>
                    <m:sty m:val="b"/>
                  </m:rPr>
                  <m:t>1</m:t>
                </m:r>
              </m:e>
              <m:sub>
                <m:r>
                  <m:t>A</m:t>
                </m:r>
              </m:sub>
            </m:sSub>
          </m:e>
        </m:d>
      </m:oMath>
      <w:r>
        <w:t xml:space="preserve">, and the Cauchy–Schwarz inequality gives</w:t>
      </w:r>
      <w:r>
        <w:t xml:space="preserve"> </w:t>
      </w:r>
      <m:oMath>
        <m:r>
          <m:rPr>
            <m:nor/>
            <m:sty m:val="p"/>
          </m:rPr>
          <m:t>Cov</m:t>
        </m:r>
        <m:d>
          <m:dPr>
            <m:begChr m:val="("/>
            <m:endChr m:val=")"/>
            <m:sepChr m:val=""/>
            <m:grow/>
          </m:dPr>
          <m:e>
            <m:r>
              <m:t>Λ</m:t>
            </m:r>
            <m:r>
              <m:rPr>
                <m:sty m:val="p"/>
              </m:rPr>
              <m:t>,</m:t>
            </m:r>
            <m:sSub>
              <m:e>
                <m:r>
                  <m:rPr>
                    <m:sty m:val="b"/>
                  </m:rPr>
                  <m:t>1</m:t>
                </m:r>
              </m:e>
              <m:sub>
                <m:r>
                  <m:t>A</m:t>
                </m:r>
              </m:sub>
            </m:sSub>
          </m:e>
        </m:d>
        <m:r>
          <m:rPr>
            <m:sty m:val="p"/>
          </m:rPr>
          <m:t>≤</m:t>
        </m:r>
        <m:rad>
          <m:radPr>
            <m:degHide m:val="on"/>
          </m:radPr>
          <m:deg/>
          <m:e>
            <m:r>
              <m:rPr>
                <m:nor/>
                <m:sty m:val="p"/>
              </m:rPr>
              <m:t>Var</m:t>
            </m:r>
            <m:d>
              <m:dPr>
                <m:begChr m:val="("/>
                <m:endChr m:val=")"/>
                <m:sepChr m:val=""/>
                <m:grow/>
              </m:dPr>
              <m:e>
                <m:r>
                  <m:t>Λ</m:t>
                </m:r>
              </m:e>
            </m:d>
          </m:e>
        </m:rad>
        <m:rad>
          <m:radPr>
            <m:degHide m:val="on"/>
          </m:radPr>
          <m:deg/>
          <m:e>
            <m:r>
              <m:t>q</m:t>
            </m:r>
            <m:d>
              <m:dPr>
                <m:begChr m:val="("/>
                <m:endChr m:val=")"/>
                <m:sepChr m:val=""/>
                <m:grow/>
              </m:dPr>
              <m:e>
                <m:r>
                  <m:t>1</m:t>
                </m:r>
                <m:r>
                  <m:rPr>
                    <m:sty m:val="p"/>
                  </m:rPr>
                  <m:t>−</m:t>
                </m:r>
                <m:r>
                  <m:t>q</m:t>
                </m:r>
              </m:e>
            </m:d>
          </m:e>
        </m:rad>
        <m:r>
          <m:rPr>
            <m:sty m:val="p"/>
          </m:rPr>
          <m:t>=</m:t>
        </m:r>
        <m:r>
          <m:t>μ</m:t>
        </m:r>
        <m:rad>
          <m:radPr>
            <m:degHide m:val="on"/>
          </m:radPr>
          <m:deg/>
          <m:e>
            <m:r>
              <m:t>α</m:t>
            </m:r>
            <m:r>
              <m:t>q</m:t>
            </m:r>
            <m:d>
              <m:dPr>
                <m:begChr m:val="("/>
                <m:endChr m:val=")"/>
                <m:sepChr m:val=""/>
                <m:grow/>
              </m:dPr>
              <m:e>
                <m:r>
                  <m:t>1</m:t>
                </m:r>
                <m:r>
                  <m:rPr>
                    <m:sty m:val="p"/>
                  </m:rPr>
                  <m:t>−</m:t>
                </m:r>
                <m:r>
                  <m:t>q</m:t>
                </m:r>
              </m:e>
            </m:d>
          </m:e>
        </m:rad>
      </m:oMath>
      <w:r>
        <w:t xml:space="preserve">. This bounds</w:t>
      </w:r>
      <w:r>
        <w:t xml:space="preserve"> </w:t>
      </w:r>
      <m:oMath>
        <m:sSub>
          <m:e>
            <m:r>
              <m:t>S</m:t>
            </m:r>
          </m:e>
          <m:sub>
            <m:r>
              <m:t>q</m:t>
            </m:r>
          </m:sub>
        </m:sSub>
      </m:oMath>
      <w:r>
        <w:t xml:space="preserve"> </w:t>
      </w:r>
      <w:r>
        <w:t xml:space="preserve">from above. For the lower bound take an event that is independent of</w:t>
      </w:r>
      <w:r>
        <w:t xml:space="preserve"> </w:t>
      </w:r>
      <m:oMath>
        <m:r>
          <m:t>Λ</m:t>
        </m:r>
      </m:oMath>
      <w:r>
        <w:t xml:space="preserve"> </w:t>
      </w:r>
      <w:r>
        <w:t xml:space="preserve">and has probability</w:t>
      </w:r>
      <w:r>
        <w:t xml:space="preserve"> </w:t>
      </w:r>
      <m:oMath>
        <m:r>
          <m:t>q</m:t>
        </m:r>
      </m:oMath>
      <w:r>
        <w:t xml:space="preserve"> </w:t>
      </w:r>
      <w:r>
        <w:t xml:space="preserve">(on a sufficiently rich probability space, or by assigning ties fractionally); it yields</w:t>
      </w:r>
      <w:r>
        <w:t xml:space="preserve"> </w:t>
      </w:r>
      <m:oMath>
        <m:r>
          <m:t>E</m:t>
        </m:r>
        <m:d>
          <m:dPr>
            <m:begChr m:val="["/>
            <m:endChr m:val="]"/>
            <m:sepChr m:val=""/>
            <m:grow/>
          </m:dPr>
          <m:e>
            <m:r>
              <m:t>Λ</m:t>
            </m:r>
            <m:sSub>
              <m:e>
                <m:r>
                  <m:rPr>
                    <m:sty m:val="b"/>
                  </m:rPr>
                  <m:t>1</m:t>
                </m:r>
              </m:e>
              <m:sub>
                <m:r>
                  <m:t>A</m:t>
                </m:r>
              </m:sub>
            </m:sSub>
          </m:e>
        </m:d>
        <m:r>
          <m:rPr>
            <m:sty m:val="p"/>
          </m:rPr>
          <m:t>=</m:t>
        </m:r>
        <m:r>
          <m:t>μ</m:t>
        </m:r>
        <m:r>
          <m:t>q</m:t>
        </m:r>
      </m:oMath>
      <w:r>
        <w:t xml:space="preserve">.</w:t>
      </w:r>
    </w:p>
    <w:p>
      <w:pPr>
        <w:numPr>
          <w:ilvl w:val="0"/>
          <w:numId w:val="1001"/>
        </w:numPr>
      </w:pPr>
      <w:r>
        <w:t xml:space="preserve">Let</w:t>
      </w:r>
      <w:r>
        <w:t xml:space="preserve"> </w:t>
      </w:r>
      <m:oMath>
        <m:r>
          <m:t>Λ</m:t>
        </m:r>
      </m:oMath>
      <w:r>
        <w:t xml:space="preserve"> </w:t>
      </w:r>
      <w:r>
        <w:t xml:space="preserve">have density</w:t>
      </w:r>
      <w:r>
        <w:t xml:space="preserve"> </w:t>
      </w:r>
      <m:oMath>
        <m:sSub>
          <m:e>
            <m:r>
              <m:t>f</m:t>
            </m:r>
          </m:e>
          <m:sub>
            <m:r>
              <m:t>k</m:t>
            </m:r>
            <m:r>
              <m:rPr>
                <m:sty m:val="p"/>
              </m:rPr>
              <m:t>,</m:t>
            </m:r>
            <m:r>
              <m:t>θ</m:t>
            </m:r>
          </m:sub>
        </m:sSub>
      </m:oMath>
      <w:r>
        <w:t xml:space="preserve"> </w:t>
      </w:r>
      <w:r>
        <w:t xml:space="preserve">with</w:t>
      </w:r>
      <w:r>
        <w:t xml:space="preserve"> </w:t>
      </w:r>
      <m:oMath>
        <m:r>
          <m:t>μ</m:t>
        </m:r>
        <m:r>
          <m:rPr>
            <m:sty m:val="p"/>
          </m:rPr>
          <m:t>=</m:t>
        </m:r>
        <m:r>
          <m:t>k</m:t>
        </m:r>
        <m:r>
          <m:t>θ</m:t>
        </m:r>
      </m:oMath>
      <w:r>
        <w:t xml:space="preserve">. Since</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we have</w:t>
      </w:r>
      <w:r>
        <w:t xml:space="preserve"> </w:t>
      </w:r>
      <m:oMath>
        <m:r>
          <m:t>E</m:t>
        </m:r>
        <m:d>
          <m:dPr>
            <m:begChr m:val="["/>
            <m:endChr m:val="]"/>
            <m:sepChr m:val=""/>
            <m:grow/>
          </m:dPr>
          <m:e>
            <m:r>
              <m:t>Λ</m:t>
            </m:r>
            <m:r>
              <m:rPr>
                <m:sty m:val="b"/>
              </m:rPr>
              <m:t>1</m:t>
            </m:r>
            <m:r>
              <m:rPr>
                <m:sty m:val="p"/>
              </m:rPr>
              <m:t>{</m:t>
            </m:r>
            <m:r>
              <m:t>Λ</m:t>
            </m:r>
            <m:r>
              <m:rPr>
                <m:sty m:val="p"/>
              </m:rPr>
              <m:t>&gt;</m:t>
            </m:r>
            <m:r>
              <m:t>x</m:t>
            </m:r>
            <m:r>
              <m:rPr>
                <m:sty m:val="p"/>
              </m:rPr>
              <m:t>}</m:t>
            </m:r>
          </m:e>
        </m:d>
        <m:r>
          <m:rPr>
            <m:sty m:val="p"/>
          </m:rPr>
          <m:t>=</m:t>
        </m:r>
        <m:r>
          <m:t>μ</m:t>
        </m:r>
        <m:r>
          <m:t> </m:t>
        </m:r>
        <m:r>
          <m:t>P</m:t>
        </m:r>
        <m:d>
          <m:dPr>
            <m:begChr m:val="("/>
            <m:endChr m:val=")"/>
            <m:sepChr m:val=""/>
            <m:grow/>
          </m:dPr>
          <m:e>
            <m:sSub>
              <m:e>
                <m:r>
                  <m:t>G</m:t>
                </m:r>
              </m:e>
              <m:sub>
                <m:r>
                  <m:t>k</m:t>
                </m:r>
                <m:r>
                  <m:rPr>
                    <m:sty m:val="p"/>
                  </m:rPr>
                  <m:t>+</m:t>
                </m:r>
                <m:r>
                  <m:t>1</m:t>
                </m:r>
                <m:r>
                  <m:rPr>
                    <m:sty m:val="p"/>
                  </m:rPr>
                  <m:t>,</m:t>
                </m:r>
                <m:r>
                  <m:t>θ</m:t>
                </m:r>
              </m:sub>
            </m:sSub>
            <m:r>
              <m:rPr>
                <m:sty m:val="p"/>
              </m:rPr>
              <m:t>&gt;</m:t>
            </m:r>
            <m:r>
              <m:t>x</m:t>
            </m:r>
          </m:e>
        </m:d>
      </m:oMath>
      <w:r>
        <w:t xml:space="preserve"> </w:t>
      </w:r>
      <w:r>
        <w:t xml:space="preserve">for a gamma variable</w:t>
      </w:r>
      <w:r>
        <w:t xml:space="preserve"> </w:t>
      </w:r>
      <m:oMath>
        <m:sSub>
          <m:e>
            <m:r>
              <m:t>G</m:t>
            </m:r>
          </m:e>
          <m:sub>
            <m:r>
              <m:t>k</m:t>
            </m:r>
            <m:r>
              <m:rPr>
                <m:sty m:val="p"/>
              </m:rPr>
              <m:t>+</m:t>
            </m:r>
            <m:r>
              <m:t>1</m:t>
            </m:r>
            <m:r>
              <m:rPr>
                <m:sty m:val="p"/>
              </m:rPr>
              <m:t>,</m:t>
            </m:r>
            <m:r>
              <m:t>θ</m:t>
            </m:r>
          </m:sub>
        </m:sSub>
      </m:oMath>
      <w:r>
        <w:t xml:space="preserve"> </w:t>
      </w:r>
      <w:r>
        <w:t xml:space="preserve">with shape</w:t>
      </w:r>
      <w:r>
        <w:t xml:space="preserve"> </w:t>
      </w:r>
      <m:oMath>
        <m:r>
          <m:t>k</m:t>
        </m:r>
        <m:r>
          <m:rPr>
            <m:sty m:val="p"/>
          </m:rPr>
          <m:t>+</m:t>
        </m:r>
        <m:r>
          <m:t>1</m:t>
        </m:r>
      </m:oMath>
      <w:r>
        <w:t xml:space="preserve"> </w:t>
      </w:r>
      <w:r>
        <w:t xml:space="preserve">and scale</w:t>
      </w:r>
      <w:r>
        <w:t xml:space="preserve"> </w:t>
      </w:r>
      <m:oMath>
        <m:r>
          <m:t>θ</m:t>
        </m:r>
      </m:oMath>
      <w:r>
        <w:t xml:space="preserve">. The maximum in the definition of</w:t>
      </w:r>
      <w:r>
        <w:t xml:space="preserve"> </w:t>
      </w:r>
      <m:oMath>
        <m:sSub>
          <m:e>
            <m:r>
              <m:t>S</m:t>
            </m:r>
          </m:e>
          <m:sub>
            <m:r>
              <m:t>q</m:t>
            </m:r>
          </m:sub>
        </m:sSub>
      </m:oMath>
      <w:r>
        <w:t xml:space="preserve"> </w:t>
      </w:r>
      <w:r>
        <w:t xml:space="preserve">is attained by the event</w:t>
      </w:r>
      <w:r>
        <w:t xml:space="preserve"> </w:t>
      </w:r>
      <m:oMath>
        <m:r>
          <m:rPr>
            <m:sty m:val="p"/>
          </m:rPr>
          <m:t>{</m:t>
        </m:r>
        <m:r>
          <m:t>Λ</m:t>
        </m:r>
        <m:r>
          <m:rPr>
            <m:sty m:val="p"/>
          </m:rPr>
          <m:t>&gt;</m:t>
        </m:r>
        <m:sSub>
          <m:e>
            <m:r>
              <m:t>x</m:t>
            </m:r>
          </m:e>
          <m:sub>
            <m:r>
              <m:t>q</m:t>
            </m:r>
          </m:sub>
        </m:sSub>
        <m:r>
          <m:rPr>
            <m:sty m:val="p"/>
          </m:rPr>
          <m:t>}</m:t>
        </m:r>
      </m:oMath>
      <w:r>
        <w:t xml:space="preserve"> </w:t>
      </w:r>
      <w:r>
        <w:t xml:space="preserve">with</w:t>
      </w:r>
      <w:r>
        <w:t xml:space="preserve"> </w:t>
      </w:r>
      <m:oMath>
        <m:r>
          <m:t>P</m:t>
        </m:r>
        <m:d>
          <m:dPr>
            <m:begChr m:val="("/>
            <m:endChr m:val=")"/>
            <m:sepChr m:val=""/>
            <m:grow/>
          </m:dPr>
          <m:e>
            <m:r>
              <m:t>Λ</m:t>
            </m:r>
            <m:r>
              <m:rPr>
                <m:sty m:val="p"/>
              </m:rPr>
              <m:t>&gt;</m:t>
            </m:r>
            <m:sSub>
              <m:e>
                <m:r>
                  <m:t>x</m:t>
                </m:r>
              </m:e>
              <m:sub>
                <m:r>
                  <m:t>q</m:t>
                </m:r>
              </m:sub>
            </m:sSub>
          </m:e>
        </m:d>
        <m:r>
          <m:rPr>
            <m:sty m:val="p"/>
          </m:rPr>
          <m:t>=</m:t>
        </m:r>
        <m:r>
          <m:t>q</m:t>
        </m:r>
      </m:oMath>
      <w:r>
        <w:t xml:space="preserve">, because</w:t>
      </w:r>
      <w:r>
        <w:t xml:space="preserve"> </w:t>
      </w:r>
      <m:oMath>
        <m:r>
          <m:t>E</m:t>
        </m:r>
        <m:d>
          <m:dPr>
            <m:begChr m:val="["/>
            <m:endChr m:val="]"/>
            <m:sepChr m:val=""/>
            <m:grow/>
          </m:dPr>
          <m:e>
            <m:r>
              <m:t>Λ</m:t>
            </m:r>
            <m:sSub>
              <m:e>
                <m:r>
                  <m:rPr>
                    <m:sty m:val="b"/>
                  </m:rPr>
                  <m:t>1</m:t>
                </m:r>
              </m:e>
              <m:sub>
                <m:r>
                  <m:t>A</m:t>
                </m:r>
              </m:sub>
            </m:sSub>
          </m:e>
        </m:d>
      </m:oMath>
      <w:r>
        <w:t xml:space="preserve"> </w:t>
      </w:r>
      <w:r>
        <w:t xml:space="preserve">is largest when</w:t>
      </w:r>
      <w:r>
        <w:t xml:space="preserve"> </w:t>
      </w:r>
      <m:oMath>
        <m:r>
          <m:t>A</m:t>
        </m:r>
      </m:oMath>
      <w:r>
        <w:t xml:space="preserve"> </w:t>
      </w:r>
      <w:r>
        <w:t xml:space="preserve">collects the largest values of</w:t>
      </w:r>
      <w:r>
        <w:t xml:space="preserve"> </w:t>
      </w:r>
      <m:oMath>
        <m:r>
          <m:t>Λ</m:t>
        </m:r>
      </m:oMath>
      <w:r>
        <w:t xml:space="preserve">. Hence</w:t>
      </w:r>
      <w:r>
        <w:t xml:space="preserve"> </w:t>
      </w:r>
      <m:oMath>
        <m:sSub>
          <m:e>
            <m:r>
              <m:t>S</m:t>
            </m:r>
          </m:e>
          <m:sub>
            <m:r>
              <m:t>q</m:t>
            </m:r>
          </m:sub>
        </m:sSub>
        <m:r>
          <m:rPr>
            <m:sty m:val="p"/>
          </m:rPr>
          <m:t>=</m:t>
        </m:r>
        <m:r>
          <m:t>P</m:t>
        </m:r>
        <m:d>
          <m:dPr>
            <m:begChr m:val="("/>
            <m:endChr m:val=")"/>
            <m:sepChr m:val=""/>
            <m:grow/>
          </m:dPr>
          <m:e>
            <m:sSub>
              <m:e>
                <m:r>
                  <m:t>G</m:t>
                </m:r>
              </m:e>
              <m:sub>
                <m:r>
                  <m:t>k</m:t>
                </m:r>
                <m:r>
                  <m:rPr>
                    <m:sty m:val="p"/>
                  </m:rPr>
                  <m:t>+</m:t>
                </m:r>
                <m:r>
                  <m:t>1</m:t>
                </m:r>
                <m:r>
                  <m:rPr>
                    <m:sty m:val="p"/>
                  </m:rPr>
                  <m:t>,</m:t>
                </m:r>
                <m:r>
                  <m:t>θ</m:t>
                </m:r>
              </m:sub>
            </m:sSub>
            <m:r>
              <m:rPr>
                <m:sty m:val="p"/>
              </m:rPr>
              <m:t>&gt;</m:t>
            </m:r>
            <m:sSub>
              <m:e>
                <m:r>
                  <m:t>x</m:t>
                </m:r>
              </m:e>
              <m:sub>
                <m:r>
                  <m:t>q</m:t>
                </m:r>
              </m:sub>
            </m:sSub>
          </m:e>
        </m:d>
      </m:oMath>
      <w:r>
        <w:t xml:space="preserve"> </w:t>
      </w:r>
      <w:r>
        <w:t xml:space="preserve">with</w:t>
      </w:r>
      <w:r>
        <w:t xml:space="preserve"> </w:t>
      </w:r>
      <m:oMath>
        <m:sSub>
          <m:e>
            <m:r>
              <m:t>x</m:t>
            </m:r>
          </m:e>
          <m:sub>
            <m:r>
              <m:t>q</m:t>
            </m:r>
          </m:sub>
        </m:sSub>
        <m:r>
          <m:rPr>
            <m:sty m:val="p"/>
          </m:rPr>
          <m:t>=</m:t>
        </m:r>
        <m:r>
          <m:t>θ</m:t>
        </m:r>
        <m:sSubSup>
          <m:e>
            <m:r>
              <m:t>F</m:t>
            </m:r>
          </m:e>
          <m:sub>
            <m:r>
              <m:t>k</m:t>
            </m:r>
          </m:sub>
          <m:sup>
            <m:r>
              <m:rPr>
                <m:sty m:val="p"/>
              </m:rPr>
              <m:t>−</m:t>
            </m:r>
            <m:r>
              <m:t>1</m:t>
            </m:r>
          </m:sup>
        </m:sSubSup>
        <m:d>
          <m:dPr>
            <m:begChr m:val="("/>
            <m:endChr m:val=")"/>
            <m:sepChr m:val=""/>
            <m:grow/>
          </m:dPr>
          <m:e>
            <m:r>
              <m:t>1</m:t>
            </m:r>
            <m:r>
              <m:rPr>
                <m:sty m:val="p"/>
              </m:rPr>
              <m:t>−</m:t>
            </m:r>
            <m:r>
              <m:t>q</m:t>
            </m:r>
          </m:e>
        </m:d>
      </m:oMath>
      <w:r>
        <w:t xml:space="preserve">, which is the stated expression.</w:t>
      </w:r>
    </w:p>
    <w:p>
      <w:pPr>
        <w:numPr>
          <w:ilvl w:val="0"/>
          <w:numId w:val="1001"/>
        </w:numPr>
      </w:pPr>
      <w:r>
        <w:t xml:space="preserve">The limit follows from (a), because the upper bound tends to</w:t>
      </w:r>
      <w:r>
        <w:t xml:space="preserve"> </w:t>
      </w:r>
      <m:oMath>
        <m:r>
          <m:t>q</m:t>
        </m:r>
      </m:oMath>
      <w:r>
        <w:t xml:space="preserve"> </w:t>
      </w:r>
      <w:r>
        <w:t xml:space="preserve">as</w:t>
      </w:r>
      <w:r>
        <w:t xml:space="preserve"> </w:t>
      </w:r>
      <m:oMath>
        <m:r>
          <m:t>α</m:t>
        </m:r>
        <m:r>
          <m:rPr>
            <m:sty m:val="p"/>
          </m:rPr>
          <m:t>→</m:t>
        </m:r>
        <m:r>
          <m:t>0</m:t>
        </m:r>
      </m:oMath>
      <w:r>
        <w:t xml:space="preserve">. For monotonicity let</w:t>
      </w:r>
      <w:r>
        <w:t xml:space="preserve"> </w:t>
      </w:r>
      <m:oMath>
        <m:sSub>
          <m:e>
            <m:r>
              <m:t>k</m:t>
            </m:r>
          </m:e>
          <m:sub>
            <m:r>
              <m:t>1</m:t>
            </m:r>
          </m:sub>
        </m:sSub>
        <m:r>
          <m:rPr>
            <m:sty m:val="p"/>
          </m:rPr>
          <m:t>&lt;</m:t>
        </m:r>
        <m:sSub>
          <m:e>
            <m:r>
              <m:t>k</m:t>
            </m:r>
          </m:e>
          <m:sub>
            <m:r>
              <m:t>2</m:t>
            </m:r>
          </m:sub>
        </m:sSub>
      </m:oMath>
      <w:r>
        <w:t xml:space="preserve">, so that</w:t>
      </w:r>
      <w:r>
        <w:t xml:space="preserve"> </w:t>
      </w:r>
      <m:oMath>
        <m:sSub>
          <m:e>
            <m:r>
              <m:t>α</m:t>
            </m:r>
          </m:e>
          <m:sub>
            <m:r>
              <m:t>1</m:t>
            </m:r>
          </m:sub>
        </m:sSub>
        <m:r>
          <m:rPr>
            <m:sty m:val="p"/>
          </m:rPr>
          <m:t>&gt;</m:t>
        </m:r>
        <m:sSub>
          <m:e>
            <m:r>
              <m:t>α</m:t>
            </m:r>
          </m:e>
          <m:sub>
            <m:r>
              <m:t>2</m:t>
            </m:r>
          </m:sub>
        </m:sSub>
      </m:oMath>
      <w:r>
        <w:t xml:space="preserve">, and let</w:t>
      </w:r>
      <w:r>
        <w:t xml:space="preserve"> </w:t>
      </w:r>
      <m:oMath>
        <m:sSub>
          <m:e>
            <m:r>
              <m:t>Y</m:t>
            </m:r>
          </m:e>
          <m:sub>
            <m:r>
              <m:t>j</m:t>
            </m:r>
          </m:sub>
        </m:sSub>
      </m:oMath>
      <w:r>
        <w:t xml:space="preserve"> </w:t>
      </w:r>
      <w:r>
        <w:t xml:space="preserve">be gamma variables with shape</w:t>
      </w:r>
      <w:r>
        <w:t xml:space="preserve"> </w:t>
      </w:r>
      <m:oMath>
        <m:sSub>
          <m:e>
            <m:r>
              <m:t>k</m:t>
            </m:r>
          </m:e>
          <m:sub>
            <m:r>
              <m:t>j</m:t>
            </m:r>
          </m:sub>
        </m:sSub>
      </m:oMath>
      <w:r>
        <w:t xml:space="preserve"> </w:t>
      </w:r>
      <w:r>
        <w:t xml:space="preserve">and mean one. By the beta–gamma algebra, if</w:t>
      </w:r>
      <w:r>
        <w:t xml:space="preserve"> </w:t>
      </w:r>
      <m:oMath>
        <m:r>
          <m:t>G</m:t>
        </m:r>
        <m:r>
          <m:rPr>
            <m:sty m:val="p"/>
          </m:rPr>
          <m:t>∼</m:t>
        </m:r>
        <m:r>
          <m:rPr>
            <m:nor/>
            <m:sty m:val="p"/>
          </m:rPr>
          <m:t>Gamma</m:t>
        </m:r>
        <m:d>
          <m:dPr>
            <m:begChr m:val="("/>
            <m:endChr m:val=")"/>
            <m:sepChr m:val=""/>
            <m:grow/>
          </m:dPr>
          <m:e>
            <m:sSub>
              <m:e>
                <m:r>
                  <m:t>k</m:t>
                </m:r>
              </m:e>
              <m:sub>
                <m:r>
                  <m:t>2</m:t>
                </m:r>
              </m:sub>
            </m:sSub>
            <m:r>
              <m:rPr>
                <m:sty m:val="p"/>
              </m:rPr>
              <m:t>,</m:t>
            </m:r>
            <m:r>
              <m:t>1</m:t>
            </m:r>
          </m:e>
        </m:d>
      </m:oMath>
      <w:r>
        <w:t xml:space="preserve"> </w:t>
      </w:r>
      <w:r>
        <w:t xml:space="preserve">and</w:t>
      </w:r>
      <w:r>
        <w:t xml:space="preserve"> </w:t>
      </w:r>
      <m:oMath>
        <m:r>
          <m:t>B</m:t>
        </m:r>
        <m:r>
          <m:rPr>
            <m:sty m:val="p"/>
          </m:rPr>
          <m:t>∼</m:t>
        </m:r>
        <m:r>
          <m:rPr>
            <m:nor/>
            <m:sty m:val="p"/>
          </m:rPr>
          <m:t>Beta</m:t>
        </m:r>
        <m:d>
          <m:dPr>
            <m:begChr m:val="("/>
            <m:endChr m:val=")"/>
            <m:sepChr m:val=""/>
            <m:grow/>
          </m:dPr>
          <m:e>
            <m:sSub>
              <m:e>
                <m:r>
                  <m:t>k</m:t>
                </m:r>
              </m:e>
              <m:sub>
                <m:r>
                  <m:t>1</m:t>
                </m:r>
              </m:sub>
            </m:sSub>
            <m:r>
              <m:rPr>
                <m:sty m:val="p"/>
              </m:rPr>
              <m:t>,</m:t>
            </m:r>
            <m:sSub>
              <m:e>
                <m:r>
                  <m:t>k</m:t>
                </m:r>
              </m:e>
              <m:sub>
                <m:r>
                  <m:t>2</m:t>
                </m:r>
              </m:sub>
            </m:sSub>
            <m:r>
              <m:rPr>
                <m:sty m:val="p"/>
              </m:rPr>
              <m:t>−</m:t>
            </m:r>
            <m:sSub>
              <m:e>
                <m:r>
                  <m:t>k</m:t>
                </m:r>
              </m:e>
              <m:sub>
                <m:r>
                  <m:t>1</m:t>
                </m:r>
              </m:sub>
            </m:sSub>
          </m:e>
        </m:d>
      </m:oMath>
      <w:r>
        <w:t xml:space="preserve"> </w:t>
      </w:r>
      <w:r>
        <w:t xml:space="preserve">are independent, then</w:t>
      </w:r>
      <w:r>
        <w:t xml:space="preserve"> </w:t>
      </w:r>
      <m:oMath>
        <m:r>
          <m:t>B</m:t>
        </m:r>
        <m:r>
          <m:t>G</m:t>
        </m:r>
        <m:r>
          <m:rPr>
            <m:sty m:val="p"/>
          </m:rPr>
          <m:t>∼</m:t>
        </m:r>
        <m:r>
          <m:rPr>
            <m:nor/>
            <m:sty m:val="p"/>
          </m:rPr>
          <m:t>Gamma</m:t>
        </m:r>
        <m:d>
          <m:dPr>
            <m:begChr m:val="("/>
            <m:endChr m:val=")"/>
            <m:sepChr m:val=""/>
            <m:grow/>
          </m:dPr>
          <m:e>
            <m:sSub>
              <m:e>
                <m:r>
                  <m:t>k</m:t>
                </m:r>
              </m:e>
              <m:sub>
                <m:r>
                  <m:t>1</m:t>
                </m:r>
              </m:sub>
            </m:sSub>
            <m:r>
              <m:rPr>
                <m:sty m:val="p"/>
              </m:rPr>
              <m:t>,</m:t>
            </m:r>
            <m:r>
              <m:t>1</m:t>
            </m:r>
          </m:e>
        </m:d>
      </m:oMath>
      <w:r>
        <w:t xml:space="preserve">. Hence</w:t>
      </w:r>
      <w:r>
        <w:t xml:space="preserve"> </w:t>
      </w:r>
      <m:oMath>
        <m:sSub>
          <m:e>
            <m:r>
              <m:t>Y</m:t>
            </m:r>
          </m:e>
          <m:sub>
            <m:r>
              <m:t>1</m:t>
            </m:r>
          </m:sub>
        </m:sSub>
      </m:oMath>
      <w:r>
        <w:t xml:space="preserve"> </w:t>
      </w:r>
      <w:r>
        <w:t xml:space="preserve">has the distribution of</w:t>
      </w:r>
      <w:r>
        <w:t xml:space="preserve"> </w:t>
      </w:r>
      <m:oMath>
        <m:r>
          <m:t>M</m:t>
        </m:r>
        <m:sSub>
          <m:e>
            <m:r>
              <m:t>Y</m:t>
            </m:r>
          </m:e>
          <m:sub>
            <m:r>
              <m:t>2</m:t>
            </m:r>
          </m:sub>
        </m:sSub>
      </m:oMath>
      <w:r>
        <w:t xml:space="preserve"> </w:t>
      </w:r>
      <w:r>
        <w:t xml:space="preserve">with</w:t>
      </w:r>
      <w:r>
        <w:t xml:space="preserve"> </w:t>
      </w:r>
      <m:oMath>
        <m:sSub>
          <m:e>
            <m:r>
              <m:t>Y</m:t>
            </m:r>
          </m:e>
          <m:sub>
            <m:r>
              <m:t>2</m:t>
            </m:r>
          </m:sub>
        </m:sSub>
        <m:r>
          <m:rPr>
            <m:sty m:val="p"/>
          </m:rPr>
          <m:t>=</m:t>
        </m:r>
        <m:r>
          <m:t>G</m:t>
        </m:r>
        <m:r>
          <m:rPr>
            <m:sty m:val="p"/>
          </m:rPr>
          <m:t>/</m:t>
        </m:r>
        <m:sSub>
          <m:e>
            <m:r>
              <m:t>k</m:t>
            </m:r>
          </m:e>
          <m:sub>
            <m:r>
              <m:t>2</m:t>
            </m:r>
          </m:sub>
        </m:sSub>
      </m:oMath>
      <w:r>
        <w:t xml:space="preserve"> </w:t>
      </w:r>
      <w:r>
        <w:t xml:space="preserve">and</w:t>
      </w:r>
      <w:r>
        <w:t xml:space="preserve"> </w:t>
      </w:r>
      <m:oMath>
        <m:r>
          <m:t>M</m:t>
        </m:r>
        <m:r>
          <m:rPr>
            <m:sty m:val="p"/>
          </m:rPr>
          <m:t>=</m:t>
        </m:r>
        <m:r>
          <m:t>B</m:t>
        </m:r>
        <m:sSub>
          <m:e>
            <m:r>
              <m:t>k</m:t>
            </m:r>
          </m:e>
          <m:sub>
            <m:r>
              <m:t>2</m:t>
            </m:r>
          </m:sub>
        </m:sSub>
        <m:r>
          <m:rPr>
            <m:sty m:val="p"/>
          </m:rPr>
          <m:t>/</m:t>
        </m:r>
        <m:sSub>
          <m:e>
            <m:r>
              <m:t>k</m:t>
            </m:r>
          </m:e>
          <m:sub>
            <m:r>
              <m:t>1</m:t>
            </m:r>
          </m:sub>
        </m:sSub>
      </m:oMath>
      <w:r>
        <w:t xml:space="preserve">, where</w:t>
      </w:r>
      <w:r>
        <w:t xml:space="preserve"> </w:t>
      </w:r>
      <m:oMath>
        <m:r>
          <m:t>M</m:t>
        </m:r>
      </m:oMath>
      <w:r>
        <w:t xml:space="preserve"> </w:t>
      </w:r>
      <w:r>
        <w:t xml:space="preserve">is independent of</w:t>
      </w:r>
      <w:r>
        <w:t xml:space="preserve"> </w:t>
      </w:r>
      <m:oMath>
        <m:sSub>
          <m:e>
            <m:r>
              <m:t>Y</m:t>
            </m:r>
          </m:e>
          <m:sub>
            <m:r>
              <m:t>2</m:t>
            </m:r>
          </m:sub>
        </m:sSub>
      </m:oMath>
      <w:r>
        <w:t xml:space="preserve">, non-degenerate, and has</w:t>
      </w:r>
      <w:r>
        <w:t xml:space="preserve"> </w:t>
      </w:r>
      <m:oMath>
        <m:r>
          <m:t>E</m:t>
        </m:r>
        <m:d>
          <m:dPr>
            <m:begChr m:val="["/>
            <m:endChr m:val="]"/>
            <m:sepChr m:val=""/>
            <m:grow/>
          </m:dPr>
          <m:e>
            <m:r>
              <m:t>M</m:t>
            </m:r>
          </m:e>
        </m:d>
        <m:r>
          <m:rPr>
            <m:sty m:val="p"/>
          </m:rPr>
          <m:t>=</m:t>
        </m:r>
        <m:r>
          <m:t>1</m:t>
        </m:r>
      </m:oMath>
      <w:r>
        <w:t xml:space="preserve">. Let</w:t>
      </w:r>
      <w:r>
        <w:t xml:space="preserve"> </w:t>
      </w:r>
      <m:oMath>
        <m:sSup>
          <m:e>
            <m:r>
              <m:t>A</m:t>
            </m:r>
          </m:e>
          <m:sup>
            <m:r>
              <m:rPr>
                <m:sty m:val="p"/>
              </m:rPr>
              <m:t>*</m:t>
            </m:r>
          </m:sup>
        </m:sSup>
        <m:r>
          <m:rPr>
            <m:sty m:val="p"/>
          </m:rPr>
          <m:t>=</m:t>
        </m:r>
        <m:r>
          <m:rPr>
            <m:sty m:val="p"/>
          </m:rPr>
          <m:t>{</m:t>
        </m:r>
        <m:sSub>
          <m:e>
            <m:r>
              <m:t>Y</m:t>
            </m:r>
          </m:e>
          <m:sub>
            <m:r>
              <m:t>2</m:t>
            </m:r>
          </m:sub>
        </m:sSub>
        <m:r>
          <m:rPr>
            <m:sty m:val="p"/>
          </m:rPr>
          <m:t>&gt;</m:t>
        </m:r>
        <m:sSup>
          <m:e>
            <m:r>
              <m:t>x</m:t>
            </m:r>
          </m:e>
          <m:sup>
            <m:r>
              <m:rPr>
                <m:sty m:val="p"/>
              </m:rPr>
              <m:t>*</m:t>
            </m:r>
          </m:sup>
        </m:sSup>
        <m:r>
          <m:rPr>
            <m:sty m:val="p"/>
          </m:rPr>
          <m:t>}</m:t>
        </m:r>
      </m:oMath>
      <w:r>
        <w:t xml:space="preserve"> </w:t>
      </w:r>
      <w:r>
        <w:t xml:space="preserve">be the event with probability</w:t>
      </w:r>
      <w:r>
        <w:t xml:space="preserve"> </w:t>
      </w:r>
      <m:oMath>
        <m:r>
          <m:t>q</m:t>
        </m:r>
      </m:oMath>
      <w:r>
        <w:t xml:space="preserve"> </w:t>
      </w:r>
      <w:r>
        <w:t xml:space="preserve">that attains</w:t>
      </w:r>
      <w:r>
        <w:t xml:space="preserve"> </w:t>
      </w:r>
      <m:oMath>
        <m:sSub>
          <m:e>
            <m:r>
              <m:t>S</m:t>
            </m:r>
          </m:e>
          <m:sub>
            <m:r>
              <m:t>q</m:t>
            </m:r>
          </m:sub>
        </m:sSub>
      </m:oMath>
      <w:r>
        <w:t xml:space="preserve"> </w:t>
      </w:r>
      <w:r>
        <w:t xml:space="preserve">for</w:t>
      </w:r>
      <w:r>
        <w:t xml:space="preserve"> </w:t>
      </w:r>
      <m:oMath>
        <m:sSub>
          <m:e>
            <m:r>
              <m:t>Y</m:t>
            </m:r>
          </m:e>
          <m:sub>
            <m:r>
              <m:t>2</m:t>
            </m:r>
          </m:sub>
        </m:sSub>
      </m:oMath>
      <w:r>
        <w:t xml:space="preserve">. Then</w:t>
      </w:r>
      <w:r>
        <w:t xml:space="preserve"> </w:t>
      </w:r>
      <m:oMath>
        <m:sSub>
          <m:e>
            <m:r>
              <m:t>S</m:t>
            </m:r>
          </m:e>
          <m:sub>
            <m:r>
              <m:t>q</m:t>
            </m:r>
          </m:sub>
        </m:sSub>
        <m:d>
          <m:dPr>
            <m:begChr m:val="("/>
            <m:endChr m:val=")"/>
            <m:sepChr m:val=""/>
            <m:grow/>
          </m:dPr>
          <m:e>
            <m:sSub>
              <m:e>
                <m:r>
                  <m:t>α</m:t>
                </m:r>
              </m:e>
              <m:sub>
                <m:r>
                  <m:t>1</m:t>
                </m:r>
              </m:sub>
            </m:sSub>
          </m:e>
        </m:d>
        <m:r>
          <m:rPr>
            <m:sty m:val="p"/>
          </m:rPr>
          <m:t>≥</m:t>
        </m:r>
        <m:r>
          <m:t>E</m:t>
        </m:r>
        <m:d>
          <m:dPr>
            <m:begChr m:val="["/>
            <m:endChr m:val="]"/>
            <m:sepChr m:val=""/>
            <m:grow/>
          </m:dPr>
          <m:e>
            <m:r>
              <m:t>M</m:t>
            </m:r>
            <m:sSub>
              <m:e>
                <m:r>
                  <m:t>Y</m:t>
                </m:r>
              </m:e>
              <m:sub>
                <m:r>
                  <m:t>2</m:t>
                </m:r>
              </m:sub>
            </m:sSub>
            <m:sSub>
              <m:e>
                <m:r>
                  <m:rPr>
                    <m:sty m:val="b"/>
                  </m:rPr>
                  <m:t>1</m:t>
                </m:r>
              </m:e>
              <m:sub>
                <m:sSup>
                  <m:e>
                    <m:r>
                      <m:t>A</m:t>
                    </m:r>
                  </m:e>
                  <m:sup>
                    <m:r>
                      <m:rPr>
                        <m:sty m:val="p"/>
                      </m:rPr>
                      <m:t>*</m:t>
                    </m:r>
                  </m:sup>
                </m:sSup>
              </m:sub>
            </m:sSub>
          </m:e>
        </m:d>
        <m:r>
          <m:rPr>
            <m:sty m:val="p"/>
          </m:rPr>
          <m:t>=</m:t>
        </m:r>
        <m:r>
          <m:t>E</m:t>
        </m:r>
        <m:d>
          <m:dPr>
            <m:begChr m:val="["/>
            <m:endChr m:val="]"/>
            <m:sepChr m:val=""/>
            <m:grow/>
          </m:dPr>
          <m:e>
            <m:r>
              <m:t>M</m:t>
            </m:r>
          </m:e>
        </m:d>
        <m:r>
          <m:t> </m:t>
        </m:r>
        <m:r>
          <m:t>E</m:t>
        </m:r>
        <m:d>
          <m:dPr>
            <m:begChr m:val="["/>
            <m:endChr m:val="]"/>
            <m:sepChr m:val=""/>
            <m:grow/>
          </m:dPr>
          <m:e>
            <m:sSub>
              <m:e>
                <m:r>
                  <m:t>Y</m:t>
                </m:r>
              </m:e>
              <m:sub>
                <m:r>
                  <m:t>2</m:t>
                </m:r>
              </m:sub>
            </m:sSub>
            <m:sSub>
              <m:e>
                <m:r>
                  <m:rPr>
                    <m:sty m:val="b"/>
                  </m:rPr>
                  <m:t>1</m:t>
                </m:r>
              </m:e>
              <m:sub>
                <m:sSup>
                  <m:e>
                    <m:r>
                      <m:t>A</m:t>
                    </m:r>
                  </m:e>
                  <m:sup>
                    <m:r>
                      <m:rPr>
                        <m:sty m:val="p"/>
                      </m:rPr>
                      <m:t>*</m:t>
                    </m:r>
                  </m:sup>
                </m:sSup>
              </m:sub>
            </m:sSub>
          </m:e>
        </m:d>
        <m:r>
          <m:rPr>
            <m:sty m:val="p"/>
          </m:rPr>
          <m:t>=</m:t>
        </m:r>
        <m:sSub>
          <m:e>
            <m:r>
              <m:t>S</m:t>
            </m:r>
          </m:e>
          <m:sub>
            <m:r>
              <m:t>q</m:t>
            </m:r>
          </m:sub>
        </m:sSub>
        <m:d>
          <m:dPr>
            <m:begChr m:val="("/>
            <m:endChr m:val=")"/>
            <m:sepChr m:val=""/>
            <m:grow/>
          </m:dPr>
          <m:e>
            <m:sSub>
              <m:e>
                <m:r>
                  <m:t>α</m:t>
                </m:r>
              </m:e>
              <m:sub>
                <m:r>
                  <m:t>2</m:t>
                </m:r>
              </m:sub>
            </m:sSub>
          </m:e>
        </m:d>
      </m:oMath>
      <w:r>
        <w:t xml:space="preserve">. The inequality is strict, because the maximizing event for</w:t>
      </w:r>
      <w:r>
        <w:t xml:space="preserve"> </w:t>
      </w:r>
      <m:oMath>
        <m:r>
          <m:t>M</m:t>
        </m:r>
        <m:sSub>
          <m:e>
            <m:r>
              <m:t>Y</m:t>
            </m:r>
          </m:e>
          <m:sub>
            <m:r>
              <m:t>2</m:t>
            </m:r>
          </m:sub>
        </m:sSub>
      </m:oMath>
      <w:r>
        <w:t xml:space="preserve"> </w:t>
      </w:r>
      <w:r>
        <w:t xml:space="preserve">is</w:t>
      </w:r>
      <w:r>
        <w:t xml:space="preserve"> </w:t>
      </w:r>
      <m:oMath>
        <m:r>
          <m:rPr>
            <m:sty m:val="p"/>
          </m:rPr>
          <m:t>{</m:t>
        </m:r>
        <m:r>
          <m:t>M</m:t>
        </m:r>
        <m:sSub>
          <m:e>
            <m:r>
              <m:t>Y</m:t>
            </m:r>
          </m:e>
          <m:sub>
            <m:r>
              <m:t>2</m:t>
            </m:r>
          </m:sub>
        </m:sSub>
        <m:r>
          <m:rPr>
            <m:sty m:val="p"/>
          </m:rPr>
          <m:t>&gt;</m:t>
        </m:r>
        <m:sSup>
          <m:e>
            <m:r>
              <m:t>y</m:t>
            </m:r>
          </m:e>
          <m:sup>
            <m:r>
              <m:rPr>
                <m:sty m:val="p"/>
              </m:rPr>
              <m:t>*</m:t>
            </m:r>
          </m:sup>
        </m:sSup>
        <m:r>
          <m:rPr>
            <m:sty m:val="p"/>
          </m:rPr>
          <m:t>}</m:t>
        </m:r>
      </m:oMath>
      <w:r>
        <w:t xml:space="preserve">, which differs from</w:t>
      </w:r>
      <w:r>
        <w:t xml:space="preserve"> </w:t>
      </w:r>
      <m:oMath>
        <m:sSup>
          <m:e>
            <m:r>
              <m:t>A</m:t>
            </m:r>
          </m:e>
          <m:sup>
            <m:r>
              <m:rPr>
                <m:sty m:val="p"/>
              </m:rPr>
              <m:t>*</m:t>
            </m:r>
          </m:sup>
        </m:sSup>
      </m:oMath>
      <w:r>
        <w:t xml:space="preserve"> </w:t>
      </w:r>
      <w:r>
        <w:t xml:space="preserve">with positive probability when</w:t>
      </w:r>
      <w:r>
        <w:t xml:space="preserve"> </w:t>
      </w:r>
      <m:oMath>
        <m:r>
          <m:t>M</m:t>
        </m:r>
      </m:oMath>
      <w:r>
        <w:t xml:space="preserve"> </w:t>
      </w:r>
      <w:r>
        <w:t xml:space="preserve">is non-degenerate, and the maximizing event is unique up to null sets.</w:t>
      </w:r>
    </w:p>
    <w:p>
      <w:pPr>
        <w:numPr>
          <w:ilvl w:val="0"/>
          <w:numId w:val="1001"/>
        </w:numPr>
      </w:pPr>
      <w:r>
        <w:t xml:space="preserve">The argument of (a) uses only the mean and the variance of the nonnegative variable and holds for any event of probability</w:t>
      </w:r>
      <w:r>
        <w:t xml:space="preserve"> </w:t>
      </w:r>
      <m:oMath>
        <m:r>
          <m:t>q</m:t>
        </m:r>
      </m:oMath>
      <w:r>
        <w:t xml:space="preserve">, including events defined by ranking customers on their counts (ties are broken arbitrarily). For a deterministic simulator</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so the squared coefficient of variation of</w:t>
      </w:r>
      <w:r>
        <w:t xml:space="preserve"> </w:t>
      </w:r>
      <m:oMath>
        <m:sSup>
          <m:e>
            <m:r>
              <m:t>N</m:t>
            </m:r>
          </m:e>
          <m:sup>
            <m:r>
              <m:rPr>
                <m:sty m:val="p"/>
              </m:rPr>
              <m:t>*</m:t>
            </m:r>
          </m:sup>
        </m:sSup>
      </m:oMath>
      <w:r>
        <w:t xml:space="preserve"> </w:t>
      </w:r>
      <w:r>
        <w:t xml:space="preserve">is</w:t>
      </w:r>
      <w:r>
        <w:t xml:space="preserve"> </w:t>
      </w:r>
      <m:oMath>
        <m:sSup>
          <m:e>
            <m:r>
              <m:t>c</m:t>
            </m:r>
          </m:e>
          <m:sup>
            <m:r>
              <m:t>2</m:t>
            </m:r>
          </m:sup>
        </m:sSup>
      </m:oMath>
      <w:r>
        <w:t xml:space="preserve">.</w:t>
      </w:r>
    </w:p>
    <w:p>
      <w:pPr>
        <w:pStyle w:val="FirstParagraph"/>
      </w:pPr>
      <m:oMath>
        <m:r>
          <m:rPr>
            <m:sty m:val="p"/>
          </m:rPr>
          <m:t>▫</m:t>
        </m:r>
      </m:oMath>
    </w:p>
    <w:bookmarkEnd w:id="23"/>
    <w:bookmarkStart w:id="24" w:name="Xaf30b526f8d43ed9401bd179ee971bfc914b91f"/>
    <w:p>
      <w:pPr>
        <w:pStyle w:val="Heading1"/>
      </w:pPr>
      <w:r>
        <w:t xml:space="preserve">Appendix E. Backtest of the Acceptance Test</w:t>
      </w:r>
    </w:p>
    <w:p>
      <w:pPr>
        <w:pStyle w:val="FirstParagraph"/>
      </w:pPr>
      <w:r>
        <w:t xml:space="preserve">The backtest uses the parsed result tables (no new model calls); the script is</w:t>
      </w:r>
      <w:r>
        <w:t xml:space="preserve"> </w:t>
      </w:r>
      <w:r>
        <w:rPr>
          <w:rStyle w:val="VerbatimChar"/>
        </w:rPr>
        <w:t xml:space="preserve">backtest.py</w:t>
      </w:r>
      <w:r>
        <w:t xml:space="preserve">.</w:t>
      </w:r>
      <w:r>
        <w:t xml:space="preserve"> </w:t>
      </w:r>
      <w:r>
        <w:rPr>
          <w:iCs/>
          <w:i/>
        </w:rPr>
        <w:t xml:space="preserve">Email experiment.</w:t>
      </w:r>
      <w:r>
        <w:t xml:space="preserve"> </w:t>
      </w:r>
      <w:r>
        <w:t xml:space="preserve">For each of the 32 configurations of the probability design (8 models, 2 prompt variants, 2 outcomes), the men’s email serves as the past randomized test and the women’s email as the new campaign, and the reverse, giving 64 cases. The simulator is accepted for the new campaign if its lift for the past campaign is within a factor of 2 of the measured lift (0.0766 and 0.0452 for visits, 0.0068 and 0.0031 for purchases). The break-even lift is varied on a log scale from one tenth to ten times the measured lift of the new campaign (201 values); a decision is wrong at a break-even value if the simulated and measured lifts fall on different sides of it, and a case is summarized by the share of wrong values. Recalibration multiplies the simulated new lift by the measured-to-simulated ratio of the past campaign.</w:t>
      </w:r>
      <w:r>
        <w:t xml:space="preserve"> </w:t>
      </w:r>
      <w:r>
        <w:rPr>
          <w:iCs/>
          <w:i/>
        </w:rPr>
        <w:t xml:space="preserve">Transaction settings.</w:t>
      </w:r>
      <w:r>
        <w:t xml:space="preserve"> </w:t>
      </w:r>
      <w:r>
        <w:t xml:space="preserve">A cell passes the history gate if the reference mean and the reference zero share lie within the simulated 95% intervals (widened by 2% of the reference mean and by 0.02 for the zero share). The held-out statistic is the share of expected purchases made by the top decile implied by the simulated</w:t>
      </w:r>
      <w:r>
        <w:t xml:space="preserve"> </w:t>
      </w:r>
      <m:oMath>
        <m:r>
          <m:t>α</m:t>
        </m:r>
      </m:oMath>
      <w:r>
        <w:t xml:space="preserve"> </w:t>
      </w:r>
      <w:r>
        <w:t xml:space="preserve">through Proposition 3(b) (the share is 0.10 when</w:t>
      </w:r>
      <w:r>
        <w:t xml:space="preserve"> </w:t>
      </w:r>
      <m:oMath>
        <m:r>
          <m:t>α</m:t>
        </m:r>
        <m:r>
          <m:rPr>
            <m:sty m:val="p"/>
          </m:rPr>
          <m:t>≤</m:t>
        </m:r>
        <m:r>
          <m:t>0</m:t>
        </m:r>
      </m:oMath>
      <w:r>
        <w:t xml:space="preserve">), and a cell is wrong if this differs from the share implied by the reference</w:t>
      </w:r>
      <w:r>
        <w:t xml:space="preserve"> </w:t>
      </w:r>
      <m:oMath>
        <m:r>
          <m:t>α</m:t>
        </m:r>
      </m:oMath>
      <w:r>
        <w:t xml:space="preserve"> </w:t>
      </w:r>
      <w:r>
        <w:t xml:space="preserve">by more than 0.10.</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Rule</w:t>
            </w:r>
          </w:p>
        </w:tc>
        <w:tc>
          <w:tcPr/>
          <w:p>
            <w:pPr>
              <w:pStyle w:val="Compact"/>
              <w:spacing w:before="20" w:after="20" w:line="240" w:lineRule="auto"/>
              <w:ind w:firstLine="0"/>
              <w:jc w:val="left"/>
            </w:pPr>
            <w:r>
              <w:rPr>
                <w:rFonts w:ascii="Times New Roman" w:hAnsi="Times New Roman"/>
                <w:b/>
                <w:sz w:val="17"/>
              </w:rPr>
              <w:t xml:space="preserve">Cases</w:t>
            </w:r>
          </w:p>
        </w:tc>
        <w:tc>
          <w:tcPr/>
          <w:p>
            <w:pPr>
              <w:pStyle w:val="Compact"/>
              <w:spacing w:before="20" w:after="20" w:line="240" w:lineRule="auto"/>
              <w:ind w:firstLine="0"/>
              <w:jc w:val="left"/>
            </w:pPr>
            <w:r>
              <w:rPr>
                <w:rFonts w:ascii="Times New Roman" w:hAnsi="Times New Roman"/>
                <w:b/>
                <w:sz w:val="17"/>
              </w:rPr>
              <w:t xml:space="preserve">Wrong decisions (share of break-even values)</w:t>
            </w:r>
          </w:p>
        </w:tc>
        <w:tc>
          <w:tcPr/>
          <w:p>
            <w:pPr>
              <w:pStyle w:val="Compact"/>
              <w:spacing w:before="20" w:after="20" w:line="240" w:lineRule="auto"/>
              <w:ind w:firstLine="0"/>
              <w:jc w:val="left"/>
            </w:pPr>
            <w:r>
              <w:rPr>
                <w:rFonts w:ascii="Times New Roman" w:hAnsi="Times New Roman"/>
                <w:b/>
                <w:sz w:val="17"/>
              </w:rPr>
              <w:t xml:space="preserve">Lift off by more than 2x</w:t>
            </w:r>
          </w:p>
        </w:tc>
      </w:tr>
      <w:tr>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Trust the simulator</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Sign check</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Acceptance gate</w:t>
            </w:r>
          </w:p>
        </w:tc>
        <w:tc>
          <w:tcPr/>
          <w:p>
            <w:pPr>
              <w:pStyle w:val="Compact"/>
              <w:spacing w:before="20" w:after="20" w:line="240" w:lineRule="auto"/>
              <w:ind w:firstLine="0"/>
              <w:jc w:val="left"/>
            </w:pPr>
            <w:r>
              <w:rPr>
                <w:rFonts w:ascii="Times New Roman" w:hAnsi="Times New Roman"/>
                <w:sz w:val="17"/>
              </w:rPr>
              <w:t xml:space="preserve">20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Recalibrated by past ratio</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Trust the simulator</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Sign check</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Acceptance gate</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Recalibrated by past ratio</w:t>
            </w:r>
          </w:p>
        </w:tc>
        <w:tc>
          <w:tcPr/>
          <w:p>
            <w:pPr>
              <w:pStyle w:val="Compact"/>
              <w:spacing w:before="20" w:after="20" w:line="240" w:lineRule="auto"/>
              <w:ind w:firstLine="0"/>
              <w:jc w:val="left"/>
            </w:pPr>
            <w:r>
              <w:rPr>
                <w:rFonts w:ascii="Times New Roman" w:hAnsi="Times New Roman"/>
                <w:sz w:val="17"/>
              </w:rPr>
              <w:t xml:space="preserve">32</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all</w:t>
            </w:r>
          </w:p>
        </w:tc>
        <w:tc>
          <w:tcPr/>
          <w:p>
            <w:pPr>
              <w:pStyle w:val="Compact"/>
              <w:spacing w:before="20" w:after="20" w:line="240" w:lineRule="auto"/>
              <w:ind w:firstLine="0"/>
              <w:jc w:val="left"/>
            </w:pPr>
            <w:r>
              <w:rPr>
                <w:rFonts w:ascii="Times New Roman" w:hAnsi="Times New Roman"/>
                <w:sz w:val="17"/>
              </w:rPr>
              <w:t xml:space="preserve">Trust the simulator</w:t>
            </w:r>
          </w:p>
        </w:tc>
        <w:tc>
          <w:tcPr/>
          <w:p>
            <w:pPr>
              <w:pStyle w:val="Compact"/>
              <w:spacing w:before="20" w:after="20" w:line="240" w:lineRule="auto"/>
              <w:ind w:firstLine="0"/>
              <w:jc w:val="left"/>
            </w:pPr>
            <w:r>
              <w:rPr>
                <w:rFonts w:ascii="Times New Roman" w:hAnsi="Times New Roman"/>
                <w:sz w:val="17"/>
              </w:rPr>
              <w:t xml:space="preserve">64</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0.69</w:t>
            </w:r>
          </w:p>
        </w:tc>
      </w:tr>
      <w:tr>
        <w:tc>
          <w:tcPr/>
          <w:p>
            <w:pPr>
              <w:pStyle w:val="Compact"/>
              <w:spacing w:before="20" w:after="20" w:line="240" w:lineRule="auto"/>
              <w:ind w:firstLine="0"/>
              <w:jc w:val="left"/>
            </w:pPr>
            <w:r>
              <w:rPr>
                <w:rFonts w:ascii="Times New Roman" w:hAnsi="Times New Roman"/>
                <w:sz w:val="17"/>
              </w:rPr>
              <w:t xml:space="preserve">all</w:t>
            </w:r>
          </w:p>
        </w:tc>
        <w:tc>
          <w:tcPr/>
          <w:p>
            <w:pPr>
              <w:pStyle w:val="Compact"/>
              <w:spacing w:before="20" w:after="20" w:line="240" w:lineRule="auto"/>
              <w:ind w:firstLine="0"/>
              <w:jc w:val="left"/>
            </w:pPr>
            <w:r>
              <w:rPr>
                <w:rFonts w:ascii="Times New Roman" w:hAnsi="Times New Roman"/>
                <w:sz w:val="17"/>
              </w:rPr>
              <w:t xml:space="preserve">Sign check</w:t>
            </w:r>
          </w:p>
        </w:tc>
        <w:tc>
          <w:tcPr/>
          <w:p>
            <w:pPr>
              <w:pStyle w:val="Compact"/>
              <w:spacing w:before="20" w:after="20" w:line="240" w:lineRule="auto"/>
              <w:ind w:firstLine="0"/>
              <w:jc w:val="left"/>
            </w:pPr>
            <w:r>
              <w:rPr>
                <w:rFonts w:ascii="Times New Roman" w:hAnsi="Times New Roman"/>
                <w:sz w:val="17"/>
              </w:rPr>
              <w:t xml:space="preserve">64</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0.69</w:t>
            </w:r>
          </w:p>
        </w:tc>
      </w:tr>
      <w:tr>
        <w:tc>
          <w:tcPr/>
          <w:p>
            <w:pPr>
              <w:pStyle w:val="Compact"/>
              <w:spacing w:before="20" w:after="20" w:line="240" w:lineRule="auto"/>
              <w:ind w:firstLine="0"/>
              <w:jc w:val="left"/>
            </w:pPr>
            <w:r>
              <w:rPr>
                <w:rFonts w:ascii="Times New Roman" w:hAnsi="Times New Roman"/>
                <w:sz w:val="17"/>
              </w:rPr>
              <w:t xml:space="preserve">all</w:t>
            </w:r>
          </w:p>
        </w:tc>
        <w:tc>
          <w:tcPr/>
          <w:p>
            <w:pPr>
              <w:pStyle w:val="Compact"/>
              <w:spacing w:before="20" w:after="20" w:line="240" w:lineRule="auto"/>
              <w:ind w:firstLine="0"/>
              <w:jc w:val="left"/>
            </w:pPr>
            <w:r>
              <w:rPr>
                <w:rFonts w:ascii="Times New Roman" w:hAnsi="Times New Roman"/>
                <w:sz w:val="17"/>
              </w:rPr>
              <w:t xml:space="preserve">Acceptance gate</w:t>
            </w:r>
          </w:p>
        </w:tc>
        <w:tc>
          <w:tcPr/>
          <w:p>
            <w:pPr>
              <w:pStyle w:val="Compact"/>
              <w:spacing w:before="20" w:after="20" w:line="240" w:lineRule="auto"/>
              <w:ind w:firstLine="0"/>
              <w:jc w:val="left"/>
            </w:pPr>
            <w:r>
              <w:rPr>
                <w:rFonts w:ascii="Times New Roman" w:hAnsi="Times New Roman"/>
                <w:sz w:val="17"/>
              </w:rPr>
              <w:t xml:space="preserve">20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all</w:t>
            </w:r>
          </w:p>
        </w:tc>
        <w:tc>
          <w:tcPr/>
          <w:p>
            <w:pPr>
              <w:pStyle w:val="Compact"/>
              <w:spacing w:before="20" w:after="20" w:line="240" w:lineRule="auto"/>
              <w:ind w:firstLine="0"/>
              <w:jc w:val="left"/>
            </w:pPr>
            <w:r>
              <w:rPr>
                <w:rFonts w:ascii="Times New Roman" w:hAnsi="Times New Roman"/>
                <w:sz w:val="17"/>
              </w:rPr>
              <w:t xml:space="preserve">Recalibrated by past ratio</w:t>
            </w:r>
          </w:p>
        </w:tc>
        <w:tc>
          <w:tcPr/>
          <w:p>
            <w:pPr>
              <w:pStyle w:val="Compact"/>
              <w:spacing w:before="20" w:after="20" w:line="240" w:lineRule="auto"/>
              <w:ind w:firstLine="0"/>
              <w:jc w:val="left"/>
            </w:pPr>
            <w:r>
              <w:rPr>
                <w:rFonts w:ascii="Times New Roman" w:hAnsi="Times New Roman"/>
                <w:sz w:val="17"/>
              </w:rPr>
              <w:t xml:space="preserve">64</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0.59</w:t>
            </w:r>
          </w:p>
        </w:tc>
      </w:tr>
    </w:tbl>
    <w:p>
      <w:pPr>
        <w:pStyle w:val="BodyText"/>
        <w:spacing w:line="240" w:lineRule="auto"/>
        <w:ind w:firstLine="0"/>
      </w:pPr>
      <w:r>
        <w:rPr>
          <w:iCs/>
          <w:i/>
        </w:rPr>
        <w:t xml:space="preserve">Table E1. Email backtest, by decision rule and outcome.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Anchored prompt</w:t>
            </w:r>
          </w:p>
        </w:tc>
        <w:tc>
          <w:tcPr/>
          <w:p>
            <w:pPr>
              <w:pStyle w:val="Compact"/>
              <w:spacing w:before="20" w:after="20" w:line="240" w:lineRule="auto"/>
              <w:ind w:firstLine="0"/>
              <w:jc w:val="left"/>
            </w:pPr>
            <w:r>
              <w:rPr>
                <w:rFonts w:ascii="Times New Roman" w:hAnsi="Times New Roman"/>
                <w:b/>
                <w:sz w:val="17"/>
              </w:rPr>
              <w:t xml:space="preserve">Past campaign</w:t>
            </w:r>
          </w:p>
        </w:tc>
        <w:tc>
          <w:tcPr/>
          <w:p>
            <w:pPr>
              <w:pStyle w:val="Compact"/>
              <w:spacing w:before="20" w:after="20" w:line="240" w:lineRule="auto"/>
              <w:ind w:firstLine="0"/>
              <w:jc w:val="left"/>
            </w:pPr>
            <w:r>
              <w:rPr>
                <w:rFonts w:ascii="Times New Roman" w:hAnsi="Times New Roman"/>
                <w:b/>
                <w:sz w:val="17"/>
              </w:rPr>
              <w:t xml:space="preserve">Past ratio</w:t>
            </w:r>
          </w:p>
        </w:tc>
        <w:tc>
          <w:tcPr/>
          <w:p>
            <w:pPr>
              <w:pStyle w:val="Compact"/>
              <w:spacing w:before="20" w:after="20" w:line="240" w:lineRule="auto"/>
              <w:ind w:firstLine="0"/>
              <w:jc w:val="left"/>
            </w:pPr>
            <w:r>
              <w:rPr>
                <w:rFonts w:ascii="Times New Roman" w:hAnsi="Times New Roman"/>
                <w:b/>
                <w:sz w:val="17"/>
              </w:rPr>
              <w:t xml:space="preserve">New ratio</w:t>
            </w:r>
          </w:p>
        </w:tc>
        <w:tc>
          <w:tcPr/>
          <w:p>
            <w:pPr>
              <w:pStyle w:val="Compact"/>
              <w:spacing w:before="20" w:after="20" w:line="240" w:lineRule="auto"/>
              <w:ind w:firstLine="0"/>
              <w:jc w:val="left"/>
            </w:pPr>
            <w:r>
              <w:rPr>
                <w:rFonts w:ascii="Times New Roman" w:hAnsi="Times New Roman"/>
                <w:b/>
                <w:sz w:val="17"/>
              </w:rPr>
              <w:t xml:space="preserve">New lift within 2x</w:t>
            </w:r>
          </w:p>
        </w:tc>
      </w:tr>
      <w:tr>
        <w:tc>
          <w:tcPr/>
          <w:p>
            <w:pPr>
              <w:pStyle w:val="Compact"/>
              <w:spacing w:before="20" w:after="20" w:line="240" w:lineRule="auto"/>
              <w:ind w:firstLine="0"/>
              <w:jc w:val="left"/>
            </w:pPr>
            <w:r>
              <w:rPr>
                <w:rFonts w:ascii="Times New Roman" w:hAnsi="Times New Roman"/>
                <w:sz w:val="17"/>
              </w:rPr>
              <w:t xml:space="preserve">claude-haiku-5.5</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2.01</w:t>
            </w:r>
          </w:p>
        </w:tc>
        <w:tc>
          <w:tcPr/>
          <w:p>
            <w:pPr>
              <w:pStyle w:val="Compact"/>
              <w:spacing w:before="20" w:after="20" w:line="240" w:lineRule="auto"/>
              <w:ind w:firstLine="0"/>
              <w:jc w:val="left"/>
            </w:pPr>
            <w:r>
              <w:rPr>
                <w:rFonts w:ascii="Times New Roman" w:hAnsi="Times New Roman"/>
                <w:sz w:val="17"/>
              </w:rPr>
              <w:t xml:space="preserve">no</w:t>
            </w:r>
          </w:p>
        </w:tc>
      </w:tr>
      <w:tr>
        <w:tc>
          <w:tcPr/>
          <w:p>
            <w:pPr>
              <w:pStyle w:val="Compact"/>
              <w:spacing w:before="20" w:after="20" w:line="240" w:lineRule="auto"/>
              <w:ind w:firstLine="0"/>
              <w:jc w:val="left"/>
            </w:pPr>
            <w:r>
              <w:rPr>
                <w:rFonts w:ascii="Times New Roman" w:hAnsi="Times New Roman"/>
                <w:sz w:val="17"/>
              </w:rPr>
              <w:t xml:space="preserve">claude-sonnet-5</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1.81</w:t>
            </w:r>
          </w:p>
        </w:tc>
        <w:tc>
          <w:tcPr/>
          <w:p>
            <w:pPr>
              <w:pStyle w:val="Compact"/>
              <w:spacing w:before="20" w:after="20" w:line="240" w:lineRule="auto"/>
              <w:ind w:firstLine="0"/>
              <w:jc w:val="left"/>
            </w:pPr>
            <w:r>
              <w:rPr>
                <w:rFonts w:ascii="Times New Roman" w:hAnsi="Times New Roman"/>
                <w:sz w:val="17"/>
              </w:rPr>
              <w:t xml:space="preserve">3.36</w:t>
            </w:r>
          </w:p>
        </w:tc>
        <w:tc>
          <w:tcPr/>
          <w:p>
            <w:pPr>
              <w:pStyle w:val="Compact"/>
              <w:spacing w:before="20" w:after="20" w:line="240" w:lineRule="auto"/>
              <w:ind w:firstLine="0"/>
              <w:jc w:val="left"/>
            </w:pPr>
            <w:r>
              <w:rPr>
                <w:rFonts w:ascii="Times New Roman" w:hAnsi="Times New Roman"/>
                <w:sz w:val="17"/>
              </w:rPr>
              <w:t xml:space="preserve">no</w:t>
            </w:r>
          </w:p>
        </w:tc>
      </w:tr>
      <w:tr>
        <w:tc>
          <w:tcPr/>
          <w:p>
            <w:pPr>
              <w:pStyle w:val="Compact"/>
              <w:spacing w:before="20" w:after="20" w:line="240" w:lineRule="auto"/>
              <w:ind w:firstLine="0"/>
              <w:jc w:val="left"/>
            </w:pPr>
            <w:r>
              <w:rPr>
                <w:rFonts w:ascii="Times New Roman" w:hAnsi="Times New Roman"/>
                <w:sz w:val="17"/>
              </w:rPr>
              <w:t xml:space="preserve">claude-sonnet-5</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no</w:t>
            </w:r>
          </w:p>
        </w:tc>
      </w:tr>
      <w:tr>
        <w:tc>
          <w:tcPr/>
          <w:p>
            <w:pPr>
              <w:pStyle w:val="Compact"/>
              <w:spacing w:before="20" w:after="20" w:line="240" w:lineRule="auto"/>
              <w:ind w:firstLine="0"/>
              <w:jc w:val="left"/>
            </w:pPr>
            <w:r>
              <w:rPr>
                <w:rFonts w:ascii="Times New Roman" w:hAnsi="Times New Roman"/>
                <w:sz w:val="17"/>
              </w:rPr>
              <w:t xml:space="preserve">deepseek-v4-pro-0813</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deepseek-v4-pro-0813</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gemini-3.1-flash-lite</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gemini-3.1-flash-lite</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gemini-3.1-flash-lite</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gemini-3.1-flash-lite</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llama-3.3-70b-instruct</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llama-3.3-70b-instruct</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llama-3.3-70b-instruct</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no</w:t>
            </w:r>
          </w:p>
        </w:tc>
      </w:tr>
      <w:tr>
        <w:tc>
          <w:tcPr/>
          <w:p>
            <w:pPr>
              <w:pStyle w:val="Compact"/>
              <w:spacing w:before="20" w:after="20" w:line="240" w:lineRule="auto"/>
              <w:ind w:firstLine="0"/>
              <w:jc w:val="left"/>
            </w:pPr>
            <w:r>
              <w:rPr>
                <w:rFonts w:ascii="Times New Roman" w:hAnsi="Times New Roman"/>
                <w:sz w:val="17"/>
              </w:rPr>
              <w:t xml:space="preserve">mistral-large-4-0</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1.02</w:t>
            </w:r>
          </w:p>
        </w:tc>
        <w:tc>
          <w:tcPr/>
          <w:p>
            <w:pPr>
              <w:pStyle w:val="Compact"/>
              <w:spacing w:before="20" w:after="20" w:line="240" w:lineRule="auto"/>
              <w:ind w:firstLine="0"/>
              <w:jc w:val="left"/>
            </w:pPr>
            <w:r>
              <w:rPr>
                <w:rFonts w:ascii="Times New Roman" w:hAnsi="Times New Roman"/>
                <w:sz w:val="17"/>
              </w:rPr>
              <w:t xml:space="preserve">1.97</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mistral-large-4-0</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1.97</w:t>
            </w:r>
          </w:p>
        </w:tc>
        <w:tc>
          <w:tcPr/>
          <w:p>
            <w:pPr>
              <w:pStyle w:val="Compact"/>
              <w:spacing w:before="20" w:after="20" w:line="240" w:lineRule="auto"/>
              <w:ind w:firstLine="0"/>
              <w:jc w:val="left"/>
            </w:pPr>
            <w:r>
              <w:rPr>
                <w:rFonts w:ascii="Times New Roman" w:hAnsi="Times New Roman"/>
                <w:sz w:val="17"/>
              </w:rPr>
              <w:t xml:space="preserve">1.02</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mistral-large-4-0</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0.82</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mistral-large-4-0</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0.82</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1.22</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no</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1.22</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men</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yes</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yes</w:t>
            </w:r>
          </w:p>
        </w:tc>
        <w:tc>
          <w:tcPr/>
          <w:p>
            <w:pPr>
              <w:pStyle w:val="Compact"/>
              <w:spacing w:before="20" w:after="20" w:line="240" w:lineRule="auto"/>
              <w:ind w:firstLine="0"/>
              <w:jc w:val="left"/>
            </w:pPr>
            <w:r>
              <w:rPr>
                <w:rFonts w:ascii="Times New Roman" w:hAnsi="Times New Roman"/>
                <w:sz w:val="17"/>
              </w:rPr>
              <w:t xml:space="preserve">women</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yes</w:t>
            </w:r>
          </w:p>
        </w:tc>
      </w:tr>
    </w:tbl>
    <w:p>
      <w:pPr>
        <w:pStyle w:val="BodyText"/>
        <w:spacing w:line="240" w:lineRule="auto"/>
        <w:ind w:firstLine="0"/>
      </w:pPr>
      <w:r>
        <w:rPr>
          <w:iCs/>
          <w:i/>
        </w:rPr>
        <w:t xml:space="preserve">Table E2. Cases admitted by the acceptance gate (all visits). Ratio is simulated lift divided by measured lift.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Cells</w:t>
            </w:r>
          </w:p>
        </w:tc>
        <w:tc>
          <w:tcPr/>
          <w:p>
            <w:pPr>
              <w:pStyle w:val="Compact"/>
              <w:spacing w:before="20" w:after="20" w:line="240" w:lineRule="auto"/>
              <w:ind w:firstLine="0"/>
              <w:jc w:val="left"/>
            </w:pPr>
            <w:r>
              <w:rPr>
                <w:rFonts w:ascii="Times New Roman" w:hAnsi="Times New Roman"/>
                <w:b/>
                <w:sz w:val="17"/>
              </w:rPr>
              <w:t xml:space="preserve">Pass sign/mean check</w:t>
            </w:r>
          </w:p>
        </w:tc>
        <w:tc>
          <w:tcPr/>
          <w:p>
            <w:pPr>
              <w:pStyle w:val="Compact"/>
              <w:spacing w:before="20" w:after="20" w:line="240" w:lineRule="auto"/>
              <w:ind w:firstLine="0"/>
              <w:jc w:val="left"/>
            </w:pPr>
            <w:r>
              <w:rPr>
                <w:rFonts w:ascii="Times New Roman" w:hAnsi="Times New Roman"/>
                <w:b/>
                <w:sz w:val="17"/>
              </w:rPr>
              <w:t xml:space="preserve">Pass history gate</w:t>
            </w:r>
          </w:p>
        </w:tc>
        <w:tc>
          <w:tcPr/>
          <w:p>
            <w:pPr>
              <w:pStyle w:val="Compact"/>
              <w:spacing w:before="20" w:after="20" w:line="240" w:lineRule="auto"/>
              <w:ind w:firstLine="0"/>
              <w:jc w:val="left"/>
            </w:pPr>
            <w:r>
              <w:rPr>
                <w:rFonts w:ascii="Times New Roman" w:hAnsi="Times New Roman"/>
                <w:b/>
                <w:sz w:val="17"/>
              </w:rPr>
              <w:t xml:space="preserve">Wrong (all cells)</w:t>
            </w:r>
          </w:p>
        </w:tc>
        <w:tc>
          <w:tcPr/>
          <w:p>
            <w:pPr>
              <w:pStyle w:val="Compact"/>
              <w:spacing w:before="20" w:after="20" w:line="240" w:lineRule="auto"/>
              <w:ind w:firstLine="0"/>
              <w:jc w:val="left"/>
            </w:pPr>
            <w:r>
              <w:rPr>
                <w:rFonts w:ascii="Times New Roman" w:hAnsi="Times New Roman"/>
                <w:b/>
                <w:sz w:val="17"/>
              </w:rPr>
              <w:t xml:space="preserve">Wrong among gate passes</w:t>
            </w:r>
          </w:p>
        </w:tc>
      </w:tr>
      <w:tr>
        <w:tc>
          <w:tcPr/>
          <w:p>
            <w:pPr>
              <w:pStyle w:val="Compact"/>
              <w:spacing w:before="20" w:after="20" w:line="240" w:lineRule="auto"/>
              <w:ind w:firstLine="0"/>
              <w:jc w:val="left"/>
            </w:pPr>
            <w:r>
              <w:rPr>
                <w:rFonts w:ascii="Times New Roman" w:hAnsi="Times New Roman"/>
                <w:sz w:val="17"/>
              </w:rPr>
              <w:t xml:space="preserve">Retail (mean 0.49)</w:t>
            </w:r>
          </w:p>
        </w:tc>
        <w:tc>
          <w:tcPr/>
          <w:p>
            <w:pPr>
              <w:pStyle w:val="Compact"/>
              <w:spacing w:before="20" w:after="20" w:line="240" w:lineRule="auto"/>
              <w:ind w:firstLine="0"/>
              <w:jc w:val="left"/>
            </w:pPr>
            <w:r>
              <w:rPr>
                <w:rFonts w:ascii="Times New Roman" w:hAnsi="Times New Roman"/>
                <w:sz w:val="17"/>
              </w:rPr>
              <w:t xml:space="preserve">A</w:t>
            </w:r>
          </w:p>
        </w:tc>
        <w:tc>
          <w:tcPr/>
          <w:p>
            <w:pPr>
              <w:pStyle w:val="Compact"/>
              <w:spacing w:before="20" w:after="20" w:line="240" w:lineRule="auto"/>
              <w:ind w:firstLine="0"/>
              <w:jc w:val="left"/>
            </w:pPr>
            <w:r>
              <w:rPr>
                <w:rFonts w:ascii="Times New Roman" w:hAnsi="Times New Roman"/>
                <w:sz w:val="17"/>
              </w:rPr>
              <w:t xml:space="preserve">12</w:t>
            </w:r>
          </w:p>
        </w:tc>
        <w:tc>
          <w:tcPr/>
          <w:p>
            <w:pPr>
              <w:pStyle w:val="Compact"/>
              <w:spacing w:before="20" w:after="20" w:line="240" w:lineRule="auto"/>
              <w:ind w:firstLine="0"/>
              <w:jc w:val="left"/>
            </w:pPr>
            <w:r>
              <w:rPr>
                <w:rFonts w:ascii="Times New Roman" w:hAnsi="Times New Roman"/>
                <w:sz w:val="17"/>
              </w:rPr>
              <w:t xml:space="preserve">2</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Retail (mean 0.49)</w:t>
            </w:r>
          </w:p>
        </w:tc>
        <w:tc>
          <w:tcPr/>
          <w:p>
            <w:pPr>
              <w:pStyle w:val="Compact"/>
              <w:spacing w:before="20" w:after="20" w:line="240" w:lineRule="auto"/>
              <w:ind w:firstLine="0"/>
              <w:jc w:val="left"/>
            </w:pPr>
            <w:r>
              <w:rPr>
                <w:rFonts w:ascii="Times New Roman" w:hAnsi="Times New Roman"/>
                <w:sz w:val="17"/>
              </w:rPr>
              <w:t xml:space="preserve">B</w:t>
            </w:r>
          </w:p>
        </w:tc>
        <w:tc>
          <w:tcPr/>
          <w:p>
            <w:pPr>
              <w:pStyle w:val="Compact"/>
              <w:spacing w:before="20" w:after="20" w:line="240" w:lineRule="auto"/>
              <w:ind w:firstLine="0"/>
              <w:jc w:val="left"/>
            </w:pPr>
            <w:r>
              <w:rPr>
                <w:rFonts w:ascii="Times New Roman" w:hAnsi="Times New Roman"/>
                <w:sz w:val="17"/>
              </w:rPr>
              <w:t xml:space="preserve">15</w:t>
            </w:r>
          </w:p>
        </w:tc>
        <w:tc>
          <w:tcPr/>
          <w:p>
            <w:pPr>
              <w:pStyle w:val="Compact"/>
              <w:spacing w:before="20" w:after="20" w:line="240" w:lineRule="auto"/>
              <w:ind w:firstLine="0"/>
              <w:jc w:val="left"/>
            </w:pPr>
            <w:r>
              <w:rPr>
                <w:rFonts w:ascii="Times New Roman" w:hAnsi="Times New Roman"/>
                <w:sz w:val="17"/>
              </w:rPr>
              <w:t xml:space="preserve">3</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Retail (mean 0.49)</w:t>
            </w:r>
          </w:p>
        </w:tc>
        <w:tc>
          <w:tcPr/>
          <w:p>
            <w:pPr>
              <w:pStyle w:val="Compact"/>
              <w:spacing w:before="20" w:after="20" w:line="240" w:lineRule="auto"/>
              <w:ind w:firstLine="0"/>
              <w:jc w:val="left"/>
            </w:pPr>
            <w:r>
              <w:rPr>
                <w:rFonts w:ascii="Times New Roman" w:hAnsi="Times New Roman"/>
                <w:sz w:val="17"/>
              </w:rPr>
              <w:t xml:space="preserve">C</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12</w:t>
            </w:r>
          </w:p>
        </w:tc>
        <w:tc>
          <w:tcPr/>
          <w:p>
            <w:pPr>
              <w:pStyle w:val="Compact"/>
              <w:spacing w:before="20" w:after="20" w:line="240" w:lineRule="auto"/>
              <w:ind w:firstLine="0"/>
              <w:jc w:val="left"/>
            </w:pPr>
            <w:r>
              <w:rPr>
                <w:rFonts w:ascii="Times New Roman" w:hAnsi="Times New Roman"/>
                <w:sz w:val="17"/>
              </w:rPr>
              <w:t xml:space="preserve">1</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Retail (mean 0.49)</w:t>
            </w:r>
          </w:p>
        </w:tc>
        <w:tc>
          <w:tcPr/>
          <w:p>
            <w:pPr>
              <w:pStyle w:val="Compact"/>
              <w:spacing w:before="20" w:after="20" w:line="240" w:lineRule="auto"/>
              <w:ind w:firstLine="0"/>
              <w:jc w:val="left"/>
            </w:pPr>
            <w:r>
              <w:rPr>
                <w:rFonts w:ascii="Times New Roman" w:hAnsi="Times New Roman"/>
                <w:sz w:val="17"/>
              </w:rPr>
              <w:t xml:space="preserve">D</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15</w:t>
            </w:r>
          </w:p>
        </w:tc>
        <w:tc>
          <w:tcPr/>
          <w:p>
            <w:pPr>
              <w:pStyle w:val="Compact"/>
              <w:spacing w:before="20" w:after="20" w:line="240" w:lineRule="auto"/>
              <w:ind w:firstLine="0"/>
              <w:jc w:val="left"/>
            </w:pPr>
            <w:r>
              <w:rPr>
                <w:rFonts w:ascii="Times New Roman" w:hAnsi="Times New Roman"/>
                <w:sz w:val="17"/>
              </w:rPr>
              <w:t xml:space="preserve">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Grocery (4.84)</w:t>
            </w:r>
          </w:p>
        </w:tc>
        <w:tc>
          <w:tcPr/>
          <w:p>
            <w:pPr>
              <w:pStyle w:val="Compact"/>
              <w:spacing w:before="20" w:after="20" w:line="240" w:lineRule="auto"/>
              <w:ind w:firstLine="0"/>
              <w:jc w:val="left"/>
            </w:pPr>
            <w:r>
              <w:rPr>
                <w:rFonts w:ascii="Times New Roman" w:hAnsi="Times New Roman"/>
                <w:sz w:val="17"/>
              </w:rPr>
              <w:t xml:space="preserve">A</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8</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Grocery (4.84)</w:t>
            </w:r>
          </w:p>
        </w:tc>
        <w:tc>
          <w:tcPr/>
          <w:p>
            <w:pPr>
              <w:pStyle w:val="Compact"/>
              <w:spacing w:before="20" w:after="20" w:line="240" w:lineRule="auto"/>
              <w:ind w:firstLine="0"/>
              <w:jc w:val="left"/>
            </w:pPr>
            <w:r>
              <w:rPr>
                <w:rFonts w:ascii="Times New Roman" w:hAnsi="Times New Roman"/>
                <w:sz w:val="17"/>
              </w:rPr>
              <w:t xml:space="preserve">B</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3</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Grocery (4.84)</w:t>
            </w:r>
          </w:p>
        </w:tc>
        <w:tc>
          <w:tcPr/>
          <w:p>
            <w:pPr>
              <w:pStyle w:val="Compact"/>
              <w:spacing w:before="20" w:after="20" w:line="240" w:lineRule="auto"/>
              <w:ind w:firstLine="0"/>
              <w:jc w:val="left"/>
            </w:pPr>
            <w:r>
              <w:rPr>
                <w:rFonts w:ascii="Times New Roman" w:hAnsi="Times New Roman"/>
                <w:sz w:val="17"/>
              </w:rPr>
              <w:t xml:space="preserve">C</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14</w:t>
            </w:r>
          </w:p>
        </w:tc>
        <w:tc>
          <w:tcPr/>
          <w:p>
            <w:pPr>
              <w:pStyle w:val="Compact"/>
              <w:spacing w:before="20" w:after="20" w:line="240" w:lineRule="auto"/>
              <w:ind w:firstLine="0"/>
              <w:jc w:val="left"/>
            </w:pPr>
            <w:r>
              <w:rPr>
                <w:rFonts w:ascii="Times New Roman" w:hAnsi="Times New Roman"/>
                <w:sz w:val="17"/>
              </w:rPr>
              <w:t xml:space="preserve">1</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Grocery (4.84)</w:t>
            </w:r>
          </w:p>
        </w:tc>
        <w:tc>
          <w:tcPr/>
          <w:p>
            <w:pPr>
              <w:pStyle w:val="Compact"/>
              <w:spacing w:before="20" w:after="20" w:line="240" w:lineRule="auto"/>
              <w:ind w:firstLine="0"/>
              <w:jc w:val="left"/>
            </w:pPr>
            <w:r>
              <w:rPr>
                <w:rFonts w:ascii="Times New Roman" w:hAnsi="Times New Roman"/>
                <w:sz w:val="17"/>
              </w:rPr>
              <w:t xml:space="preserve">D</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14</w:t>
            </w:r>
          </w:p>
        </w:tc>
        <w:tc>
          <w:tcPr/>
          <w:p>
            <w:pPr>
              <w:pStyle w:val="Compact"/>
              <w:spacing w:before="20" w:after="20" w:line="240" w:lineRule="auto"/>
              <w:ind w:firstLine="0"/>
              <w:jc w:val="left"/>
            </w:pPr>
            <w:r>
              <w:rPr>
                <w:rFonts w:ascii="Times New Roman" w:hAnsi="Times New Roman"/>
                <w:sz w:val="17"/>
              </w:rPr>
              <w:t xml:space="preserve">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Demographic households (7.83)</w:t>
            </w:r>
          </w:p>
        </w:tc>
        <w:tc>
          <w:tcPr/>
          <w:p>
            <w:pPr>
              <w:pStyle w:val="Compact"/>
              <w:spacing w:before="20" w:after="20" w:line="240" w:lineRule="auto"/>
              <w:ind w:firstLine="0"/>
              <w:jc w:val="left"/>
            </w:pPr>
            <w:r>
              <w:rPr>
                <w:rFonts w:ascii="Times New Roman" w:hAnsi="Times New Roman"/>
                <w:sz w:val="17"/>
              </w:rPr>
              <w:t xml:space="preserve">A</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Demographic households (7.83)</w:t>
            </w:r>
          </w:p>
        </w:tc>
        <w:tc>
          <w:tcPr/>
          <w:p>
            <w:pPr>
              <w:pStyle w:val="Compact"/>
              <w:spacing w:before="20" w:after="20" w:line="240" w:lineRule="auto"/>
              <w:ind w:firstLine="0"/>
              <w:jc w:val="left"/>
            </w:pPr>
            <w:r>
              <w:rPr>
                <w:rFonts w:ascii="Times New Roman" w:hAnsi="Times New Roman"/>
                <w:sz w:val="17"/>
              </w:rPr>
              <w:t xml:space="preserve">B</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14</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Demographic households (7.83)</w:t>
            </w:r>
          </w:p>
        </w:tc>
        <w:tc>
          <w:tcPr/>
          <w:p>
            <w:pPr>
              <w:pStyle w:val="Compact"/>
              <w:spacing w:before="20" w:after="20" w:line="240" w:lineRule="auto"/>
              <w:ind w:firstLine="0"/>
              <w:jc w:val="left"/>
            </w:pPr>
            <w:r>
              <w:rPr>
                <w:rFonts w:ascii="Times New Roman" w:hAnsi="Times New Roman"/>
                <w:sz w:val="17"/>
              </w:rPr>
              <w:t xml:space="preserve">C</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Demographic households (7.83)</w:t>
            </w:r>
          </w:p>
        </w:tc>
        <w:tc>
          <w:tcPr/>
          <w:p>
            <w:pPr>
              <w:pStyle w:val="Compact"/>
              <w:spacing w:before="20" w:after="20" w:line="240" w:lineRule="auto"/>
              <w:ind w:firstLine="0"/>
              <w:jc w:val="left"/>
            </w:pPr>
            <w:r>
              <w:rPr>
                <w:rFonts w:ascii="Times New Roman" w:hAnsi="Times New Roman"/>
                <w:sz w:val="17"/>
              </w:rPr>
              <w:t xml:space="preserve">D</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16</w:t>
            </w:r>
          </w:p>
        </w:tc>
        <w:tc>
          <w:tcPr/>
          <w:p>
            <w:pPr>
              <w:pStyle w:val="Compact"/>
              <w:spacing w:before="20" w:after="20" w:line="240" w:lineRule="auto"/>
              <w:ind w:firstLine="0"/>
              <w:jc w:val="left"/>
            </w:pPr>
            <w:r>
              <w:rPr>
                <w:rFonts w:ascii="Times New Roman" w:hAnsi="Times New Roman"/>
                <w:sz w:val="17"/>
              </w:rPr>
              <w:t xml:space="preserve">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r>
    </w:tbl>
    <w:p>
      <w:pPr>
        <w:pStyle w:val="BodyText"/>
        <w:spacing w:line="240" w:lineRule="auto"/>
        <w:ind w:firstLine="0"/>
      </w:pPr>
      <w:r>
        <w:rPr>
          <w:iCs/>
          <w:i/>
        </w:rPr>
        <w:t xml:space="preserve">Table E3. Transaction backtest: held-out top-decile share error above 0.10, by setting and design. Cells with an undefined variance-to-mean ratio are excluded (187 of 192).</w:t>
      </w:r>
    </w:p>
    <w:p>
      <w:pPr>
        <w:pStyle w:val="BodyText"/>
      </w:pPr>
      <w:r>
        <w:t xml:space="preserve">The gate passes only designs that obtain the dispersion from outside the model (D) or from the described distribution (C). Because the hybrid design sets its dispersion from the reference, its low error rate under the gate is partly built in. The two-campaign structure of the email backtest implies that the 64 cases come from 32 configurations, so cases from the same configuration are not independent.</w:t>
      </w:r>
    </w:p>
    <w:bookmarkEnd w:id="24"/>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2026-10-17T13:55:56Z</dcterms:created>
  <dcterms:modified xsi:type="dcterms:W3CDTF">2026-10-17T13:55:56Z</dcterms:modified>
</cp:coreProperties>
</file>

<file path=docProps/custom.xml><?xml version="1.0" encoding="utf-8"?>
<Properties xmlns="http://schemas.openxmlformats.org/officeDocument/2006/custom-properties" xmlns:vt="http://schemas.openxmlformats.org/officeDocument/2006/docPropsVTypes"/>
</file>