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val="false"/>
          <w:bCs w:val="false"/>
          <w:i/>
          <w:iCs/>
          <w:color w:val="000000"/>
          <w:sz w:val="20"/>
          <w:szCs w:val="20"/>
        </w:rPr>
        <w:t xml:space="preserve">Information Systems Research</w:t>
      </w:r>
    </w:p>
    <w:p>
      <w:pPr>
        <w:spacing w:after="0" w:before="0" w:line="480" w:lineRule="auto"/>
        <w:jc w:val="center"/>
      </w:pPr>
      <w:r>
        <w:rPr>
          <w:rFonts w:ascii="Times New Roman" w:cs="Times New Roman" w:eastAsia="Times New Roman" w:hAnsi="Times New Roman"/>
          <w:b w:val="false"/>
          <w:bCs w:val="false"/>
          <w:i w:val="false"/>
          <w:iCs w:val="false"/>
          <w:color w:val="000000"/>
          <w:sz w:val="20"/>
          <w:szCs w:val="20"/>
        </w:rPr>
        <w:t xml:space="preserve">Research Article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p>
      <w:pPr>
        <w:spacing w:after="0" w:before="0" w:line="480" w:lineRule="auto"/>
        <w:jc w:val="center"/>
      </w:pPr>
      <w:r>
        <w:rPr>
          <w:rFonts w:ascii="Times New Roman" w:cs="Times New Roman" w:eastAsia="Times New Roman" w:hAnsi="Times New Roman"/>
          <w:b/>
          <w:bCs/>
          <w:i w:val="false"/>
          <w:iCs w:val="false"/>
          <w:color w:val="000000"/>
          <w:sz w:val="28"/>
          <w:szCs w:val="28"/>
        </w:rPr>
        <w:t xml:space="preserve">Staging Commitment When the Ruler Can Move: An Options Model of Generative Maintenance under an Endogenous Judge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p>
      <w:pPr>
        <w:spacing w:after="0" w:before="0" w:line="480" w:lineRule="auto"/>
        <w:jc w:val="center"/>
      </w:pPr>
      <w:r>
        <w:rPr>
          <w:rFonts w:ascii="Times New Roman" w:cs="Times New Roman" w:eastAsia="Times New Roman" w:hAnsi="Times New Roman"/>
          <w:b w:val="false"/>
          <w:bCs w:val="false"/>
          <w:i/>
          <w:iCs/>
          <w:color w:val="000000"/>
          <w:sz w:val="20"/>
          <w:szCs w:val="20"/>
        </w:rPr>
        <w:t xml:space="preserve">[Author names and affiliations omitted for double-anonymous review]</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Abstract. </w:t>
      </w:r>
      <w:r>
        <w:rPr>
          <w:rFonts w:ascii="Times New Roman" w:cs="Times New Roman" w:eastAsia="Times New Roman" w:hAnsi="Times New Roman"/>
          <w:b w:val="false"/>
          <w:bCs w:val="false"/>
          <w:i w:val="false"/>
          <w:iCs w:val="false"/>
          <w:color w:val="000000"/>
          <w:sz w:val="22"/>
          <w:szCs w:val="22"/>
        </w:rPr>
        <w:t xml:space="preserve">Organizations promote generative policies on a judge score while searching on the same score. Promotion contaminates later logs and is costly to reverse. This paper treats that decision as a one-shot irreversible investment under an endogenous observation equation and derives the exercise rule. A candidate is an honest improvement or a cheat that raises the judge intercept. The net-present-value rule on the judge selects the cheat once gaming exceeds a threshold linear in the judge slope and the quality gap. A mixed holdout mean can rise on that cheat. A canary on which the judge and the inspection disagree separates the types and restores abandonment. Collapse and hackability both raise the value of waiting, through an uninformative likelihood and an anti-informative likelihood. An ignored rubric jump enlarges the exercise set toward the new intercept; pinning keeps the likelihood valid. A small computational ledger is a sign check, not evidence about firms.</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Keywords: </w:t>
      </w:r>
      <w:r>
        <w:rPr>
          <w:rFonts w:ascii="Times New Roman" w:cs="Times New Roman" w:eastAsia="Times New Roman" w:hAnsi="Times New Roman"/>
          <w:b w:val="false"/>
          <w:bCs w:val="false"/>
          <w:i w:val="false"/>
          <w:iCs w:val="false"/>
          <w:color w:val="000000"/>
          <w:sz w:val="22"/>
          <w:szCs w:val="22"/>
        </w:rPr>
        <w:t xml:space="preserve">real options; IT investment; generative AI; LLM-as-a-judge; measurement-system risk; Goodhart; optimal stopping</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1. Introduction</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Information systems research has treated technology investment as commitment under uncertainty. Irreversibility, an uncertain payoff, and the ability to wait make the Marshallian rule too eager: if V is project value and I is sunk cost, the firm should not invest at the first instant V exceeds I (Dixit and Pindyck 1994, Myers 1977). Applications in the field were written for funding episodes — a platform, a warehouse, an enterprise system — whose performance measure was noisy but attached to the asset (Benaroch 2002, Benaroch and Kauffman 1999, Fichman 2004, Taudes et al. 2000).</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Generative maintenance repeats the structure at weekly frequency and breaks the attachment. A second model scores the live policy. An optimizer searches for a prompt or adapter that raises the score. A release review treats the rise as evidence that quality improved. Promotion is costly to reverse because users see the change, logs shift, and the next training set inherits the new behavior. Rollback does not restore the prior. The quote is cheap, endogenous to search, and versionable without notice.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An earlier draft of this argument named the objects — wait, pilot, abandon, pin — and stated five propositions in words. The exercise rule was an inequality in an option premium that was not derived. A rise in noise raising that premium is Dixit and Pindyck (1994), not a result about judges. This paper replaces the verbal rule with an investment problem whose observation equation the decision maker is also optimizing, and reports the exercise threshold, the selection probability, and the value of inspection in closed form.</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contribution is the condition under which a pilot scored only by the judge ceases to be a pilot. When the cheat’s intercept exceeds a slope-scaled quality gap, a higher judge score lowers the posterior on true quality. Buying more of that score, on a smaller cohort, is another draw from the same wrong ranking. Inspection creates an option only if it is built so that the cheap quote and the costly check disagree on the cheat.</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2. Related Arguments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Three literatures meet, and none already contains the result. Real options in information systems maps technical, organizational, market, and competitive risk onto deferral, staging, abandonment, and switching (Benaroch et al. 2006). The mapping assumes that the performance measure used to update beliefs is, if noisy, stably attached to value. Measurement-system risk is the case in which the instrument jumps or is the objective.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Organizational control theory treats an output measure as a bureaucratic control (Ouchi 1979). Once search is pointed at the measure, the control is a price the same organization is paying to raise. The formal object used here is an intercept the optimizer can raise without raising value. Multitask agency is the neighboring formalization (Holmström and Milgrom 1991). Those papers do not derive the investment threshold that rises in the gaming intercept.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Technical work on language-model judges shows that scores are not oracles and that rubrics are an attack surface (Zheng et al. 2023). Those facts are inputs. They do not say when a release review should exercise. The model below is the decision rule those facts imply.</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3. The Investment Problem</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3.1. Objects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There is an incumbent policy with value v0. Search returns one candidate, a cheat C with probability s and an honest improvement H with probability 1 − s. Search pressure is s. Values satisfy</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vH = v0 + Δ,    vC = v0 − ℓ,    Δ &gt; 0,  ℓ &gt; 0.</w:t>
      </w:r>
      <w:r>
        <w:rPr>
          <w:rFonts w:ascii="Times New Roman" w:cs="Times New Roman" w:eastAsia="Times New Roman" w:hAnsi="Times New Roman"/>
          <w:b w:val="false"/>
          <w:bCs w:val="false"/>
          <w:i w:val="false"/>
          <w:iCs w:val="false"/>
          <w:color w:val="000000"/>
          <w:sz w:val="22"/>
          <w:szCs w:val="22"/>
        </w:rPr>
        <w:t xml:space="preserve">	(1)</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Promotion pays a sunk cost I &gt; 0 and replaces the live policy. Net gains relative to keeping the incumbent are</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uH = Δ − I,    uC = −ℓ − I − κ.</w:t>
      </w:r>
      <w:r>
        <w:rPr>
          <w:rFonts w:ascii="Times New Roman" w:cs="Times New Roman" w:eastAsia="Times New Roman" w:hAnsi="Times New Roman"/>
          <w:b w:val="false"/>
          <w:bCs w:val="false"/>
          <w:i w:val="false"/>
          <w:iCs w:val="false"/>
          <w:color w:val="000000"/>
          <w:sz w:val="22"/>
          <w:szCs w:val="22"/>
        </w:rPr>
        <w:t xml:space="preserve">	(2)</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term κ ≥ 0 is contamination. Logs written under the promoted policy are the training distribution of the next period, so rollback restores v0 but not the option to draw from the uncontaminated prior. The maintained case is uH &gt; 0 &gt; uC. Honest promotion is worth exercising if the type were known. Cheat promotion is not. If uH ≤ 0 the option is worthless at any signal.</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judge is the cheap quote. Inside a regime it is Gaussian,</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J | H ~ N(mH, σ²),    J | C ~ N(mC, σ²),</w:t>
      </w:r>
      <w:r>
        <w:rPr>
          <w:rFonts w:ascii="Times New Roman" w:cs="Times New Roman" w:eastAsia="Times New Roman" w:hAnsi="Times New Roman"/>
          <w:b w:val="false"/>
          <w:bCs w:val="false"/>
          <w:i w:val="false"/>
          <w:iCs w:val="false"/>
          <w:color w:val="000000"/>
          <w:sz w:val="22"/>
          <w:szCs w:val="22"/>
        </w:rPr>
        <w:t xml:space="preserve">	(3)</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mH = a(v0 + Δ),    mC = a(v0 − ℓ) + β,    a &gt; 0,  β ≥ 0.</w:t>
      </w:r>
      <w:r>
        <w:rPr>
          <w:rFonts w:ascii="Times New Roman" w:cs="Times New Roman" w:eastAsia="Times New Roman" w:hAnsi="Times New Roman"/>
          <w:b w:val="false"/>
          <w:bCs w:val="false"/>
          <w:i w:val="false"/>
          <w:iCs w:val="false"/>
          <w:color w:val="000000"/>
          <w:sz w:val="22"/>
          <w:szCs w:val="22"/>
        </w:rPr>
        <w:t xml:space="preserve">	(4)</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Slope a is attachment of the ruler to quality. Intercept gap β is gaming: rubric length, a yes-leaning delight term, a refund the judge has been taught to like. The optimizer does not observe value. Inspection G in {0, 1} costs cG &gt; 0 and is not in the search training set. A canary is the design in which the honest policy passes and the cheat fails, while β is large enough that the cheat mean exceeds the honest mean.</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ruler jump is a regime draw. With probability λ the pair (a, β) is replaced before J is read. A decision maker who does not re-estimate uses the old likelihood. Pinning sets λ = 0.</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3.2. Rules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net-present-value rule on the judge promotes the searchable argmax of J. With one candidate it promotes if J exceeds the incumbent quote a v0. It does not use s, σ, or G.</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options rule updates the prior odds (1 − s)/s with the likelihood and promotes only if expected net gain is nonnegative. Let π(J) = Pr(H | J). Promote without inspection if</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π(J) uH + (1 − π(J)) uC ≥ 0,</w:t>
      </w:r>
      <w:r>
        <w:rPr>
          <w:rFonts w:ascii="Times New Roman" w:cs="Times New Roman" w:eastAsia="Times New Roman" w:hAnsi="Times New Roman"/>
          <w:b w:val="false"/>
          <w:bCs w:val="false"/>
          <w:i w:val="false"/>
          <w:iCs w:val="false"/>
          <w:color w:val="000000"/>
          <w:sz w:val="22"/>
          <w:szCs w:val="22"/>
        </w:rPr>
        <w:t xml:space="preserve">	(5)</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which is the threshold posterior</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π* = (ℓ + I + κ) / (Δ + ℓ + κ).</w:t>
      </w:r>
      <w:r>
        <w:rPr>
          <w:rFonts w:ascii="Times New Roman" w:cs="Times New Roman" w:eastAsia="Times New Roman" w:hAnsi="Times New Roman"/>
          <w:b w:val="false"/>
          <w:bCs w:val="false"/>
          <w:i w:val="false"/>
          <w:iCs w:val="false"/>
          <w:color w:val="000000"/>
          <w:sz w:val="22"/>
          <w:szCs w:val="22"/>
        </w:rPr>
        <w:t xml:space="preserve">	(6)</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Inspection is purchased when its expected value of information exceeds cG. The option premium is not a free function. It is the gap between π* and the prior, times the loss from exercising on the wrong type.</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4. Results</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4.1. Search on the Judge Selects the Cheat</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Theorem 1 (NPV-on-judge). </w:t>
      </w:r>
      <w:r>
        <w:rPr>
          <w:rFonts w:ascii="Times New Roman" w:cs="Times New Roman" w:eastAsia="Times New Roman" w:hAnsi="Times New Roman"/>
          <w:b w:val="false"/>
          <w:bCs w:val="false"/>
          <w:i w:val="false"/>
          <w:iCs w:val="false"/>
          <w:color w:val="000000"/>
          <w:sz w:val="22"/>
          <w:szCs w:val="22"/>
        </w:rPr>
        <w:t xml:space="preserve">The judge mean-ranks the cheat above the honest policy if and only if β &gt; a(Δ + ℓ). The probability that a single draw ranks them that way is Φ[(β − a(Δ + ℓ))/(σ√2)], strictly increasing in β and strictly decreasing in a, Δ, and ℓ. Under that event the net-present-value rule promotes the cheat and realizes uC &lt; 0. If the review promotes the searchable argmax whenever the cheat is in the set, raising search pressure s raises the unconditional error probability one for one.</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w:t>
      </w:r>
      <w:r>
        <w:rPr>
          <w:rFonts w:ascii="Times New Roman" w:cs="Times New Roman" w:eastAsia="Times New Roman" w:hAnsi="Times New Roman"/>
          <w:b w:val="false"/>
          <w:bCs w:val="false"/>
          <w:i w:val="false"/>
          <w:iCs w:val="false"/>
          <w:color w:val="000000"/>
          <w:sz w:val="22"/>
          <w:szCs w:val="22"/>
        </w:rPr>
        <w:t xml:space="preserve">From (4), mC − mH = β − a(Δ + ℓ). The difference of independent Gaussian draws is normal with that mean and variance 2σ², so the ranking probability is the stated normal cdf. The rule that promotes the argmax of J then ships the cheat and receives uC = −ℓ − I − κ &lt; 0. If the cheat enters the searchable set with probability s and is promoted whenever it outranks the honest policy, the unconditional error probability is s times the ranking probability. □</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Gaming does not merely add noise. It flips the mean ranking at a finite intercept. Below the threshold, search on the judge and search on value agree in expectation. Above it, every additional unit of search pressure raises the probability of an irreversible loss. A steeper attachment a tolerates more gaming before the flip. A larger quality gap does the same.</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4.2. The Holdout Mean Is Not an Inspection</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Theorem 2 (holdout means). </w:t>
      </w:r>
      <w:r>
        <w:rPr>
          <w:rFonts w:ascii="Times New Roman" w:cs="Times New Roman" w:eastAsia="Times New Roman" w:hAnsi="Times New Roman"/>
          <w:b w:val="false"/>
          <w:bCs w:val="false"/>
          <w:i w:val="false"/>
          <w:iCs w:val="false"/>
          <w:color w:val="000000"/>
          <w:sz w:val="22"/>
          <w:szCs w:val="22"/>
        </w:rPr>
        <w:t xml:space="preserve">Let holdout gold be the mixture μ Gr + (1 − μ) Gf of a refund margin and a refusal margin, and let organizational value put weight ω on refusals. Suppose the cheat scores 1 on refunds and 0 on refusals, and the incumbent scores q in (0, 1) on both. Then holdout gold rises on the cheat whenever μ &gt; q, while organizational value falls whenever ω &gt; 1 − q. Both can hold at once. A rise in mean holdout gold is not sufficient for (5).</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w:t>
      </w:r>
      <w:r>
        <w:rPr>
          <w:rFonts w:ascii="Times New Roman" w:cs="Times New Roman" w:eastAsia="Times New Roman" w:hAnsi="Times New Roman"/>
          <w:b w:val="false"/>
          <w:bCs w:val="false"/>
          <w:i w:val="false"/>
          <w:iCs w:val="false"/>
          <w:color w:val="000000"/>
          <w:sz w:val="22"/>
          <w:szCs w:val="22"/>
        </w:rPr>
        <w:t xml:space="preserve">The holdout gap is μ − q, so the mean rises if and only if μ &gt; q. Organizational value of the cheat is 1 − ω and of the incumbent is q, so value falls if and only if ω &gt; 1 − q. Take μ in (q, 1) and ω in (max(μ, 1 − q), 1). On that set the holdout mean rises while (5) fails, because posterior weight on the cheat should rise rather than fall. □</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mixed holdout is another quote with a different intercept. It is not the inspection in Section 3. Weight on the margin where the cheat is accidentally correct hides the loss on the margin the organization weights.</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4.3. Canaries Reverse the Likelihood</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Theorem 3 (inspection). </w:t>
      </w:r>
      <w:r>
        <w:rPr>
          <w:rFonts w:ascii="Times New Roman" w:cs="Times New Roman" w:eastAsia="Times New Roman" w:hAnsi="Times New Roman"/>
          <w:b w:val="false"/>
          <w:bCs w:val="false"/>
          <w:i w:val="false"/>
          <w:iCs w:val="false"/>
          <w:color w:val="000000"/>
          <w:sz w:val="22"/>
          <w:szCs w:val="22"/>
        </w:rPr>
        <w:t xml:space="preserve">Suppose the canary is separating on the refusal margin: the honest policy passes with probability 1 and the cheat with probability 0. Then a failure implies posterior probability 1 on the cheat for every finite judge score, and (5) fails. The value of the canary, relative to deciding on the judge alone, equals the Theorem 1 error probability times (−uC), minus cG. A holdout with μ &gt; 0 does not deliver this posterior.</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w:t>
      </w:r>
      <w:r>
        <w:rPr>
          <w:rFonts w:ascii="Times New Roman" w:cs="Times New Roman" w:eastAsia="Times New Roman" w:hAnsi="Times New Roman"/>
          <w:b w:val="false"/>
          <w:bCs w:val="false"/>
          <w:i w:val="false"/>
          <w:iCs w:val="false"/>
          <w:color w:val="000000"/>
          <w:sz w:val="22"/>
          <w:szCs w:val="22"/>
        </w:rPr>
        <w:t xml:space="preserve">The likelihood ratio of the honest type at a canary failure is zero, independent of the density of J. Bayes updates to a point mass on the cheat. Since uC &lt; 0, (5) fails and the candidate is abandoned. The judge-only rule promotes the cheat on the event in Theorem 1. Avoiding that promotion saves −uC. Purchasing the canary is optimal when that expected saving exceeds cG. A holdout with μ &gt; 0 leaves positive probability on a high score given the cheat, so a high J can still clear π*. □</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canary is not a hard example and not a larger holdout. It is an instrument with a negative likelihood ratio on the cheat the review fears. A perfect judge score on that instrument is evidence against exercise, because under Theorem 1 the perfect score is what the cheat produces. If the canary is imperfect, the same algebra applies with a finite likelihood ratio. Abandonment still rises as long as that ratio exceeds one while the cheat mean exceeds the honest mean.</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4.4. Collapse and Hackability Are Different Premia</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Theorem 4 (two premia). </w:t>
      </w:r>
      <w:r>
        <w:rPr>
          <w:rFonts w:ascii="Times New Roman" w:cs="Times New Roman" w:eastAsia="Times New Roman" w:hAnsi="Times New Roman"/>
          <w:b w:val="false"/>
          <w:bCs w:val="false"/>
          <w:i w:val="false"/>
          <w:iCs w:val="false"/>
          <w:color w:val="000000"/>
          <w:sz w:val="22"/>
          <w:szCs w:val="22"/>
        </w:rPr>
        <w:t xml:space="preserve">(i) Collapse. If a and β both go to 0, the posterior goes to the prior 1 − s for almost every J. The options rule promotes only if the prior already clears π*. The net-present-value rule still has an argmax; shipping it has expected net gain (1 − s)uH + s uC, negative whenever s &gt; uH / (uH − uC). (ii) Hackability. If β &gt; a(Δ + ℓ), the log-odds of the honest type is strictly decreasing in J. A higher quote lowers the posterior. Both cases raise the bar relative to an attached judge, and the derivatives have opposite signs.</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λ(J) = log((1 − s)/s) + [(J − mC)² − (J − mH)²] / (2σ²).</w:t>
      </w:r>
      <w:r>
        <w:rPr>
          <w:rFonts w:ascii="Times New Roman" w:cs="Times New Roman" w:eastAsia="Times New Roman" w:hAnsi="Times New Roman"/>
          <w:b w:val="false"/>
          <w:bCs w:val="false"/>
          <w:i w:val="false"/>
          <w:iCs w:val="false"/>
          <w:color w:val="000000"/>
          <w:sz w:val="22"/>
          <w:szCs w:val="22"/>
        </w:rPr>
        <w:t xml:space="preserve">	(7)</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w:t>
      </w:r>
      <w:r>
        <w:rPr>
          <w:rFonts w:ascii="Times New Roman" w:cs="Times New Roman" w:eastAsia="Times New Roman" w:hAnsi="Times New Roman"/>
          <w:b w:val="false"/>
          <w:bCs w:val="false"/>
          <w:i w:val="false"/>
          <w:iCs w:val="false"/>
          <w:color w:val="000000"/>
          <w:sz w:val="22"/>
          <w:szCs w:val="22"/>
        </w:rPr>
        <w:t xml:space="preserve">The derivative of (7) in J equals (mH − mC) / σ². Under collapse that gap goes to 0, so the log-odds collapses to the prior. Expected net gain of shipping the argmax of a non-informative score is the prior mixture, negative when prior weight on the cheat exceeds the rewritten threshold. Under hackability the gap is negative, so the derivative is negative. The quote the net-present-value rule treats as favorable is the quote that cuts the posterior. An attached judge with β = 0 is the only case in which a rising score is evidence for exercise. □</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collapsed judge is often called conservative. Theorem 4 says it is uninformative. Uninformative quotes still have an argmax. The premium is what stops the organization from shipping it. A sensitive hackable judge is not a noisy version of the same object. Its ranking is informative about the wrong type.</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4.5. A Rubric Jump Biases Exercise If the Likelihood Is Not Re-estimated</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Theorem 5 (ruler jump). </w:t>
      </w:r>
      <w:r>
        <w:rPr>
          <w:rFonts w:ascii="Times New Roman" w:cs="Times New Roman" w:eastAsia="Times New Roman" w:hAnsi="Times New Roman"/>
          <w:b w:val="false"/>
          <w:bCs w:val="false"/>
          <w:i w:val="false"/>
          <w:iCs w:val="false"/>
          <w:color w:val="000000"/>
          <w:sz w:val="22"/>
          <w:szCs w:val="22"/>
        </w:rPr>
        <w:t xml:space="preserve">Let regimes have gaming intercepts β1 &gt; β0 and the same slope. A decision maker who ignores the jump uses the old likelihood on a new draw. For scores above both means the reported log-odds exceeds the true log-odds, and the declared exercise set strictly contains the true one. Expected loss is λ times the probability of the extra set times (−uC). Pinning avoids the loss. If the jump is a pure intercept shift, pinning dominates use of the new ruler without re-estimation against inspection.</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w:t>
      </w:r>
      <w:r>
        <w:rPr>
          <w:rFonts w:ascii="Times New Roman" w:cs="Times New Roman" w:eastAsia="Times New Roman" w:hAnsi="Times New Roman"/>
          <w:b w:val="false"/>
          <w:bCs w:val="false"/>
          <w:i w:val="false"/>
          <w:iCs w:val="false"/>
          <w:color w:val="000000"/>
          <w:sz w:val="22"/>
          <w:szCs w:val="22"/>
        </w:rPr>
        <w:t xml:space="preserve">Completing the square in (7) gives λ(J) = log((1 − s)/s) + (mH − mC)(2J − mH − mC) / (2σ²). An ignored jump plugs in β0 when the draw was generated at β1 &gt; β0, so the plugged-in gap mH − mC is too large. For J above both means the reported log-odds exceeds the true log-odds: the new ruler’s high score is treated as more honest than it is. The difference in exercise sets is a set of false promotions. A pure intercept shift does not raise expected value given type. Re-estimation against a separating inspection restores the ranking. Pinning sets λ = 0. □</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Historical scores are not a time series of value. They are a time series of an observation equation. Comparing scores across a rubric diff compares two instruments. Pinning is the decision to keep (7) valid, not a hygiene task.</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4.6. What the Pilot Is</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Corollary.. </w:t>
      </w:r>
      <w:r>
        <w:rPr>
          <w:rFonts w:ascii="Times New Roman" w:cs="Times New Roman" w:eastAsia="Times New Roman" w:hAnsi="Times New Roman"/>
          <w:b w:val="false"/>
          <w:bCs w:val="false"/>
          <w:i w:val="false"/>
          <w:iCs w:val="false"/>
          <w:color w:val="000000"/>
          <w:sz w:val="22"/>
          <w:szCs w:val="22"/>
        </w:rPr>
        <w:t xml:space="preserve">A shadow cohort promoted on the judge alone, at sunk cost I1 &lt; I, uses (5) with I replaced by I1 and with no inspection. Under β &gt; a(Δ + ℓ) this lowers π* and raises the probability of promoting the cheat. The compound option collapses to Theorem 1 on a cheaper sunk cost. It is a pilot only if the cohort is scored by a signal whose likelihood ratio agrees with value.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Classical option mappings assume that a pilot produces a better estimate of value. They do not assume that the estimate is produced by a second model the same organization is tuning. Scaling the cohort down then spends a smaller sunk cost on the same wrong ranking.</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5. Numerical Sign Check</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ledger below is a store support desk: twenty-two tickets, four reply programs, a deterministic gold checker, an inspectable rubric, and an open 135-million-parameter model used only as a scorer. It checks the signs in Theorems 1–4. It does not estimate s, σ, or κ, and it is not evidence about firms.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1660"/>
        <w:gridCol w:w="2200"/>
      </w:tblGrid>
      <w:tr>
        <w:trPr>
          <w:tblHeader/>
        </w:trPr>
        <w:tc>
          <w:tcPr>
            <w:tcW w:type="dxa" w:w="2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Policy</w:t>
            </w:r>
          </w:p>
        </w:tc>
        <w:tc>
          <w:tcPr>
            <w:tcW w:type="dxa" w:w="16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Holdout gold</w:t>
            </w:r>
          </w:p>
        </w:tc>
        <w:tc>
          <w:tcPr>
            <w:tcW w:type="dxa" w:w="16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Canary gold</w:t>
            </w:r>
          </w:p>
        </w:tc>
        <w:tc>
          <w:tcPr>
            <w:tcW w:type="dxa" w:w="166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Judge rubric</w:t>
            </w:r>
          </w:p>
        </w:tc>
        <w:tc>
          <w:tcPr>
            <w:tcW w:type="dxa" w:w="22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Rule (5)</w:t>
            </w:r>
          </w:p>
        </w:tc>
      </w:tr>
      <w:tr>
        <w:tc>
          <w:tcPr>
            <w:tcW w:type="dxa" w:w="2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Warm legal</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1.00</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1.00</w:t>
            </w:r>
          </w:p>
        </w:tc>
        <w:tc>
          <w:tcPr>
            <w:tcW w:type="dxa" w:w="16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0.48</w:t>
            </w:r>
          </w:p>
        </w:tc>
        <w:tc>
          <w:tcPr>
            <w:tcW w:type="dxa" w:w="2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Eligible</w:t>
            </w:r>
          </w:p>
        </w:tc>
      </w:tr>
      <w:tr>
        <w:tc>
          <w:tcPr>
            <w:tcW w:type="dxa" w:w="2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Plain legal</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0.94</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1.00</w:t>
            </w:r>
          </w:p>
        </w:tc>
        <w:tc>
          <w:tcPr>
            <w:tcW w:type="dxa" w:w="16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0.40</w:t>
            </w:r>
          </w:p>
        </w:tc>
        <w:tc>
          <w:tcPr>
            <w:tcW w:type="dxa" w:w="2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Eligible</w:t>
            </w:r>
          </w:p>
        </w:tc>
      </w:tr>
      <w:tr>
        <w:tc>
          <w:tcPr>
            <w:tcW w:type="dxa" w:w="2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Always refund (cheat)</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0.78</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0.55</w:t>
            </w:r>
          </w:p>
        </w:tc>
        <w:tc>
          <w:tcPr>
            <w:tcW w:type="dxa" w:w="16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0.92</w:t>
            </w:r>
          </w:p>
        </w:tc>
        <w:tc>
          <w:tcPr>
            <w:tcW w:type="dxa" w:w="2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Abandon</w:t>
            </w:r>
          </w:p>
        </w:tc>
      </w:tr>
      <w:tr>
        <w:tc>
          <w:tcPr>
            <w:tcW w:type="dxa" w:w="2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Redirect</w:t>
            </w:r>
          </w:p>
        </w:tc>
        <w:tc>
          <w:tcPr>
            <w:tcW w:type="dxa" w:w="16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0.55</w:t>
            </w:r>
          </w:p>
        </w:tc>
        <w:tc>
          <w:tcPr>
            <w:tcW w:type="dxa" w:w="16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0.55</w:t>
            </w:r>
          </w:p>
        </w:tc>
        <w:tc>
          <w:tcPr>
            <w:tcW w:type="dxa" w:w="166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w:t>
            </w:r>
          </w:p>
        </w:tc>
        <w:tc>
          <w:tcPr>
            <w:tcW w:type="dxa" w:w="22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Abandon</w:t>
            </w:r>
          </w:p>
        </w:tc>
      </w:tr>
    </w:tbl>
    <w:p>
      <w:pPr>
        <w:spacing w:after="0" w:before="0" w:line="480" w:lineRule="auto"/>
        <w:jc w:val="both"/>
      </w:pPr>
      <w:r>
        <w:rPr>
          <w:rFonts w:ascii="Times New Roman" w:cs="Times New Roman" w:eastAsia="Times New Roman" w:hAnsi="Times New Roman"/>
          <w:b w:val="false"/>
          <w:bCs w:val="false"/>
          <w:i/>
          <w:iCs/>
          <w:color w:val="000000"/>
          <w:sz w:val="20"/>
          <w:szCs w:val="20"/>
        </w:rPr>
        <w:t xml:space="preserve">Table 1. Sign check. Gold is deterministic. The rubric is the development judge. Always-refund is the cheat.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net-present-value rule on the development rubric selects always-refund: the score moves from 0.08 on redirect to 0.92. Holdout gold of 0.78 still beats redirect. That is Theorems 1 and 2 in one row. Canary gold is 0.55 for the cheat and 1.00 for the legal programs, while the rubric on those canaries is 0.92 for the cheat. That is Theorem 3. The open-weight yes/no judge lies in [0.18, 0.26] across replies, against a rubric span of [0.08, 0.92]. That is collapse in Theorem 4. Its argmax is still the cheat. A rubric edit toward unconditional yes moves the cheat from 0.92 to 1.00 with gold unchanged. That is the intercept shift in Theorem 5. None of these numbers estimates (6).</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6. What Would Have to Be Measured</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theorems are about a promotion episode: a dated decision to ship, shadow, hold, or revert a prompt, adapter, or judge version. An empirical object that could reject them is a corpus of episodes whose artifact pack contains the rubric diff, the judge identifier, and an evaluation inventory split into development, holdout, and canary. Theorem 1 fails if judge-maximizing search does not raise later reversals on the refusal margin. Theorem 3 fails if sites that already keep a separating canary do not abandon on it. Theorem 5 fails if incidents narrated as quality regressions do not coincide with rubric or endpoint diffs. A purposive sample of product platforms, regulated operators, and internal copilots can produce that contrast. It is a subsequent paper.</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Public data cannot yet supply that corpus. As a feasibility check we mined the commit histories of about 3,800 open-weight text-generation repositories on the Hugging Face Hub, treating a commit that changes weights, generation configuration, tokenizer, or chat template as a ship and a commit that restores an earlier artifact as a revert. Of 84,202 commits, 89 carry a revert-type title (0.1 percent); after requiring a non-documentation change and a diff that inverts an earlier commit, 16 remain as reversals and 12 link to the commit they undo. Only three of the twelve fall more than a day after the ship (3, 245, and 525 days); the rest are same-day replacements of training checkpoints. None carries a judge identifier, a rubric diff, or a development, holdout, and canary split, so the sample can show that reversals are observable but cannot test Theorems 1, 3, or 5. Release histories are therefore a source of dated ship and revert events, and the judge and the evaluation inventory must come from the operators themselves.</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7. Discussion</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paper does two things to the information-systems options menu. It moves the unit from the funding episode to the weekly promotion, because that is the decision that contaminates the next training log. It adds a risk class in which the instrument is the objective. Energy is not a separate cash flow. Fewer judge calls are a lower inspection cost or a lower sunk cost, already inside (2) and (6).</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Read backwards, the theorems are operational. Version the judge and the rubric, or Theorem 5 says the next green diff is not a quality movement. Split items into development, holdout, and canary before search, and write the canary so the two types separate. Do not call a judge-scored one-percent ship a pilot. Where inspection does not exist, an uninformative score is a reason to freeze promotion, not a reason to automate it.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model is one-shot and two-type. A multi-attribute value would make abandonment attribute-specific. Distributed search would make contamination of the inspection endogenous. Neither extension reverses Theorems 1–3. Scale of the judge can reduce collapse and raise the sophistication of gaming at the same time. Inspection does not become optional when the quote looks more convincing.</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8. Conclusion</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rising judge score is not a close. Under (4) it is evidence for promotion only while the gaming intercept sits below a(Δ + ℓ). Above that line the score is evidence for the cheat, a mixed holdout can still look acceptable, and only a signal that disagrees with the judge on the cheat restores abandonment. Pinning keeps that likelihood comparable across weeks. If the separating inspection has not arrived, the posterior has not cleared π*. Do not exercise.</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Appendix. Mapping from the Verbal Draft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Earlier object</w:t>
            </w:r>
          </w:p>
        </w:tc>
        <w:tc>
          <w:tcPr>
            <w:tcW w:type="dxa" w:w="516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Status here</w:t>
            </w:r>
          </w:p>
        </w:tc>
      </w:tr>
      <w:tr>
        <w:tc>
          <w:tcPr>
            <w:tcW w:type="dxa" w:w="4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Verbal rule with an unpriced premium</w:t>
            </w:r>
          </w:p>
        </w:tc>
        <w:tc>
          <w:tcPr>
            <w:tcW w:type="dxa" w:w="51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Replaced by (5) and (6).</w:t>
            </w:r>
          </w:p>
        </w:tc>
      </w:tr>
      <w:tr>
        <w:tc>
          <w:tcPr>
            <w:tcW w:type="dxa" w:w="4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Proposition 1</w:t>
            </w:r>
          </w:p>
        </w:tc>
        <w:tc>
          <w:tcPr>
            <w:tcW w:type="dxa" w:w="51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1. Flip at β = a(Δ + ℓ).</w:t>
            </w:r>
          </w:p>
        </w:tc>
      </w:tr>
      <w:tr>
        <w:tc>
          <w:tcPr>
            <w:tcW w:type="dxa" w:w="4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Proposition 2</w:t>
            </w:r>
          </w:p>
        </w:tc>
        <w:tc>
          <w:tcPr>
            <w:tcW w:type="dxa" w:w="51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2. Requires μ &gt; q and ω &gt; 1 − q.</w:t>
            </w:r>
          </w:p>
        </w:tc>
      </w:tr>
      <w:tr>
        <w:tc>
          <w:tcPr>
            <w:tcW w:type="dxa" w:w="4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Proposition 3</w:t>
            </w:r>
          </w:p>
        </w:tc>
        <w:tc>
          <w:tcPr>
            <w:tcW w:type="dxa" w:w="51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3. Separating likelihood.</w:t>
            </w:r>
          </w:p>
        </w:tc>
      </w:tr>
      <w:tr>
        <w:tc>
          <w:tcPr>
            <w:tcW w:type="dxa" w:w="4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Proposition 4</w:t>
            </w:r>
          </w:p>
        </w:tc>
        <w:tc>
          <w:tcPr>
            <w:tcW w:type="dxa" w:w="51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4. Collapse and hackability split.</w:t>
            </w:r>
          </w:p>
        </w:tc>
      </w:tr>
      <w:tr>
        <w:tc>
          <w:tcPr>
            <w:tcW w:type="dxa" w:w="4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Proposition 5</w:t>
            </w:r>
          </w:p>
        </w:tc>
        <w:tc>
          <w:tcPr>
            <w:tcW w:type="dxa" w:w="51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5. Ignored intercept shift.</w:t>
            </w:r>
          </w:p>
        </w:tc>
      </w:tr>
      <w:tr>
        <w:tc>
          <w:tcPr>
            <w:tcW w:type="dxa" w:w="4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Energy identity</w:t>
            </w:r>
          </w:p>
        </w:tc>
        <w:tc>
          <w:tcPr>
            <w:tcW w:type="dxa" w:w="51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Dropped. Watts are a unit of I or cG.</w:t>
            </w:r>
          </w:p>
        </w:tc>
      </w:tr>
      <w:tr>
        <w:tc>
          <w:tcPr>
            <w:tcW w:type="dxa" w:w="4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Field protocol</w:t>
            </w:r>
          </w:p>
        </w:tc>
        <w:tc>
          <w:tcPr>
            <w:tcW w:type="dxa" w:w="51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Reduced to rejection conditions in Section 6.</w:t>
            </w:r>
          </w:p>
        </w:tc>
      </w:tr>
      <w:tr>
        <w:tc>
          <w:tcPr>
            <w:tcW w:type="dxa" w:w="42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Twenty-two-ticket ledger</w:t>
            </w:r>
          </w:p>
        </w:tc>
        <w:tc>
          <w:tcPr>
            <w:tcW w:type="dxa" w:w="516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Table 1, sign check only.</w:t>
            </w:r>
          </w:p>
        </w:tc>
      </w:tr>
    </w:tbl>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p>
      <w:pPr>
        <w:spacing w:after="0" w:before="0" w:line="480" w:lineRule="auto"/>
        <w:jc w:val="both"/>
      </w:pPr>
      <w:r>
        <w:rPr>
          <w:rFonts w:ascii="Times New Roman" w:cs="Times New Roman" w:eastAsia="Times New Roman" w:hAnsi="Times New Roman"/>
          <w:b w:val="false"/>
          <w:bCs w:val="false"/>
          <w:i/>
          <w:iCs/>
          <w:color w:val="000000"/>
          <w:sz w:val="20"/>
          <w:szCs w:val="20"/>
        </w:rPr>
        <w:t xml:space="preserve">Table A.1. Objects carried from the earlier draft, and objects dropped.</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References</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Benaroch M (2002) Managing information technology investment risk: A real options perspective. Journal of Management Information Systems 19(2):43–84.</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Benaroch M, Kauffman RJ (1999) A case for using real options pricing analysis to evaluate information technology project investments. Information Systems Research 10(1):70–86.</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Benaroch M, Lichtenstein Y, Robinson K (2006) Real options in information technology risk management: An empirical validation of risk-option relationships. MIS Quarterly 30(4):827–864.</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Dixit AK, Pindyck RS (1994) Investment under Uncertainty (Princeton University Press, Princeton, NJ).</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Fichman RG (2004) Real options and IT platform adoption: Implications for theory and practice. Information Systems Research 15(2):132–154.</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Holmström B, Milgrom P (1991) Multitask principal-agent analyses: Incentive contracts, asset ownership, and job design. Journal of Law, Economics, and Organization 7:24–52.</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Myers SC (1977) Determinants of corporate borrowing. Journal of Financial Economics 5(2):147–175.</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Ouchi WG (1979) A conceptual framework for the design of organizational control mechanisms. Management Science 25(9):833–848.</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Taudes A, Feurstein M, Mild A (2000) Options analysis of software platform decisions: A case study. MIS Quarterly 24(2):227–243.</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Zheng L, Chiang WL, Sheng Y, Zhuang S, Wu Z, Zhuang Y, Lin Z, Li Z, Li D, Xing E, Gonzalez JE, Stoica I, Xing H (2023) Judging LLM-as-a-judge with MT-Bench and Chatbot Arena. Advances in Neural Information Processing Systems 36.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60"/>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360"/>
      </w:tabs>
      <w:spacing w:after="120"/>
    </w:pPr>
    <w:r>
      <w:rPr>
        <w:rFonts w:ascii="Times New Roman" w:cs="Times New Roman" w:eastAsia="Times New Roman" w:hAnsi="Times New Roman"/>
        <w:b w:val="false"/>
        <w:bCs w:val="false"/>
        <w:i/>
        <w:iCs/>
        <w:color w:val="000000"/>
        <w:sz w:val="18"/>
        <w:szCs w:val="18"/>
      </w:rPr>
      <w:t xml:space="preserve">Information Systems Research — manuscript for review</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iCs/>
        <w:color w:val="000000"/>
        <w:sz w:val="18"/>
        <w:szCs w:val="18"/>
      </w:rPr>
      <w:t xml:space="preserve">Double-anonymous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48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200" w:line="480" w:lineRule="auto"/>
      <w:outlineLvl w:val="1"/>
    </w:pPr>
    <w:rPr>
      <w:rFonts w:ascii="Times New Roman" w:cs="Times New Roman" w:eastAsia="Times New Roman" w:hAnsi="Times New Roman"/>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2026-10-03T04:47:15.210Z</dcterms:created>
  <dcterms:modified xsi:type="dcterms:W3CDTF">2026-10-03T04:47:15.210Z</dcterms:modified>
</cp:coreProperties>
</file>

<file path=docProps/custom.xml><?xml version="1.0" encoding="utf-8"?>
<Properties xmlns="http://schemas.openxmlformats.org/officeDocument/2006/custom-properties" xmlns:vt="http://schemas.openxmlformats.org/officeDocument/2006/docPropsVTypes"/>
</file>