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itle-page"/>
    <w:p>
      <w:pPr>
        <w:pStyle w:val="Heading1"/>
      </w:pPr>
      <w:r>
        <w:rPr>
          <w:rFonts w:ascii="Times New Roman" w:hAnsi="Times New Roman"/>
          <w:color w:val="000000"/>
        </w:rPr>
        <w:t xml:space="preserve">Title Page</w:t>
      </w:r>
    </w:p>
    <w:p>
      <w:pPr>
        <w:pStyle w:val="FirstParagraph"/>
      </w:pPr>
      <w:r>
        <w:rPr>
          <w:iCs/>
          <w:i/>
        </w:rPr>
        <w:t xml:space="preserve">(This page is not part of the blinded manuscript. Upload it separately, as required for double-anonymous review.)</w:t>
      </w:r>
    </w:p>
    <w:p>
      <w:pPr>
        <w:pStyle w:val="BodyText"/>
      </w:pPr>
      <w:r>
        <w:rPr>
          <w:bCs/>
          <w:b/>
        </w:rPr>
        <w:t xml:space="preserve">Title.</w:t>
      </w:r>
      <w:r>
        <w:t xml:space="preserve"> </w:t>
      </w:r>
      <w:r>
        <w:t xml:space="preserve">Who Pays for the Next Attempt? Contract Design and Escalation Rules for AI-Assisted Software Maintenance</w:t>
      </w:r>
    </w:p>
    <w:p>
      <w:pPr>
        <w:pStyle w:val="BodyText"/>
      </w:pPr>
      <w:r>
        <w:rPr>
          <w:bCs/>
          <w:b/>
        </w:rPr>
        <w:t xml:space="preserve">Running header.</w:t>
      </w:r>
      <w:r>
        <w:t xml:space="preserve"> </w:t>
      </w:r>
      <w:r>
        <w:t xml:space="preserve">Who Pays for the Next Attempt?</w:t>
      </w:r>
    </w:p>
    <w:p>
      <w:pPr>
        <w:pStyle w:val="BodyText"/>
      </w:pPr>
      <w:r>
        <w:rPr>
          <w:bCs/>
          <w:b/>
        </w:rPr>
        <w:t xml:space="preserve">Manuscript type.</w:t>
      </w:r>
      <w:r>
        <w:t xml:space="preserve"> </w:t>
      </w:r>
      <w:r>
        <w:t xml:space="preserve">Research Article</w:t>
      </w:r>
    </w:p>
    <w:p>
      <w:pPr>
        <w:pStyle w:val="BodyText"/>
      </w:pPr>
      <w:r>
        <w:rPr>
          <w:bCs/>
          <w:b/>
        </w:rPr>
        <w:t xml:space="preserve">Authors and affiliations.</w:t>
      </w:r>
      <w:r>
        <w:t xml:space="preserve"> </w:t>
      </w:r>
      <w:r>
        <w:t xml:space="preserve">[Author 1 name, title, department, institution, city, country]; [Author 2 name, …]</w:t>
      </w:r>
    </w:p>
    <w:p>
      <w:pPr>
        <w:pStyle w:val="BodyText"/>
      </w:pPr>
      <w:r>
        <w:rPr>
          <w:bCs/>
          <w:b/>
        </w:rPr>
        <w:t xml:space="preserve">Corresponding author.</w:t>
      </w:r>
      <w:r>
        <w:t xml:space="preserve"> </w:t>
      </w:r>
      <w:r>
        <w:t xml:space="preserve">[Name, postal address, e-mail address, telephone]</w:t>
      </w:r>
    </w:p>
    <w:p>
      <w:pPr>
        <w:pStyle w:val="BodyText"/>
      </w:pPr>
      <w:r>
        <w:rPr>
          <w:bCs/>
          <w:b/>
        </w:rPr>
        <w:t xml:space="preserve">ORCID of the submitting author.</w:t>
      </w:r>
      <w:r>
        <w:t xml:space="preserve"> </w:t>
      </w:r>
      <w:r>
        <w:t xml:space="preserve">[https://orcid.org/xxxx-xxxx-xxxx-xxxx]</w:t>
      </w:r>
    </w:p>
    <w:p>
      <w:pPr>
        <w:pStyle w:val="BodyText"/>
      </w:pPr>
      <w:r>
        <w:rPr>
          <w:bCs/>
          <w:b/>
        </w:rPr>
        <w:t xml:space="preserve">Keywords.</w:t>
      </w:r>
      <w:r>
        <w:t xml:space="preserve"> </w:t>
      </w:r>
      <w:r>
        <w:t xml:space="preserve">AI–human task allocation; escalation; outcome-based pricing; IT service contracts; software maintenance; large language models; double marginalization; optimal stopping</w:t>
      </w:r>
      <w:r>
        <w:t xml:space="preserve"> </w:t>
      </w:r>
      <w:r>
        <w:rPr>
          <w:iCs/>
          <w:i/>
        </w:rPr>
        <w:t xml:space="preserve">(map these to the ScholarOne keyword list at submission)</w:t>
      </w:r>
    </w:p>
    <w:p>
      <w:pPr>
        <w:pStyle w:val="BodyText"/>
      </w:pPr>
      <w:r>
        <w:rPr>
          <w:bCs/>
          <w:b/>
        </w:rPr>
        <w:t xml:space="preserve">Length.</w:t>
      </w:r>
      <w:r>
        <w:t xml:space="preserve"> </w:t>
      </w:r>
      <w:r>
        <w:t xml:space="preserve">Abstract: 296 words. Main text before the references: about 8,570 words (the manuscript is formatted in 11-point type, double-spaced, with one-inch margins). An online appendix accompanies the paper.</w:t>
      </w:r>
    </w:p>
    <w:p>
      <w:pPr>
        <w:pStyle w:val="BodyText"/>
      </w:pPr>
      <w:r>
        <w:rPr>
          <w:bCs/>
          <w:b/>
        </w:rPr>
        <w:t xml:space="preserve">Funding.</w:t>
      </w:r>
      <w:r>
        <w:t xml:space="preserve"> </w:t>
      </w:r>
      <w:r>
        <w:t xml:space="preserve">[Funding sources and grant numbers, or</w:t>
      </w:r>
      <w:r>
        <w:t xml:space="preserve"> </w:t>
      </w:r>
      <w:r>
        <w:t xml:space="preserve">“</w:t>
      </w:r>
      <w:r>
        <w:t xml:space="preserve">This research received no external funding.</w:t>
      </w:r>
      <w:r>
        <w:t xml:space="preserve">”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Acknowledgments.</w:t>
      </w:r>
      <w:r>
        <w:t xml:space="preserve"> </w:t>
      </w:r>
      <w:r>
        <w:t xml:space="preserve">[To be completed after review; omitted from the blinded manuscript.]</w:t>
      </w:r>
    </w:p>
    <w:p>
      <w:pPr>
        <w:pStyle w:val="BodyText"/>
      </w:pPr>
      <w:r>
        <w:rPr>
          <w:bCs/>
          <w:b/>
        </w:rPr>
        <w:t xml:space="preserve">Conflicts of interest.</w:t>
      </w:r>
      <w:r>
        <w:t xml:space="preserve"> </w:t>
      </w:r>
      <w:r>
        <w:t xml:space="preserve">[Declare any perceived conflicts of interest.]</w:t>
      </w:r>
    </w:p>
    <w:p>
      <w:pPr>
        <w:pStyle w:val="BodyText"/>
      </w:pPr>
      <w:r>
        <w:rPr>
          <w:bCs/>
          <w:b/>
        </w:rPr>
        <w:t xml:space="preserve">Disclosure of AI assistance.</w:t>
      </w:r>
      <w:r>
        <w:t xml:space="preserve"> </w:t>
      </w:r>
      <w:r>
        <w:t xml:space="preserve">[Describe the use of generative AI tools in preparing the text, the analysis code, and the data, in line with the INFORMS policy on AI use; see the cover letter.]</w:t>
      </w:r>
    </w:p>
    <w:bookmarkEnd w:id="20"/>
    <w:sectPr>
      <w:footerReference w:type="default" r:id="rId9"/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pPr>
      <w:spacing w:after="120" w:before="0" w:line="360" w:lineRule="auto"/>
    </w:pPr>
    <w:qFormat/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40" w:before="36" w:line="240" w:lineRule="auto"/>
    </w:pPr>
    <w:rPr>
      <w:rFonts w:ascii="Times New Roman" w:cs="Times New Roman" w:eastAsia="Times New Roman" w:hAnsi="Times New Roman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"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" w:before="240"/>
      <w:jc w:val="center"/>
    </w:pPr>
    <w:rPr>
      <w:rFonts w:ascii="Times New Roman" w:cs="Times New Roman" w:eastAsia="Times New Roman" w:hAnsi="Times New Roman"/>
      <w:b/>
      <w:color w:val="000000"/>
      <w:sz w:val="2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cs="Times New Roman" w:eastAsia="Times New Roman" w:hAnsi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40"/>
      <w:outlineLvl w:val="3"/>
    </w:pPr>
    <w:rPr>
      <w:rFonts w:ascii="Times New Roman" w:asciiTheme="majorHAnsi" w:cs="Times New Roman" w:cstheme="majorBidi" w:eastAsia="Times New Roman" w:eastAsiaTheme="majorEastAsia" w:hAnsi="Times New Roman" w:hAnsiTheme="majorHAnsi"/>
      <w:i/>
      <w:b/>
      <w:bCs/>
      <w:color w:val="000000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120" w:before="240"/>
      <w:outlineLvl w:val="4"/>
    </w:pPr>
    <w:rPr>
      <w:rFonts w:ascii="Times New Roman" w:asciiTheme="majorHAnsi" w:cs="Times New Roman" w:cstheme="majorBidi" w:eastAsia="Times New Roman" w:eastAsiaTheme="majorEastAsia" w:hAnsi="Times New Roman" w:hAnsiTheme="majorHAnsi"/>
      <w:b/>
      <w:iCs/>
      <w:color w:val="000000"/>
      <w:sz w:val="22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120" w:before="240"/>
      <w:outlineLvl w:val="5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val="000000"/>
      <w:sz w:val="22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120" w:before="240"/>
      <w:outlineLvl w:val="6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val="000000"/>
      <w:sz w:val="22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120" w:before="240"/>
      <w:outlineLvl w:val="7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val="000000"/>
      <w:sz w:val="22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120" w:before="240"/>
      <w:outlineLvl w:val="8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val="000000"/>
      <w:sz w:val="22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0" w:line="360" w:lineRule="auto"/>
      <w:ind w:firstLine="0" w:left="480" w:right="480"/>
    </w:pPr>
    <w:rPr>
      <w:rFonts w:ascii="Times New Roman" w:cs="Times New Roman" w:eastAsia="Times New Roman" w:hAnsi="Times New Roman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 w:val="0"/>
      <w:sz w:val="20"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  <w:i w:val="0"/>
      <w:sz w:val="20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  <w:i w:val="0"/>
      <w:sz w:val="20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="Times New Roman" w:cstheme="majorBidi" w:eastAsia="Times New Roman" w:eastAsiaTheme="majorEastAsia" w:hAnsi="Times New Roman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2026-10-25T06:28:53Z</dcterms:created>
  <dcterms:modified xsi:type="dcterms:W3CDTF">2026-10-25T06:28:53Z</dcterms:modified>
  <cp:lastModifiedBy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