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left"/>
      </w:pPr>
      <w:r>
        <w:rPr>
          <w:rFonts w:ascii="Times New Roman" w:cs="Times New Roman" w:eastAsia="Times New Roman" w:hAnsi="Times New Roman"/>
          <w:sz w:val="24"/>
          <w:szCs w:val="24"/>
        </w:rPr>
        <w:t xml:space="preserve">[Date]</w:t>
      </w:r>
    </w:p>
    <w:p>
      <w:pPr>
        <w:spacing w:after="0" w:before="0" w:line="276"/>
        <w:jc w:val="left"/>
      </w:pPr>
      <w:r>
        <w:rPr>
          <w:rFonts w:ascii="Times New Roman" w:cs="Times New Roman" w:eastAsia="Times New Roman" w:hAnsi="Times New Roman"/>
          <w:sz w:val="24"/>
          <w:szCs w:val="24"/>
        </w:rPr>
        <w:t xml:space="preserve">Editor-in-Chief and Senior Editors</w:t>
      </w:r>
    </w:p>
    <w:p>
      <w:pPr>
        <w:spacing w:after="0" w:before="0" w:line="276"/>
        <w:jc w:val="left"/>
      </w:pPr>
      <w:r>
        <w:rPr>
          <w:rFonts w:ascii="Times New Roman" w:cs="Times New Roman" w:eastAsia="Times New Roman" w:hAnsi="Times New Roman"/>
          <w:sz w:val="24"/>
          <w:szCs w:val="24"/>
        </w:rPr>
        <w:t xml:space="preserve">Information Systems Research</w:t>
      </w:r>
    </w:p>
    <w:p>
      <w:pPr>
        <w:spacing w:after="240" w:before="0" w:line="276"/>
        <w:jc w:val="left"/>
      </w:pPr>
      <w:r>
        <w:rPr>
          <w:rFonts w:ascii="Times New Roman" w:cs="Times New Roman" w:eastAsia="Times New Roman" w:hAnsi="Times New Roman"/>
          <w:sz w:val="24"/>
          <w:szCs w:val="24"/>
        </w:rPr>
        <w:t xml:space="preserve">INFORMS</w:t>
      </w:r>
    </w:p>
    <w:p>
      <w:pPr>
        <w:spacing w:after="240" w:before="0" w:line="276"/>
        <w:jc w:val="left"/>
      </w:pPr>
      <w:r>
        <w:rPr>
          <w:rFonts w:ascii="Times New Roman" w:cs="Times New Roman" w:eastAsia="Times New Roman" w:hAnsi="Times New Roman"/>
          <w:b/>
          <w:bCs/>
          <w:sz w:val="24"/>
          <w:szCs w:val="24"/>
        </w:rPr>
        <w:t xml:space="preserve">Re: Submission of "Screening, Commitment, and Congestion: The Economics of Guardrail Gating on LLM Platforms"</w:t>
      </w:r>
    </w:p>
    <w:p>
      <w:pPr>
        <w:spacing w:after="160" w:before="0" w:line="276"/>
        <w:jc w:val="left"/>
      </w:pPr>
      <w:r>
        <w:rPr>
          <w:rFonts w:ascii="Times New Roman" w:cs="Times New Roman" w:eastAsia="Times New Roman" w:hAnsi="Times New Roman"/>
          <w:sz w:val="24"/>
          <w:szCs w:val="24"/>
        </w:rPr>
        <w:t xml:space="preserve">Dear Editors:</w:t>
      </w:r>
    </w:p>
    <w:p>
      <w:pPr>
        <w:spacing w:after="160" w:before="0" w:line="276"/>
        <w:jc w:val="left"/>
      </w:pPr>
      <w:r>
        <w:rPr>
          <w:rFonts w:ascii="Times New Roman" w:cs="Times New Roman" w:eastAsia="Times New Roman" w:hAnsi="Times New Roman"/>
          <w:sz w:val="24"/>
          <w:szCs w:val="24"/>
        </w:rPr>
        <w:t xml:space="preserve">I am pleased to submit the enclosed manuscript for consideration as a research article in Information Systems Research. The paper develops an analytical model of how a platform that offers large language models (LLMs) should deploy costly guardrail models against strategic attackers.</w:t>
      </w:r>
    </w:p>
    <w:p>
      <w:pPr>
        <w:spacing w:after="160" w:before="0" w:line="276"/>
        <w:jc w:val="left"/>
      </w:pPr>
      <w:r>
        <w:rPr>
          <w:rFonts w:ascii="Times New Roman" w:cs="Times New Roman" w:eastAsia="Times New Roman" w:hAnsi="Times New Roman"/>
          <w:sz w:val="24"/>
          <w:szCs w:val="24"/>
        </w:rPr>
        <w:t xml:space="preserve">The problem is a practical one. Guardrail classifiers inspect prompts and responses, but they share scarce GPU capacity with the inference service, so every screened prompt slows responses for legitimate users, and the classifiers err in both directions. Attackers, meanwhile, adapt to whatever screening policy they observe. In the model, a cheap and noisy first-tier signal gates an accurate second-tier guardrail, and an attacker chooses its volume in response to the policy. The model has closed-form solutions, and the online appendix documents their symbolic and numerical verification.</w:t>
      </w:r>
    </w:p>
    <w:p>
      <w:pPr>
        <w:keepNext/>
        <w:spacing w:after="80" w:before="0" w:line="276"/>
        <w:jc w:val="left"/>
      </w:pPr>
      <w:r>
        <w:rPr>
          <w:rFonts w:ascii="Times New Roman" w:cs="Times New Roman" w:eastAsia="Times New Roman" w:hAnsi="Times New Roman"/>
          <w:b/>
          <w:bCs/>
          <w:sz w:val="24"/>
          <w:szCs w:val="24"/>
        </w:rPr>
        <w:t xml:space="preserve">Statement of contribution</w:t>
      </w:r>
    </w:p>
    <w:p>
      <w:pPr>
        <w:spacing w:after="160" w:before="0" w:line="276"/>
        <w:jc w:val="left"/>
      </w:pPr>
      <w:r>
        <w:rPr>
          <w:rFonts w:ascii="Times New Roman" w:cs="Times New Roman" w:eastAsia="Times New Roman" w:hAnsi="Times New Roman"/>
          <w:sz w:val="24"/>
          <w:szCs w:val="24"/>
        </w:rPr>
        <w:t xml:space="preserve">The paper makes four contributions. First, it gives an economic account of guardrail deployment, a topic that the technical literature on LLM safety has treated almost entirely as a classification problem. A platform that can commit to its screening rule screens more heavily than one that adjusts after the fact, which lowers attack volume and the platform's loss. The first-tier signal is more valuable the better it is, and it substitutes for screening intensity. Screening and per-query pricing are substitutes, and a platform that bears only part of the harm from successful attacks under-screens, so liability equal to harm restores efficiency.</w:t>
      </w:r>
    </w:p>
    <w:p>
      <w:pPr>
        <w:spacing w:after="160" w:before="0" w:line="276"/>
        <w:jc w:val="left"/>
      </w:pPr>
      <w:r>
        <w:rPr>
          <w:rFonts w:ascii="Times New Roman" w:cs="Times New Roman" w:eastAsia="Times New Roman" w:hAnsi="Times New Roman"/>
          <w:sz w:val="24"/>
          <w:szCs w:val="24"/>
        </w:rPr>
        <w:t xml:space="preserve">Second, the paper analyzes how much of the value of commitment survives when attackers observe the rule only through noisy probing. Commitment loses value gradually, and loses all of it only if the rule is perfectly deterministic, in line with Bagwell (1995). When realized screening fluctuates, full transparency is never optimal. Third, the paper studies many attackers who share one detection signal. They free-ride on one another's stealth, harm is hump-shaped in their number, and coordination among attackers, not their number, is the threat. Fourth, I calibrate the model with measured recall and false-positive rates of two open guardrail models on public jailbreak data, and the best guardrail setting turns out to depend on the cost of wrongly flagging legitimate users.</w:t>
      </w:r>
    </w:p>
    <w:p>
      <w:pPr>
        <w:keepNext/>
        <w:spacing w:after="80" w:before="0" w:line="276"/>
        <w:jc w:val="left"/>
      </w:pPr>
      <w:r>
        <w:rPr>
          <w:rFonts w:ascii="Times New Roman" w:cs="Times New Roman" w:eastAsia="Times New Roman" w:hAnsi="Times New Roman"/>
          <w:b/>
          <w:bCs/>
          <w:sz w:val="24"/>
          <w:szCs w:val="24"/>
        </w:rPr>
        <w:t xml:space="preserve">Fit with the journal</w:t>
      </w:r>
    </w:p>
    <w:p>
      <w:pPr>
        <w:spacing w:after="160" w:before="0" w:line="276"/>
        <w:jc w:val="left"/>
      </w:pPr>
      <w:r>
        <w:rPr>
          <w:rFonts w:ascii="Times New Roman" w:cs="Times New Roman" w:eastAsia="Times New Roman" w:hAnsi="Times New Roman"/>
          <w:sz w:val="24"/>
          <w:szCs w:val="24"/>
        </w:rPr>
        <w:t xml:space="preserve">The paper addresses the design and governance of an AI-based digital platform, using the economics of information security and analytical modeling. It speaks to platform operators who must decide how much to screen and how to commit to a policy, and to regulators who must decide who bears the cost of attacks that get through. It builds on work in this journal on the value of detection technologies under error trade-offs (Cavusoglu et al. 2005).</w:t>
      </w:r>
    </w:p>
    <w:p>
      <w:pPr>
        <w:keepNext/>
        <w:spacing w:after="80" w:before="0" w:line="276"/>
        <w:jc w:val="left"/>
      </w:pPr>
      <w:r>
        <w:rPr>
          <w:rFonts w:ascii="Times New Roman" w:cs="Times New Roman" w:eastAsia="Times New Roman" w:hAnsi="Times New Roman"/>
          <w:b/>
          <w:bCs/>
          <w:sz w:val="24"/>
          <w:szCs w:val="24"/>
        </w:rPr>
        <w:t xml:space="preserve">Originality and ethics</w:t>
      </w:r>
    </w:p>
    <w:p>
      <w:pPr>
        <w:spacing w:after="160" w:before="0" w:line="276"/>
        <w:jc w:val="left"/>
      </w:pPr>
      <w:r>
        <w:rPr>
          <w:rFonts w:ascii="Times New Roman" w:cs="Times New Roman" w:eastAsia="Times New Roman" w:hAnsi="Times New Roman"/>
          <w:sz w:val="24"/>
          <w:szCs w:val="24"/>
        </w:rPr>
        <w:t xml:space="preserve">The manuscript is original, has not been published, and is not under review at any other journal. [Disclose here any closely related manuscript by the author, or state that there is none.] I am the sole author and have no conflicts of interest to report [confirm]. The manuscript is anonymized for double-anonymous review, and the title page is provided as a separate file. The proofs, the measurement details, and the numerical verification are in an online appendix. The measurements use public data, namely the JailbreakHub collection (MIT license) and the JailbreakBench behaviors, and I can provide code on request. [If the journal's policy requires a disclosure of generative AI use, add it here; see the title page for suggested wording.]</w:t>
      </w:r>
    </w:p>
    <w:p>
      <w:pPr>
        <w:spacing w:after="160" w:before="0" w:line="276"/>
        <w:jc w:val="left"/>
      </w:pPr>
      <w:r>
        <w:rPr>
          <w:rFonts w:ascii="Times New Roman" w:cs="Times New Roman" w:eastAsia="Times New Roman" w:hAnsi="Times New Roman"/>
          <w:sz w:val="24"/>
          <w:szCs w:val="24"/>
        </w:rPr>
        <w:t xml:space="preserve">Thank you for considering the manuscript. I look forward to your decision.</w:t>
      </w:r>
    </w:p>
    <w:p>
      <w:pPr>
        <w:spacing w:after="240" w:before="120" w:line="276"/>
        <w:jc w:val="left"/>
      </w:pPr>
      <w:r>
        <w:rPr>
          <w:rFonts w:ascii="Times New Roman" w:cs="Times New Roman" w:eastAsia="Times New Roman" w:hAnsi="Times New Roman"/>
          <w:sz w:val="24"/>
          <w:szCs w:val="24"/>
        </w:rPr>
        <w:t xml:space="preserve">Sincerely,</w:t>
      </w:r>
    </w:p>
    <w:p>
      <w:pPr>
        <w:spacing w:after="0" w:before="0" w:line="276"/>
        <w:jc w:val="left"/>
      </w:pPr>
      <w:r>
        <w:rPr>
          <w:rFonts w:ascii="Times New Roman" w:cs="Times New Roman" w:eastAsia="Times New Roman" w:hAnsi="Times New Roman"/>
          <w:b/>
          <w:bCs/>
          <w:sz w:val="24"/>
          <w:szCs w:val="24"/>
        </w:rPr>
        <w:t xml:space="preserve">Ook Lee</w:t>
      </w:r>
    </w:p>
    <w:p>
      <w:pPr>
        <w:spacing w:after="0" w:before="0" w:line="276"/>
        <w:jc w:val="left"/>
      </w:pPr>
      <w:r>
        <w:rPr>
          <w:rFonts w:ascii="Times New Roman" w:cs="Times New Roman" w:eastAsia="Times New Roman" w:hAnsi="Times New Roman"/>
          <w:sz w:val="24"/>
          <w:szCs w:val="24"/>
        </w:rPr>
        <w:t xml:space="preserve">Department of Information Systems</w:t>
      </w:r>
    </w:p>
    <w:p>
      <w:pPr>
        <w:spacing w:after="0" w:before="0" w:line="276"/>
        <w:jc w:val="left"/>
      </w:pPr>
      <w:r>
        <w:rPr>
          <w:rFonts w:ascii="Times New Roman" w:cs="Times New Roman" w:eastAsia="Times New Roman" w:hAnsi="Times New Roman"/>
          <w:sz w:val="24"/>
          <w:szCs w:val="24"/>
        </w:rPr>
        <w:t xml:space="preserve">Hanyang University</w:t>
      </w:r>
    </w:p>
    <w:p>
      <w:pPr>
        <w:spacing w:after="0" w:before="0" w:line="276"/>
        <w:jc w:val="left"/>
      </w:pPr>
      <w:r>
        <w:rPr>
          <w:rFonts w:ascii="Times New Roman" w:cs="Times New Roman" w:eastAsia="Times New Roman" w:hAnsi="Times New Roman"/>
          <w:sz w:val="24"/>
          <w:szCs w:val="24"/>
        </w:rPr>
        <w:t xml:space="preserve">Seoul, Republic of Korea</w:t>
      </w:r>
    </w:p>
    <w:p>
      <w:pPr>
        <w:spacing w:after="0" w:before="0" w:line="276"/>
        <w:jc w:val="left"/>
      </w:pPr>
      <w:r>
        <w:rPr>
          <w:rFonts w:ascii="Times New Roman" w:cs="Times New Roman" w:eastAsia="Times New Roman" w:hAnsi="Times New Roman"/>
          <w:sz w:val="24"/>
          <w:szCs w:val="24"/>
        </w:rPr>
        <w:t xml:space="preserve">ooklee@hanyang.ac.kr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2026-10-09T02:11:00.650Z</dcterms:created>
  <dcterms:modified xsi:type="dcterms:W3CDTF">2026-10-09T02:11:00.650Z</dcterms:modified>
</cp:coreProperties>
</file>

<file path=docProps/custom.xml><?xml version="1.0" encoding="utf-8"?>
<Properties xmlns="http://schemas.openxmlformats.org/officeDocument/2006/custom-properties" xmlns:vt="http://schemas.openxmlformats.org/officeDocument/2006/docPropsVTypes"/>
</file>