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constraints and a calibration mechanism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Such an artifact should be evaluated against the decisions it serves, and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four contributions. First, we give design constraints for the artifact: a design constraint, a calibration mechanism, and a result that links the constraint to customer concentration (Propositions 1 to 3; RQ1), and we explain why this is a managerial problem and not merely a statistical one: when behavior is generated rather than estimated, quality is bounded by the firm’s data assets, cannot be seen from inside the system, and depends on components that the firm does not control. Second, we show across designs, models, and settings that direct and day-by-day designs collapse, that taking only the level from the model and calibrating the spread externally restores concentration, and that calibrating the level adds little beyond the historical mean (RQ2). Third, we show that the cues a user can see do not reliably reveal the errors that matter, and we derive five design principles and an acceptance-test protocol (RQ3). Fourth, we identify the organizational arrangements that follow, and we show with a randomized email experiment that overstated promotion lifts would reverse a go/no-go decision (RQ4).</w:t>
      </w:r>
    </w:p>
    <w:p>
      <w:pPr>
        <w:pStyle w:val="BodyText"/>
      </w:pPr>
      <w:r>
        <w:t xml:space="preserve">The remainder of the paper is organized as follows. Section 2 reviews the literature and states the gap. Section 3 develops the design constraints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(Orlikowski and Iacono 2001). We separate the design of the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constraints-and-hypotheses"/>
    <w:p>
      <w:pPr>
        <w:pStyle w:val="Heading1"/>
      </w:pPr>
      <w:r>
        <w:t xml:space="preserve">3. Design Constraints and Hypotheses</w:t>
      </w:r>
    </w:p>
    <w:p>
      <w:pPr>
        <w:pStyle w:val="FirstParagraph"/>
      </w:pPr>
      <w:r>
        <w:t xml:space="preserve">This section develops design constraints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Four supplementary analyses are not hypotheses and are labeled S1 to S4 in Section 5.10: (S1) the concentration of purchases among heavy buyers (Proposition 3), (S2) calibration of the level, (S3) the robustness of collapse to the mean level, to richer personas, and to model scale, and (S4) whether the cues a user can see reveal decision errors.</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a form that organizations can use. Third, both propositions are independent of which model is used, so they hold when models and providers change, the condition for building a system around a component that the organization does not control. Fourth, they generate predictions that we test in Section 5, so they are testable,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file gave a similar profile across seven consecutive windows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7"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(13 of 48 in the original simulation of Sections 5.2 to 5.5).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X88cf7aa32bf19b55e3a062077a58560147befe8"/>
    <w:p>
      <w:pPr>
        <w:pStyle w:val="Heading2"/>
      </w:pPr>
      <w:r>
        <w:t xml:space="preserve">5.9 Do the cues a user can see reveal the errors that matter?</w:t>
      </w:r>
    </w:p>
    <w:p>
      <w:pPr>
        <w:pStyle w:val="FirstParagraph"/>
      </w:pPr>
      <w:r>
        <w:t xml:space="preserve">A user who inspects a synthetic population sees its mean, the sign of a promotion effect, the width of its intervals, and whether the answers parsed. We asked whether such cues reveal the errors that matter for a decision, defined for the transaction settings as an error in</w:t>
      </w:r>
      <w:r>
        <w:t xml:space="preserve"> </w:t>
      </w:r>
      <m:oMath>
        <m:r>
          <m:t>1</m:t>
        </m:r>
        <m:r>
          <m:rPr>
            <m:sty m:val="p"/>
          </m:rPr>
          <m:t>+</m:t>
        </m:r>
        <m:r>
          <m:t>α</m:t>
        </m:r>
      </m:oMath>
      <w:r>
        <w:t xml:space="preserve"> </w:t>
      </w:r>
      <w:r>
        <w:t xml:space="preserve">of more than a factor of 1.65 or an error of more than 0.15 in the top-decile share, and for the email experiment as a lift ratio outside 0.5 to 2. The thresholds were fixed before the analysis, and a cell passes a face-validity check if its mean is within 50% of the reference and fewer than 5% of answers failed to parse (in the email experiment, if both lifts have the right sign). Of the 191 transaction cells, 135 pass, and 60 of those (44%) have a large decision error, against 51 of the 56 cells that fail. The check works as a screen for gross failure, mainly because the hybrid design passes it with no large errors in 45 cells. It does not work for the designs that collapse: of the 48 direct and daily cells that pass, 47 have a large decision error, and in the email experiment all 32 configurations have the right sign while 15 of 16 purchase lifts and 5 of 16 visit lifts are outside the 0.5 to 2 range. The interval is not a reliable cue either. Across all cells the relative width of the interval of the mean correlates negatively with the decision errors (rank correlation -0.32 with the</w:t>
      </w:r>
      <w:r>
        <w:t xml:space="preserve"> </w:t>
      </w:r>
      <m:oMath>
        <m:r>
          <m:t>α</m:t>
        </m:r>
      </m:oMath>
      <w:r>
        <w:t xml:space="preserve"> </w:t>
      </w:r>
      <w:r>
        <w:t xml:space="preserve">error and -0.43 with the top-decile error), because collapsed answers have very narrow intervals, but within each design the sign reverses (+0.22 to +0.57), so the width tells a user little. The error of the mean is more informative: within the direct and daily designs it correlates with the decision errors (+0.42 to +0.78), yet nearly all cells that pass the check still carry large errors. With eight models the model-level permutation tests are not significant (p between 0.13 and 0.50).</w:t>
      </w:r>
    </w:p>
    <w:bookmarkEnd w:id="55"/>
    <w:bookmarkStart w:id="56" w:name="X294e70b192cec9543bd143ac9499730f79fa7d7"/>
    <w:p>
      <w:pPr>
        <w:pStyle w:val="Heading2"/>
      </w:pPr>
      <w:r>
        <w:t xml:space="preserve">5.10 Summary of hypotheses and supplementary analyses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and B is below the reference in 93 of 95 cells (29 of 31 at the low mean, where the exceptions are a DeepSeek-V4-Pro cell for direct answers and a Sonnet 5 cell for daily simulation; 32 of 32 at the high mean; 32 of 32 for the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S1.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S2.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in the same simulation),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S3. Collapse is robust to the mean level, richer personas, and model scale.</w:t>
            </w:r>
          </w:p>
        </w:tc>
        <w:tc>
          <w:tcPr/>
          <w:p>
            <w:pPr>
              <w:pStyle w:val="Compact"/>
              <w:spacing w:before="20" w:after="20" w:line="240" w:lineRule="auto"/>
              <w:ind w:firstLine="0"/>
              <w:jc w:val="left"/>
            </w:pPr>
            <w:r>
              <w:rPr>
                <w:rFonts w:ascii="Times New Roman" w:hAnsi="Times New Roman"/>
                <w:sz w:val="17"/>
              </w:rPr>
              <w:t xml:space="preserve">Collapse is not specific to low means (direct answers have ratios of at most 0.87, 0.36, and 0.53 in most cells at means of 0.5, 4.8, and 7.8). Richer personas do not repair it (rank correlations with real counts -0.11 to +0.08; demographics explain about 1% of the heterogeneity). Larger and more recent models do not escape it (ratios of at most 1.00 in 42 of 48 direct cells; the hybrid’s mean matched in 13 of 48 cells).</w:t>
            </w:r>
          </w:p>
        </w:tc>
      </w:tr>
      <w:tr>
        <w:tc>
          <w:tcPr/>
          <w:p>
            <w:pPr>
              <w:pStyle w:val="Compact"/>
              <w:spacing w:before="20" w:after="20" w:line="240" w:lineRule="auto"/>
              <w:ind w:firstLine="0"/>
              <w:jc w:val="left"/>
            </w:pPr>
            <w:r>
              <w:rPr>
                <w:rFonts w:ascii="Times New Roman" w:hAnsi="Times New Roman"/>
                <w:sz w:val="17"/>
              </w:rPr>
              <w:t xml:space="preserve">S4. Visible cues reveal decision errors.</w:t>
            </w:r>
          </w:p>
        </w:tc>
        <w:tc>
          <w:tcPr/>
          <w:p>
            <w:pPr>
              <w:pStyle w:val="Compact"/>
              <w:spacing w:before="20" w:after="20" w:line="240" w:lineRule="auto"/>
              <w:ind w:firstLine="0"/>
              <w:jc w:val="left"/>
            </w:pPr>
            <w:r>
              <w:rPr>
                <w:rFonts w:ascii="Times New Roman" w:hAnsi="Times New Roman"/>
                <w:sz w:val="17"/>
              </w:rPr>
              <w:t xml:space="preserve">Partly. A face-validity check separates gross failures, but 47 of the 48 direct and daily cells that pass it have large decision errors, and interval width is not a reliable cue (Section 5.9).</w:t>
            </w:r>
          </w:p>
        </w:tc>
      </w:tr>
    </w:tbl>
    <w:p>
      <w:pPr>
        <w:pStyle w:val="BodyText"/>
        <w:spacing w:line="240" w:lineRule="auto"/>
        <w:ind w:firstLine="0"/>
      </w:pPr>
      <w:r>
        <w:rPr>
          <w:iCs/>
          <w:i/>
        </w:rPr>
        <w:t xml:space="preserve">Table 2. Hypotheses (H) and supplementary analyses (S), with evidence.</w:t>
      </w:r>
    </w:p>
    <w:bookmarkEnd w:id="56"/>
    <w:bookmarkEnd w:id="57"/>
    <w:bookmarkStart w:id="63"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8" w:name="X8b5d7cb2dd9a2ce0d7f424e3d7c91bdc66a3387"/>
    <w:p>
      <w:pPr>
        <w:pStyle w:val="Heading2"/>
      </w:pPr>
      <w:r>
        <w:t xml:space="preserve">6.1 Contributions to information systems research</w:t>
      </w:r>
    </w:p>
    <w:p>
      <w:pPr>
        <w:pStyle w:val="FirstParagraph"/>
      </w:pPr>
      <w:r>
        <w:rPr>
          <w:iCs/>
          <w:i/>
        </w:rPr>
        <w:t xml:space="preserve">Design constraints for a class of artifacts that organizations are adopting without them.</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restores the concentration of purchases among heavy buyers in 39 of 48 cells where direct and daily designs lose it entirely (Section 5.7). Larger and more recent models do not escape the constraint. This reframes the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 Fluency and aggregate plausibility, which are what users see, do not indicate them.</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8"/>
    <w:bookmarkStart w:id="59" w:name="design-principles-and-an-acceptance-test"/>
    <w:p>
      <w:pPr>
        <w:pStyle w:val="Heading2"/>
      </w:pPr>
      <w:r>
        <w:t xml:space="preserve">6.2 Design principles and an acceptance test</w:t>
      </w:r>
    </w:p>
    <w:p>
      <w:pPr>
        <w:pStyle w:val="FirstParagraph"/>
      </w:pPr>
      <w:r>
        <w:t xml:space="preserve">The evidence supports five design principles. They are derived from our experiments and analytical results and have not been tested as an intervention, so they are hypotheses for design rather than established prescriptions.</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(19 before in the same simulation;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Such a test is needed because these errors cannot be seen by inspecting the output: the sign of the promotion effect was right in nearly all cells, and the answers were fluent.</w:t>
      </w:r>
    </w:p>
    <w:bookmarkEnd w:id="59"/>
    <w:bookmarkStart w:id="60"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and the email test does not involve a discount,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the width of an interval is not a reliable cue to the size of the decision error (Section 5.9), so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do not argue against the technology. They argue against using it as a replacement for evidence rather than as a complement to it, and against purchasing decisions based on demonstrations of fluency and plausible averages.</w:t>
      </w:r>
    </w:p>
    <w:bookmarkEnd w:id="60"/>
    <w:bookmarkStart w:id="61"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The reference values come from the customer file and the experiment archive that the marketing analytics team already holds, so the test puts a concrete interface between two functions: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separate storage, and a rule against pooling synthetic and real records in estimation keep their compressed spread out of dashboards and downstream models.</w:t>
      </w:r>
    </w:p>
    <w:p>
      <w:pPr>
        <w:pStyle w:val="BodyText"/>
      </w:pPr>
      <w:r>
        <w:rPr>
          <w:iCs/>
          <w:i/>
        </w:rPr>
        <w:t xml:space="preserve">Weigh the savings against the cost of a wrong decision, and build the correcting loop.</w:t>
      </w:r>
      <w:r>
        <w:t xml:space="preserve"> </w:t>
      </w:r>
      <w:r>
        <w:t xml:space="preserve">The runs are cheap (about 25,600 calls cost under one US dollar with the least expensive models and about eleven with the most expensive of the four we priced); the relevant cost is the decision made on the output. Each randomized test is also a calibration data point, and storing the simulated and realized lift of each past campaign lets the system track its own bias and adjust the calibration step.</w:t>
      </w:r>
    </w:p>
    <w:bookmarkEnd w:id="61"/>
    <w:bookmarkStart w:id="62"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(median range 0.04 and 0.03, at most 0.30) except in a few DeepSeek-V4-Pro cells, but varied more for the describe design (median 0.9, at most 2.1) and the hybrid design (median 1.2, at most 4.2),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design C truncates its top bin, and public data may be part of the models’ training data. The design principles and organizational arrangements are derived from the evidence and have not been tested in an organization. Future work should use a randomized promotion data set with purchase counts, for example from a partner firm, so that count distributions and treatment effects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arXiv:2606.20708.</w:t>
      </w:r>
    </w:p>
    <w:p>
      <w:pPr>
        <w:pStyle w:val="BodyText"/>
      </w:pPr>
      <w:r>
        <w:t xml:space="preserve">Chu ML, Terhorst L, Reed K, et al. (2025) LLM-based multi-agent system for simulating and analyzing marketing and consumer behavior. Preprint, arXiv:2510.18155.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arXiv:2604.07513.</w:t>
      </w:r>
    </w:p>
    <w:p>
      <w:pPr>
        <w:pStyle w:val="BodyText"/>
      </w:pPr>
      <w:r>
        <w:t xml:space="preserve">Goli A, Singh A (2023) Can LLMs capture human preferences? Preprint, arXiv:2305.02531.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Gu J, Pang L, Shen H, Cheng X (2024) Do LLMs play dice? Exploring probability distribution sampling in large language models for behavioral simulation. Preprint,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arXiv:2301.07543.</w:t>
      </w:r>
    </w:p>
    <w:p>
      <w:pPr>
        <w:pStyle w:val="BodyText"/>
      </w:pPr>
      <w:r>
        <w:t xml:space="preserve">Huang C, Wang K (2026) LLM-powered virtual population for demand simulation and pricing. Preprint, arXiv:2606.16183.</w:t>
      </w:r>
    </w:p>
    <w:p>
      <w:pPr>
        <w:pStyle w:val="BodyText"/>
      </w:pPr>
      <w:r>
        <w:t xml:space="preserve">Jang C, Lee D, Kim J (2026) Instruction-tuned language models cannot sample from distributions they can describe. Preprint, arXiv:2607.25292.</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Li D, Li L, Qiu HS (2025) ChatGPT is not a man but Das Man: Representativeness and structural consistency of silicon samples generated by large language models. Preprint, arXiv:2507.02919.</w:t>
      </w:r>
    </w:p>
    <w:p>
      <w:pPr>
        <w:pStyle w:val="BodyText"/>
      </w:pPr>
      <w:r>
        <w:t xml:space="preserve">Maier BF, Aslak U, Fiaschi L, et al. (2025) LLMs reproduce human purchase intent via semantic similarity elicitation of Likert ratings. Preprint,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arXiv:2510.01171.</w:t>
      </w:r>
    </w:p>
    <w:p>
      <w:pPr>
        <w:pStyle w:val="BodyText"/>
      </w:pPr>
      <w:r>
        <w:t xml:space="preserve">Zhang R, Zhang X, Zhao M (2025b) Predicting effects, missing distributions: Evaluating LLMs as human behavior simulators in operations management. Preprint,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5"/>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2026-10-17T13:25:30Z</dcterms:created>
  <dcterms:modified xsi:type="dcterms:W3CDTF">2026-10-17T13:25:30Z</dcterms:modified>
</cp:coreProperties>
</file>

<file path=docProps/custom.xml><?xml version="1.0" encoding="utf-8"?>
<Properties xmlns="http://schemas.openxmlformats.org/officeDocument/2006/custom-properties" xmlns:vt="http://schemas.openxmlformats.org/officeDocument/2006/docPropsVTypes"/>
</file>