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Revised from an earlier analytical-only draft; see Section 3.4 for corrections. Code and data: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Practice relies on two rules of thumb: staff for the average incident load, and stack guardrails whose combined benefit is computed under independence. We model critical hallucinations as a (possibly over-dispersed, non-homogeneous) counting process, size capacity at a quantile of the daily count, and treat the multiplicative guardrail formula as the independence special case of Fréchet-type bounds. We replace the single-Poisson description of all failures by typed classes (hallucinations as thinned over-dispersed streams, incidents as seasonal Hawkes processes, serving failures as heavy-tailed episodes). We show analytically that over-dispersion inflates required capacity by roughly the square root of the dispersion index, that positive association between layers makes the independence formula a lower bound on residual risk, and that, because capacity is integer-valued, total cost is not unimodal in the number of layers; an earlier claim that three layers are structurally optimal does not follow from the cost model. We then evaluate the integrated pipeline on measured outputs of three open LLMs answering 900 SQuAD 2.0 questions through three executed guardrail layers (rules, an extractive-QA classifier, an LLM judge) with measured latency and failures, with user traffic simulated as a non-homogeneous arrival process. We then test the Poisson structure on public production data: a request trace of an LLM service shows clustered arrivals at every scale above one second and a median day-to-day volume change of a factor of 1.8, provider incident streams are strongly seasonal and remain over-dispersed after accounting for it, and three company ticket streams show a daily arrival-rate variability of 0.33-0.41 (so Poisson-sized plans fail on 7.5-17% of days instead of 5%) and heavy-tailed resolution times (the daily handling workload needs 3.4 times its mean as 95% headroom against 2.0 for arrival counts). Replacing a single Poisson on all failures by a typed model is supported by the data: provider incidents are seasonal and mildly self-exciting (branching ratio 0.11-0.22), serving failures arrive in heavy-tailed episodes (68% of failed requests in 4% of active minutes), and a typed superposition required 24-43% more daily capacity than a single Poisson on the total in an illustrative organisation. A single validated classifier cut required capacity by 80-95%; a routed judge added a modest, model-dependent gain at about triple the latency. The independence formula understated the share of hallucinations passing a two-layer cascade by a factor of 1.6-2.6 (2.7-4.6 with routing), a classifier with chance-level discrimination appeared beneficial only because it blocked almost everything, and with mild burstiness (daily-rate CV 0.3) a Poisson-sized capacity plan was exceeded on about 25-30% of days instead of 5%, while over-dispersion mattered little for low-rate provider-level incidents, as the thinning argument of Proposition 5 predicts. Hallucination arrival times are simulated and no public time-stamped hallucination log exists; models are small and the task is extractive QA, so the numbers do not transfer to production;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Practitioners answer this with rules of thumb: staff for the average incident load, or stack as many guardrails as the latency budget tolerates. Both are costly mistakes. Staffing at the mean leaves the organisation under-provisioned on roughly one day in three to one in two, and the benefit of an additional guardrail is usually computed under an independence assumption that, as we show, is both unverified and optimistic.</w:t>
      </w:r>
    </w:p>
    <w:p>
      <w:pPr>
        <w:spacing w:after="120" w:line="300"/>
        <w:jc w:val="both"/>
      </w:pPr>
      <w:r>
        <w:rPr>
          <w:rFonts w:ascii="Times New Roman" w:cs="Times New Roman" w:eastAsia="Times New Roman" w:hAnsi="Times New Roman"/>
          <w:sz w:val="22"/>
          <w:szCs w:val="22"/>
        </w:rPr>
        <w:t xml:space="preserve">We make four contributions, and we are explicit about which parts are new and which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give an analytical capacity model for LLM incident handling in which critical hallucinations form a (possibly non-homogeneous, possibly over-dispersed) counting process, and the readiness requirement is the quantile of the daily count (Section 3). The quantile rule and the over-dispersion correction are classical (Whitt, 2007; Cameron and Trivedi, 1998); our contribution is to apply them to this arrival stream and to test whether the counting-process assumptions hold on measured LLM outputs.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and human triage with heavy-tailed service; we give the superposition and clustering results (Proposition 6) and test the model classes on public data.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(thinning) cascade (Proposition 3). Dependence between guardrail layers has been measured on real defence stacks (Alotaibi et al., 2026) and the independence product is known to over-credit redundancy (Bhardwaj et al., 2026); we add a measurement on hallucination-grounding layers and carry the correction through to the capacity decision. We then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and give comparative statics in the labour-to-compute cost ratio (Proposition 4); this follows from the model structure and is presented as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integrated pipeline on real model outputs (three open models answering SQuAD 2.0 questions, three guardrail layers executed with measured latency and error behaviour) with traffic replayed through a non-homogeneous arrival process whose daily-rate variability is anchored in a public production trace of an LLM service (BurstGPT; Wang et al., 2025), and we test the Poisson assumptions directly on that trace and on the public incident history of three LLM providers (Chu et al., 2025). To our knowledge, this is the first study that tests counting-process assumptions on measured LLM hallucination outputs and connects the result to quantile-based triage capacity and guardrail-depth decisions in one framework; each ingredient has precedents (Section 2). Arrival times of the hallucination replay are simulated; outcomes, guardrail decisions and latencies are measured; the public traces concern request arrivals and service incidents, not hallucinations.</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validate the integrated pipeline on measured outputs.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(a wrong or ungrounded answer that passes all guardrails and reaches the user) with probability q.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corollary of the earlier draft of this work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k∗_mixed(α) = λ + z_α√(λφ) + O(1), so the safety stock z_α√λ is inflated by the factor √φ, and a plan sized with the Poisson quantile is exceeded on more than a 1 - α share of days for large k.</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follows by normal approximation with variance λφ.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probability p.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The multiplier's CV c itself is unchanged by independent thinning, so c is the transferable measure of day-to-day variability, whereas φ depends on the event rate.</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Correction to the earlier draft.</w:t>
      </w:r>
      <w:r>
        <w:rPr>
          <w:rFonts w:ascii="Times New Roman" w:cs="Times New Roman" w:eastAsia="Times New Roman" w:hAnsi="Times New Roman"/>
          <w:sz w:val="22"/>
          <w:szCs w:val="22"/>
        </w:rPr>
        <w:t xml:space="preserve"> The earlier version of this paper reported Table 3 up to N = 5 and concluded that three layers are "optimal" with a cost rebound at N = 5. Extending the same table to N = 6 and 7 shows the cost falls again at N = 6 when k∗ reaches zero (λ_6 = 0.026 &lt; -ln 0.95), so under k_min = 0 the minimum is N = 6, and the table itself ranks N = 4 ($250) below N = 3 ($375). With a realistic floor of one on-call engineer (k_min = 1) the minimum is N = 4 ($250). The claim that three layers are structurally optimal is not supported by the model; the optimal depth is an outcome of the cost ratio, the clearance rates and the dependence structure.</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Costs are the earlier draft's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2b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2b.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5)</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with follow-up incidents within hours; weekday/hour seasonality</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isolated background errors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with α ≈ 0.16 the implied Fano factor is about 1.4, close to the stratified dispersion indices of 1.2-1.5 we measure in Section 5.8, whereas for serving-failure episodes α is 0.5-0.85 and the sizes are heavy-tailed, so the Poisson description of failed requests is inadequate by orders of magnitude.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A random sample of 300 questions (seed 0) is drawn for each model.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critical 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architecture of the earlier draft,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w:t>
      </w:r>
      <w:r>
        <w:rPr>
          <w:rFonts w:ascii="Times New Roman" w:cs="Times New Roman" w:eastAsia="Times New Roman" w:hAnsi="Times New Roman"/>
          <w:sz w:val="22"/>
          <w:szCs w:val="22"/>
        </w:rPr>
        <w:t xml:space="preserve"> A small NLI cross-encoder (DeBERTa-v3-small; He et al., 2021) scoring P(passage entails "the answer to Q is A"); the output is blocked if this probability is below 0.5. (The earlier draft named Llama Guard-type models for this layer; these target safety policy violations, not factual grounding, so an entailment classifier is the appropriate classifier for hallucinations.)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given the passage, question and answer, replying SUPPORTED or UNSUPPORTED (Zheng et al., 2023). It is invoked only when routed: when L2 is present, only if the L2 entailment probability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which bracket the values estimated net of trend from public human-handled ticket streams (0.33-0.41, Section 5.7) and equal the coefficient of variation of the calmest 14-day window of BurstGPT (0.44, Section 5.6). Each arriving query replays a uniformly drawn example from the measured pool; it becomes a critical event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Cost model</w:t>
      </w:r>
    </w:p>
    <w:p>
      <w:pPr>
        <w:spacing w:after="120" w:line="300"/>
        <w:jc w:val="both"/>
      </w:pPr>
      <w:r>
        <w:rPr>
          <w:rFonts w:ascii="Times New Roman" w:cs="Times New Roman" w:eastAsia="Times New Roman" w:hAnsi="Times New Roman"/>
          <w:sz w:val="22"/>
          <w:szCs w:val="22"/>
        </w:rPr>
        <w:t xml:space="preserve">Daily cost is C_h·max(k_min, k∗) + compute + false-block cost + residual-harm cost. We set C_h = $150 per capacity unit (as in the earlier draft), compute $0.0001 per classifier call and $0.002 per judge call, and treat the false-block cost c_fp and residual-harm cost c_res as scenario parameters in a sensitivity grid. These are assumptions, not estimates, and are labelled as such wherever used.</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et al., 2018; 24,918 incidents in 2016-2017) and the help-desk log of an Italian software company (Verenich, 2016; 3,804 cases, 2010-2012).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by Monte Carlo to compare the 95% capacity of the typed superposition with a single Poisson on the total (Section 5.8).</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300 SQuAD 2.0 questions per model, the critical-hallucination rate is 60.3% (Qwen2.5-0.5B), 65.0% (SmolLM2-360M) and 47.0% (Qwen2.5-1.5B). Most hallucinations are answers to unanswerable questions. Table 4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the NLI cross-encoder of the earlier draft.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We replaced it by an extractive-QA verifier (a SQuAD 2.0-trained RoBERTa model whose own answer span is compared with the generator's answer by token-F1; AUC 0.84-0.90) and re-ran all layers on the stored answers. This verifier is specialised to the task family (it was trained on SQuAD), which flatters it relative to a generic classifier; all numbers below use it, and we keep the NLI results to show that a "classifier layer" is not automatically a useful one.</w:t>
      </w:r>
    </w:p>
    <w:p>
      <w:pPr>
        <w:keepNext/>
        <w:spacing w:after="60" w:before="160"/>
      </w:pPr>
      <w:r>
        <w:rPr>
          <w:rFonts w:ascii="Times New Roman" w:cs="Times New Roman" w:eastAsia="Times New Roman" w:hAnsi="Times New Roman"/>
          <w:b/>
          <w:bCs/>
          <w:sz w:val="20"/>
          <w:szCs w:val="20"/>
        </w:rPr>
        <w:t xml:space="preserve">Table 4. Guardrail layers on 300 SQuAD 2.0 questions per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13.2%</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correlated (φ = 0.15-0.24; L1 pairs: φ ≤ 0.09), and the observed joint catch rate exceeds the independence prediction in every pair for every model, in the direction of Proposition 3. The consequence for the residual rate is large (Figure 2, left). For the L2+L3 cascade, the share of hallucinations that pass all layers is 1.1-3.9% under the independence formula, but 2.6-6.4% when both layers are run on every answer (1.6-2.6 times higher), and 3.1-15.6% with dynamic routing of only low-agreement answers to the judge (2.7-4.6 times higher).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2. Left: share of hallucinations passing the L2+L3 cascade under independence, observed without routing, and observed with routing. Right: capacity k* by cascade (95% bootstrap CI over the evaluated pool); log scale." descr="Figure 2. Left: share of hallucinations passing the L2+L3 cascade under independence, observed without routing, and observed with routing. Right: capacity k* by cascade (95% bootstrap CI over the evaluated pool); log scale." title="Figure 2.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1; Proposition 2). Under the best cascade (L1+L2, λ ≈ 4-17/day) the effect is smaller in absolute capacity but still raises the exceedance probability of the Poisson plan to 7-10%.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1. Daily critical hallucinations without guardrails (Qwen2.5-0.5B, 90 days, 200 queries/day). Left: steady NHPP traffic; right: bursty traffic. Dotted line: Poisson k* (α = 0.95)." descr="Figure 1. Daily critical hallucinations without guardrails (Qwen2.5-0.5B, 90 days, 200 queries/day). Left: steady NHPP traffic; right: bursty traffic. Dotted line: Poisson k* (α = 0.95)." title="Figure 1.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Data-anchored scenario.</w:t>
      </w:r>
      <w:r>
        <w:rPr>
          <w:rFonts w:ascii="Times New Roman" w:cs="Times New Roman" w:eastAsia="Times New Roman" w:hAnsi="Times New Roman"/>
          <w:sz w:val="22"/>
          <w:szCs w:val="22"/>
        </w:rPr>
        <w:t xml:space="preserve"> The daily rate CV is c = 0.44 in the calmest 14-day window of the BurstGPT trace (Section 5.6), and 0.33-0.41 net of trend in three human-handled ticket streams (Section 5.7); c = 0.3 and c = 0.44 bracket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cheapest cascade within the 500 ms budget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is the thinning effect of Proposition 5: at small λ the product λc² is small, so over-dispersion inflates the safety stock less in absolute terms (about 5, 1, 8 extra units) although the exceedance probability is still several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5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5.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well-chosen classifier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the 100 ms budget of the earlier draft, only L1 and L2 (L2 takes about 90-100 ms here) are feasible and no judge layer fits; under 500 ms the routed judge fits on average but not at the 95th percentile (about 1.5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Cost.</w:t>
      </w:r>
      <w:r>
        <w:rPr>
          <w:rFonts w:ascii="Times New Roman" w:cs="Times New Roman" w:eastAsia="Times New Roman" w:hAnsi="Times New Roman"/>
          <w:sz w:val="22"/>
          <w:szCs w:val="22"/>
        </w:rPr>
        <w:t xml:space="preserve"> With C_h = $150 per capacity unit, $1 per falsely blocked answer and $100 per hallucination reaching a user (illustrative scenario values), the cheapest cascade is L1+L2+L3 for Qwen2.5-0.5B, L1+L2 for SmolLM2-360M, L1+L2+L3 for Qwen2.5-1.5B; daily cost falls from $32,917, $35,350, $25,900 without guardrails to $3,201, $1,649, $4,639. The ranking is the same across the traffic × false-block-cost × harm-cost grid of Section 4.4 (27 scenarios per generator), but the dollar levels are assumptions. Whether the third layer pays for itself depends on the generator: it does for Qwen2.5-0.5B and Qwen2.5-1.5B and does not for SmolLM2-360M, so a universal "three layers" prescription is not supported by these data.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however, counts are far more variable than Poisson: the variance-to-mean ratio of counts per bin (Poisson = 1) has a median of 1.4 at 1 s, 5.3 at 10 s, 3.9 at 1 min and 5.1 at 10 min, i.e. requests arrive in clusters at every scale above one second. By Proposition 5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the robust log-standard deviation around a 15-day rolling median is 0.80, and even the calmest 14-day window has a coefficient of variation of 0.44 (mean 140k requests/day). This variability reflects traffic growth, campaigns, regime shifts and possibly logging gaps and not only random fluctuation (the series also contains 7 near-duplicate day pairs, which we treat as a data artefact), so we use it as a </w:t>
      </w:r>
      <w:r>
        <w:rPr>
          <w:rFonts w:ascii="Times New Roman" w:cs="Times New Roman" w:eastAsia="Times New Roman" w:hAnsi="Times New Roman"/>
          <w:b/>
          <w:bCs/>
          <w:sz w:val="22"/>
          <w:szCs w:val="22"/>
        </w:rPr>
        <w:t xml:space="preserve">stress test and as an upper-range anchor</w:t>
      </w:r>
      <w:r>
        <w:rPr>
          <w:rFonts w:ascii="Times New Roman" w:cs="Times New Roman" w:eastAsia="Times New Roman" w:hAnsi="Times New Roman"/>
          <w:sz w:val="22"/>
          <w:szCs w:val="22"/>
        </w:rPr>
        <w:t xml:space="preserve"> (the ticket streams of Section 5.7, which are handled by humans, give c = 0.3-0.4 net of trend), not as an estimate of the dispersion of hallucination counts. As a stress test, replaying the measured daily multipliers on an incident stream of λ = 10 and 120 events/day makes the Poisson capacity plan fail on 21-30% of days (target 5%), with negative-binomial requirements of 33, 384, 75, 892 units against Poisson plans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stays near 1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Treating incidents as arrivals to an infinite-server system, the time-averaged number of concurrently open incidents is 0.11, matching the M/G/∞ mean (Little's law), and the 95th percentile of the open count is 1, equal to the Poisson 95% quantile of the M/G/∞ occupancy (1);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public dataset family concerns what happens after an incident is detected: how tickets arrive at, and are worked by, human teams in real organisations. The three streams are customer-support and IT-incident tickets, not LLM incidents, but they are the best available public evidence on the arrival variability and the service-time distribution of human triage.</w:t>
      </w:r>
    </w:p>
    <w:p>
      <w:pPr>
        <w:keepNext/>
        <w:spacing w:after="60" w:before="160"/>
      </w:pPr>
      <w:r>
        <w:rPr>
          <w:rFonts w:ascii="Times New Roman" w:cs="Times New Roman" w:eastAsia="Times New Roman" w:hAnsi="Times New Roman"/>
          <w:b/>
          <w:bCs/>
          <w:sz w:val="20"/>
          <w:szCs w:val="20"/>
        </w:rPr>
        <w:t xml:space="preserve">Table 7. Arrival structure of human-handled ticket streams (weekdays; Poisson plan = 95% quantile of Poisson with the stratum or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300"/>
        <w:gridCol w:w="1250"/>
        <w:gridCol w:w="1100"/>
        <w:gridCol w:w="1000"/>
        <w:gridCol w:w="910"/>
      </w:tblGrid>
      <w:tr>
        <w:trPr>
          <w:tblHeader/>
        </w:trPr>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(weekday mean/day)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Weekday-stratified dispersion index</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(stratified)</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(local mean)</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(local mean, c from data)</w:t>
            </w:r>
          </w:p>
        </w:tc>
      </w:tr>
      <w:tr>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(10.4)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r>
      <w:tr>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(2016-17)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24,918 (93.4)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281.2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16.5%</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r>
      <w:tr>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r>
    </w:tbl>
    <w:p>
      <w:pPr>
        <w:spacing w:after="160" w:before="40"/>
      </w:pPr>
      <w:r>
        <w:rPr>
          <w:rFonts w:ascii="Times New Roman" w:cs="Times New Roman" w:eastAsia="Times New Roman" w:hAnsi="Times New Roman"/>
          <w:i/>
          <w:iCs/>
          <w:sz w:val="18"/>
          <w:szCs w:val="18"/>
        </w:rPr>
        <w:t xml:space="preserve">Target exceedance is 5%. Stratified: separate Poisson plan per weekday over the whole period (includes slow trends). Local: leave-one-out mean of surrounding weekdays (about 8 weeks) after removing the weekday effect.</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three streams are strongly non-homogeneous over the week and the day (hour-of-week homogeneity rejected, p &lt; 10⁻¹⁰⁰; weekend ticket rates are 0.76, 0.13 and 0.04 of weekday rates), and arrivals are far from Poisson even after time-rescaling (p &lt; 10⁻⁹⁰), because daily volumes vary beyond the weekly cycle. Net of slow trends and the weekday effect, the coefficient of variation of the daily rate is 0.33 (software company), 0.38 (ServiceNow) and 0.41 (Italian help desk), and 0.41 for the high-priority subset of the software company (2.6 tickets per day). These values are close to each other and to the scenarios used in Section 5.4 (c = 0.3 and 0.44), which supports using c ≈ 0.3-0.45 as a realistic range for human-handled incident streams. At 5 to 90 tickets per weekday, the effect is practically important: a Poisson-sized plan against the local mean is exceeded on 7.5-16.5% of weekdays instead of 5%, and a negative-binomial plan using the estimated c restores 3.5-4.1%. This is a direct, out-of-sample check of Proposition 2 on real human-triage streams. (For the high-priority subset, at 2.6 tickets per day, the Poisson plan is exceeded on 4.8% of weekdays, consistent with the thinning argument that over-dispersion matters less at low rates.)</w:t>
      </w:r>
    </w:p>
    <w:p>
      <w:pPr>
        <w:keepNext/>
        <w:spacing w:after="60" w:before="160"/>
      </w:pPr>
      <w:r>
        <w:rPr>
          <w:rFonts w:ascii="Times New Roman" w:cs="Times New Roman" w:eastAsia="Times New Roman" w:hAnsi="Times New Roman"/>
          <w:b/>
          <w:bCs/>
          <w:sz w:val="20"/>
          <w:szCs w:val="20"/>
        </w:rPr>
        <w:t xml:space="preserve">Table 8.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actually in progress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handle the service-time tail explicitly rather than through a mean-based utilisation. Second, capacity measured in handling hours needs much more headroom than capacity measured in arrivals: for the software company, the 95th percentile of the daily workload (in-progress hours of the tickets created that day) is 3.4 times the mean workload, against 2.0 for the arrival count (CVs 1.35 and 0.58); the "unit of triage capacity" of Section 3.2 must therefore be defined in terms of a </w:t>
      </w:r>
      <w:r>
        <w:rPr>
          <w:rFonts w:ascii="Times New Roman" w:cs="Times New Roman" w:eastAsia="Times New Roman" w:hAnsi="Times New Roman"/>
          <w:i/>
          <w:iCs/>
          <w:sz w:val="22"/>
          <w:szCs w:val="22"/>
        </w:rPr>
        <w:t xml:space="preserve">typical</w:t>
      </w:r>
      <w:r>
        <w:rPr>
          <w:rFonts w:ascii="Times New Roman" w:cs="Times New Roman" w:eastAsia="Times New Roman" w:hAnsi="Times New Roman"/>
          <w:sz w:val="22"/>
          <w:szCs w:val="22"/>
        </w:rPr>
        <w:t xml:space="preserve"> ticket and the workload tail must be added separately.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The time-average number of open tickets is 290 (software company), 478 (ServiceNow) and 34 (Italian help desk), with variance-to-mean ratios of 21, 601 and 2.6 (Poisson occupancy has 1). The observed 95th percentile of open tickets is 384, 1533 and 51, against Poisson (M/G/∞) predictions with the same mean of 319, 514 and 44: a Poisson-based backlog capacity is too small by 20%, 198% and 16%. The ServiceNow figure is inflated by a one-year log with volume growth and backlog build-up, and the first and last 5% of time were removed to limit edge effects, so the direction (under-provisioning of Poisson-based backlog capacity) is the robust finding and the magnitude is not.</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9.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200"/>
        <w:gridCol w:w="1400"/>
        <w:gridCol w:w="1300"/>
        <w:gridCol w:w="1500"/>
        <w:gridCol w:w="116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1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1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exponential excitation kernel; bootstrap p from 200 parametric simulations under the seasonal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plus mild self-excitation.</w:t>
      </w:r>
      <w:r>
        <w:rPr>
          <w:rFonts w:ascii="Times New Roman" w:cs="Times New Roman" w:eastAsia="Times New Roman" w:hAnsi="Times New Roman"/>
          <w:sz w:val="22"/>
          <w:szCs w:val="22"/>
        </w:rPr>
        <w:t xml:space="preserve"> Adding a self-exciting term to the seasonal NHPP improves the fit for every stream (AIC reductions of 11-26; the bootstrap rejects the NHPP for all four streams) and repairs the time-rescaling test that rejected the NHPP for the combined stream (p 5×10⁻4 → 0.47) and for Anthropic (1×10⁻6 → 0.13). The branching ratio is 0.11-0.21: about one incident in six or seven triggers a follow-up within hours (half-life 3.8-7.1 h), giving mean clusters of 1.12-1.27 incidents and an implied long-window Fano factor of 1.43 (Proposition 6b), consistent with the stratified dispersion index of 1.30 measured in Section 5.6. For human triage this means that a provider incident is often followed by a second one that arrives while the first is still being handled, but the effect is modest at this rate.</w:t>
      </w:r>
    </w:p>
    <w:p>
      <w:pPr>
        <w:spacing w:after="120" w:line="300"/>
        <w:jc w:val="both"/>
      </w:pPr>
      <w:r>
        <w:rPr>
          <w:rFonts w:ascii="Times New Roman" w:cs="Times New Roman" w:eastAsia="Times New Roman" w:hAnsi="Times New Roman"/>
          <w:b/>
          <w:bCs/>
          <w:sz w:val="22"/>
          <w:szCs w:val="22"/>
        </w:rPr>
        <w:t xml:space="preserve">Serving failures: heavy-tailed episodes on top of background errors.</w:t>
      </w:r>
      <w:r>
        <w:rPr>
          <w:rFonts w:ascii="Times New Roman" w:cs="Times New Roman" w:eastAsia="Times New Roman" w:hAnsi="Times New Roman"/>
          <w:sz w:val="22"/>
          <w:szCs w:val="22"/>
        </w:rPr>
        <w:t xml:space="preserve"> In the BurstGPT trace, failed requests are not spread out: 3.6% of active minutes (outage-like episodes, defined as minutes with more than 20% failed requests and at least five failures, merged when ten minutes apart) contain 68.1% of all 487,629 failures. The 672 episodes have a median duration of 4 minutes (90th percentile 27, maximum 455) and heavy-tailed sizes: median 78 failed requests, mean 494, 99th percentile 10419, maximum 27908 (CV 4.7; lognormal σ = 1.70; Hill tail index of the upper 20% about 0.9, which should not be over-interpreted at n = 672 but indicates a very heavy tail). Under Proposition 6c the Fano factor of failed-request counts per day is therefore dominated by a few large episodes, and a Poisson description of failed requests is wrong by orders of magnitude (daily failed requests range from a median of 91 to 76,531). The episodes themselves are not Poisson either: they average 2.9 per day with a daily dispersion index of 19.9, inter-arrival times have a coefficient of variation of 4.2, and a seasonal Hawkes process fits much better than a seasonal NHPP (AIC 4143 → 2374) with a branching ratio of 0.85 (half-life 2.4 h), although the rescaled-gap test still rejects the Hawkes fit (p = 4×10⁻7). The branching ratio depends on how episodes are delimited (Table 10): it stays between 0.52 and 0.85 for five definitions and the heavy tail of sizes persists, but the daily dispersion index of episode counts ranges from 2.1 to 19.9, so the quantitative conclusions are definition-dependent and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10.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Hawkes fits use 30 bootstrap replications (p ≥ 0.03); the main row (20%, 5, 10) is the definition used in the text.</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whose parameters come from our estimates: hallucinations after the best cascade (λ_H = 12.7 per day from the Qwen2.5-0.5B run, with the daily-rate CV of 0.40 estimated from the ticket streams, hence a dispersion index φ_H = 3.03 by Proposition 2), provider incidents affecting the organisation (λ_P = 0.83, φ_P = 1.30 from the day-of-week-stratified index) and own serving-failure episodes (λ_S from the episode counts, φ_S from their daily dispersion index; fine and coarse episode definitions). Treating the total as one Poisson stream gives a 95% capacity of 23 and 21 units per day (fine and coarse definitions); the typed superposition requires 33 and 26 (24-43% more), and the single-Poisson plan is exceeded on 13.6-16.1% of days instead of 5% (effective dispersion φ_eff = 2.9-5.9, Proposition 6a). Even hallucinations alone, the best-protected class, need 24 rather than 19 units. The scenario is illustrative: class means are not those of any real organisation and the classes are assumed independent, whereas a serving outage would plausibly raise the hallucination and ticket volumes at the same time, which would widen the gap.</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fails on roughly 40-50% of days in every configuration we measured. The Poisson quantile fixes this when daily counts are Poisson, but Proposition 2 and the burst experiments show that a modest day-to-day variation in demand (CV 0.3-0.44) multiplies the miss rate several-fold; real LLM request streams vary far more than that. Dispersion should be estimated from incident logs before the plan is fixed, and over-dispersion matters most for large incident streams (weak guardrails) and least for small ones (Proposition 5): for provider-level outages of about 0.8 per day, over-dispersion was statistically clear but changed the 95% capacity by nothing.</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well-chosen classifier delivers most of the benefit, the deterministic layer is nearly inert, and the judge adds a modest, model-dependent gain at triple the latency. A fixed "three layers" prescription is not supported;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and mildly self-exciting (branching ratio about 0.1-0.2), serving failures arrive in heavy-tailed episodes (68% of failed requests fall in 4% of the active minutes), and human triage has heavy-tailed service. Combining class-specific models in our illustrative organisation required 24-43% more daily capacity than a single Poisson on the total, and the single-Poisson plan was exceeded on 14-16% of days.'),
  BUL('</w:t>
      </w: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three public company ticket streams, the day-to-day coefficient of variation of the arrival rate was 0.33-0.41 net of trend, a Poisson-sized weekday plan was exceeded on 7.5-17% of days instead of 5%, a negative-binomial plan restored 3.5-4.1%, resolution times had coefficients of variation of 1.3-3.0 with decreasing hazards, and the 95th percentile of the daily handling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routing raised the residual hallucination share by a factor of 1.2-2.4 relative to running both layers on everything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hallucination log.</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The public traces we use (BurstGPT, the provider incident history) are real production data, but they record request arrivals and service incidents, not hallucinations; no public time-stamped production log of hallucination incidents exists to our knowledge. The burstiness of the replay is therefore a scenario anchored in, not estimated from, the dispersion of real request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10) and conflates a long outage with its fragments; the bootstrap p-values are bounded below by 1/(B+1). The capacity comparison in Section 5.8 combines classes from different organisations and datasets under independence, so it illustrates the size of the single-Poisson error rather than predicting any organisation's need; common-cause dependence between classes would increase it.'),
  BUL('</w:t>
      </w: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three ticket streams are customer-support and IT incidents; whether LLM-hallucination tickets share their arrival variability and service times is an assumption (plausible for the daily-rate CV, which is invariant to thinning, less so for service times, which depend on the verification task). Resolution times are calendar times that include waiting for customers or vendors and are not triage effort; the in-progress state time is a closer but still imperfect proxy. Ticket volumes in two of the three logs change over their span, which we address by estimating variability against a local mean, and the ServiceNow log covers only about a year.</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a lower bound for c,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this affects all configurations alike but inflates the base rate.</w:t>
      </w:r>
    </w:p>
    <w:p>
      <w:pPr>
        <w:pStyle w:val="ListParagraph"/>
        <w:numPr>
          <w:ilvl w:val="0"/>
          <w:numId w:val="2"/>
        </w:numPr>
        <w:spacing w:after="60" w:line="288"/>
      </w:pPr>
      <w:r>
        <w:rPr>
          <w:rFonts w:ascii="Times New Roman" w:cs="Times New Roman" w:eastAsia="Times New Roman" w:hAnsi="Times New Roman"/>
          <w:b/>
          <w:bCs/>
          <w:sz w:val="22"/>
          <w:szCs w:val="22"/>
        </w:rPr>
        <w:t xml:space="preserve">Cost parameters are assumptions.</w:t>
      </w:r>
      <w:r>
        <w:rPr>
          <w:rFonts w:ascii="Times New Roman" w:cs="Times New Roman" w:eastAsia="Times New Roman" w:hAnsi="Times New Roman"/>
          <w:sz w:val="22"/>
          <w:szCs w:val="22"/>
        </w:rPr>
        <w:t xml:space="preserve"> Only labour-to-compute ratios and the sensitivity grid are informative; dollar levels are illustrative.</w:t>
      </w:r>
    </w:p>
    <w:p>
      <w:pPr>
        <w:pStyle w:val="ListParagraph"/>
        <w:numPr>
          <w:ilvl w:val="0"/>
          <w:numId w:val="2"/>
        </w:numPr>
        <w:spacing w:after="60" w:line="288"/>
      </w:pPr>
      <w:r>
        <w:rPr>
          <w:rFonts w:ascii="Times New Roman" w:cs="Times New Roman" w:eastAsia="Times New Roman" w:hAnsi="Times New Roman"/>
          <w:b/>
          <w:bCs/>
          <w:sz w:val="22"/>
          <w:szCs w:val="22"/>
        </w:rPr>
        <w:t xml:space="preserve">Single judge and classifier, and a post-hoc layer change.</w:t>
      </w:r>
      <w:r>
        <w:rPr>
          <w:rFonts w:ascii="Times New Roman" w:cs="Times New Roman" w:eastAsia="Times New Roman" w:hAnsi="Times New Roman"/>
          <w:sz w:val="22"/>
          <w:szCs w:val="22"/>
        </w:rPr>
        <w:t xml:space="preserve"> Layer dependence and clearance were measured for one extractive-QA verifier and one judge model; other choices may be more or less correlated. The QA verifier was introduced after the NLI classifier proved uninformative, so the L2 choice was made after seeing results (on the same data); it is trained on SQuAD, which flatters it relative to a domain-agnostic classifier, and its threshold (token-F1 &lt; 0.5) was not tuned.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Consistency checks are partly by construction.</w:t>
      </w:r>
      <w:r>
        <w:rPr>
          <w:rFonts w:ascii="Times New Roman" w:cs="Times New Roman" w:eastAsia="Times New Roman" w:hAnsi="Times New Roman"/>
          <w:sz w:val="22"/>
          <w:szCs w:val="22"/>
        </w:rPr>
        <w:t xml:space="preserve"> Because outcomes are bootstrapped from a fixed pool and arrivals are simulated, the Poisson and time-rescaling checks of Section 5.3 verify the machinery, not real traffic; only the dependence, clearance, latency and failure measurements are evidence about real systems.</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weekly seasonality and trends are not modelled.</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critical hallucinations as a counting process turns guardrail performance into a staffing and cost decision. The analysis yields three results that differ from the common practice the earlier draft followed: capacity must be sized from an over-dispersion-aware quantile; the multiplicative guardrail formula is an optimistic bound whose gap must be measured; a single Poisson on all failures misdescribes every class (hallucinations are over-dispersed, provider incidents seasonal and mildly self-exciting, serving failures heavy-tailed episodes), and a typed superposition required 24-43% more capacity than a single Poisson in our illustrative organisation; and the cost-minimising number of layers is not fixed at three but depends on integer capacity effects, the floor on standing staff, latency, the labour-to-compute ratio and, empirically, on the generator. On measured outputs of three open models, a single task-validated classifier reduces the required capacity by roughly 80-95% relative to no guardrails; a routed judge adds a further modest, model-dependent reduction at about triple the latency, and every cascade incurs false blocks and system failures that the earlier framework ignored. The independence formula understated the share of hallucinations passing a two-layer cascade by a factor of 1.6-2.6 (2.7-4.6 with routing), and a mild burstiness (daily-rate CV of 0.3) raised the exceedance rate of a Poisson-sized plan from 5% to about 25%, to about 30% with the CV of 0.44 anchored in a production trace. Public production data corroborate the structure: an LLM request trace shows clustered arrivals at every scale above one second, provider incident streams are strongly seasonal and remain over-dispersed after accounting for seasonality, and three company ticket streams show a daily rate variability of 0.33-0.41, Poisson-sized plans exceeded on 7.5-17% of days, and heavy-tailed resolution times, which implies that capacity in handling hours needs about 70% more headroom than capacity in arrivals.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S., et al.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A., Jabbar, M. S., Al-Azani, S., &amp; Ahmed, M.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&amp;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V. P., Singh, &amp;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R., &amp; Zhang, J.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&amp;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Y., et al.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2026-10-06T07:17:52.365Z</dcterms:created>
  <dcterms:modified xsi:type="dcterms:W3CDTF">2026-10-06T07:17:52.367Z</dcterms:modified>
</cp:coreProperties>
</file>

<file path=docProps/custom.xml><?xml version="1.0" encoding="utf-8"?>
<Properties xmlns="http://schemas.openxmlformats.org/officeDocument/2006/custom-properties" xmlns:vt="http://schemas.openxmlformats.org/officeDocument/2006/docPropsVTypes"/>
</file>