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f47f1f6449b499b4e8b1095cb07e904e25d77"/>
    <w:p>
      <w:pPr>
        <w:pStyle w:val="Heading1"/>
      </w:pPr>
      <w:r>
        <w:t xml:space="preserve">Contribution statement (draft for the ISR cover letter)</w:t>
      </w:r>
    </w:p>
    <w:p>
      <w:pPr>
        <w:pStyle w:val="FirstParagraph"/>
      </w:pPr>
      <w:r>
        <w:t xml:space="preserve">Please edit before submission. The cover letter must carry a contribution statement of fewer than 500 words (as reported by a third-party submission guide; confirm in ISR’s current instructions).</w:t>
      </w:r>
    </w:p>
    <w:p>
      <w:pPr>
        <w:pStyle w:val="BodyText"/>
      </w:pPr>
      <w:r>
        <w:rPr>
          <w:bCs/>
          <w:b/>
        </w:rPr>
        <w:t xml:space="preserve">Title.</w:t>
      </w:r>
      <w:r>
        <w:t xml:space="preserve"> </w:t>
      </w:r>
      <w:r>
        <w:t xml:space="preserve">Do Releases Respond to Degradation? Evidence from the Open-Source LLM Tooling Ecosystem</w:t>
      </w:r>
    </w:p>
    <w:p>
      <w:pPr>
        <w:pStyle w:val="BodyText"/>
      </w:pPr>
      <w:r>
        <w:rPr>
          <w:bCs/>
          <w:b/>
        </w:rPr>
        <w:t xml:space="preserve">How the paper adds to the literature.</w:t>
      </w:r>
      <w:r>
        <w:t xml:space="preserve"> </w:t>
      </w:r>
      <w:r>
        <w:t xml:space="preserve">Research on software maintenance in information systems describes what maintenance consists of and what drives its cost, but it has not tested whether the timing of maintenance responds to measured deterioration. We bring a distinction from the economics of price setting, state-dependent versus time-dependent adjustment, to this question and derive from a simple Poisson model of accumulating errors what each kind of rule implies for observable data. We then treat release cadence as a signal that buyers, auditors, and regulators read as evidence of responsive maintenance, and we test whether the condition that would make it a valid signal holds: that release timing covaries with accumulating errors, bug surges, or upstream model launches. Using weekly issue, release, pull-request, and commit histories for 19 widely used open-source repositories in the LLM tooling ecosystem (3,432 repository-weeks; 2,456 releases), we find that bug reports show no measurable rise with the time since the last release relative to total issues, although a modest accumulation cannot be excluded once the post-release burst of attention is absorbed; that release probabilities rise with the volume of user issues but show no significant additional response to bug reports at a given volume; that releases show no detectable response to 38 upstream model launches; and that the release hazard tends to rise with the stock of merged changes. Release cadence therefore reflects user activity and accumulated work more clearly than responsiveness to degradation. The paper complements recent work in this journal on open-source release strategy (Chen et al. 2026) and on generative AI and open-source contribution (Song et al. 2026) by asking whether release timing responds to degradation, a question that, to our knowledge, that work does not address.</w:t>
      </w:r>
    </w:p>
    <w:p>
      <w:pPr>
        <w:pStyle w:val="BodyText"/>
      </w:pPr>
      <w:r>
        <w:rPr>
          <w:bCs/>
          <w:b/>
        </w:rPr>
        <w:t xml:space="preserve">Implications for practice, policy, and societal outcomes.</w:t>
      </w:r>
      <w:r>
        <w:t xml:space="preserve"> </w:t>
      </w:r>
      <w:r>
        <w:t xml:space="preserve">Organizations that depend on third-party AI components often use update frequency as a proxy for how well a component is maintained, and regulators are developing post-market monitoring obligations for deployed AI systems. Our results suggest that release frequency should not be read as evidence that degradation is being managed, and that detecting degradation requires performance data that public repositories do not contain, such as shared evaluation benchmarks, standardized error reporting, or access to operators’ error logs and refresh histories. These implications concern the open-source tooling layer through which many organizations consume large language models; we state plainly that the study does not show how commercial operators maintain hosted models.</w:t>
      </w:r>
    </w:p>
    <w:p>
      <w:pPr>
        <w:pStyle w:val="BodyText"/>
      </w:pPr>
      <w:r>
        <w:rPr>
          <w:bCs/>
          <w:b/>
        </w:rPr>
        <w:t xml:space="preserve">Scope and limits.</w:t>
      </w:r>
      <w:r>
        <w:t xml:space="preserve"> </w:t>
      </w:r>
      <w:r>
        <w:t xml:space="preserve">The repositories are software tools rather than model-retraining pipelines, a release is a proxy for a refresh, and the tests are not causal. We report equivalence tests, specification checks, and heterogeneity analyses, and we provide the scripts and weekly aggregates needed to reproduce every estimate.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2026-10-12T16:31:20Z</dcterms:created>
  <dcterms:modified xsi:type="dcterms:W3CDTF">2026-10-12T16:31:20Z</dcterms:modified>
</cp:coreProperties>
</file>

<file path=docProps/custom.xml><?xml version="1.0" encoding="utf-8"?>
<Properties xmlns="http://schemas.openxmlformats.org/officeDocument/2006/custom-properties" xmlns:vt="http://schemas.openxmlformats.org/officeDocument/2006/docPropsVTypes"/>
</file>