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Times New Roman" w:cs="Times New Roman"/>
        </w:rPr>
        <w:t xml:space="preserve">Acquired,</w:t>
      </w:r>
      <w:r>
        <w:rPr>
          <w:rFonts w:ascii="Times New Roman" w:hAnsi="Times New Roman" w:eastAsia="Times New Roman" w:cs="Times New Roman"/>
        </w:rPr>
        <w:t xml:space="preserve"> </w:t>
      </w:r>
      <w:r>
        <w:rPr>
          <w:rFonts w:ascii="Times New Roman" w:hAnsi="Times New Roman" w:eastAsia="Times New Roman" w:cs="Times New Roman"/>
        </w:rPr>
        <w:t xml:space="preserve">Not</w:t>
      </w:r>
      <w:r>
        <w:rPr>
          <w:rFonts w:ascii="Times New Roman" w:hAnsi="Times New Roman" w:eastAsia="Times New Roman" w:cs="Times New Roman"/>
        </w:rPr>
        <w:t xml:space="preserve"> </w:t>
      </w:r>
      <w:r>
        <w:rPr>
          <w:rFonts w:ascii="Times New Roman" w:hAnsi="Times New Roman" w:eastAsia="Times New Roman" w:cs="Times New Roman"/>
        </w:rPr>
        <w:t xml:space="preserve">Yet</w:t>
      </w:r>
      <w:r>
        <w:rPr>
          <w:rFonts w:ascii="Times New Roman" w:hAnsi="Times New Roman" w:eastAsia="Times New Roman" w:cs="Times New Roman"/>
        </w:rPr>
        <w:t xml:space="preserve"> </w:t>
      </w:r>
      <w:r>
        <w:rPr>
          <w:rFonts w:ascii="Times New Roman" w:hAnsi="Times New Roman" w:eastAsia="Times New Roman" w:cs="Times New Roman"/>
        </w:rPr>
        <w:t xml:space="preserve">Assimilated?</w:t>
      </w:r>
      <w:r>
        <w:rPr>
          <w:rFonts w:ascii="Times New Roman" w:hAnsi="Times New Roman" w:eastAsia="Times New Roman" w:cs="Times New Roman"/>
        </w:rPr>
        <w:t xml:space="preserve"> </w:t>
      </w:r>
      <w:r>
        <w:rPr>
          <w:rFonts w:ascii="Times New Roman" w:hAnsi="Times New Roman" w:eastAsia="Times New Roman" w:cs="Times New Roman"/>
        </w:rPr>
        <w:t xml:space="preserve">Complementary</w:t>
      </w:r>
      <w:r>
        <w:rPr>
          <w:rFonts w:ascii="Times New Roman" w:hAnsi="Times New Roman" w:eastAsia="Times New Roman" w:cs="Times New Roman"/>
        </w:rPr>
        <w:t xml:space="preserve"> </w:t>
      </w:r>
      <w:r>
        <w:rPr>
          <w:rFonts w:ascii="Times New Roman" w:hAnsi="Times New Roman" w:eastAsia="Times New Roman" w:cs="Times New Roman"/>
        </w:rPr>
        <w:t xml:space="preserve">Assets</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Limits</w:t>
      </w:r>
      <w:r>
        <w:rPr>
          <w:rFonts w:ascii="Times New Roman" w:hAnsi="Times New Roman" w:eastAsia="Times New Roman" w:cs="Times New Roman"/>
        </w:rPr>
        <w:t xml:space="preserve"> </w:t>
      </w:r>
      <w:r>
        <w:rPr>
          <w:rFonts w:ascii="Times New Roman" w:hAnsi="Times New Roman" w:eastAsia="Times New Roman" w:cs="Times New Roman"/>
        </w:rPr>
        <w:t xml:space="preserve">of</w:t>
      </w:r>
      <w:r>
        <w:rPr>
          <w:rFonts w:ascii="Times New Roman" w:hAnsi="Times New Roman" w:eastAsia="Times New Roman" w:cs="Times New Roman"/>
        </w:rPr>
        <w:t xml:space="preserve"> </w:t>
      </w:r>
      <w:r>
        <w:rPr>
          <w:rFonts w:ascii="Times New Roman" w:hAnsi="Times New Roman" w:eastAsia="Times New Roman" w:cs="Times New Roman"/>
        </w:rPr>
        <w:t xml:space="preserve">Occupation-Level</w:t>
      </w:r>
      <w:r>
        <w:rPr>
          <w:rFonts w:ascii="Times New Roman" w:hAnsi="Times New Roman" w:eastAsia="Times New Roman" w:cs="Times New Roman"/>
        </w:rPr>
        <w:t xml:space="preserve"> </w:t>
      </w:r>
      <w:r>
        <w:rPr>
          <w:rFonts w:ascii="Times New Roman" w:hAnsi="Times New Roman" w:eastAsia="Times New Roman" w:cs="Times New Roman"/>
        </w:rPr>
        <w:t xml:space="preserve">Evidence</w:t>
      </w:r>
      <w:r>
        <w:rPr>
          <w:rFonts w:ascii="Times New Roman" w:hAnsi="Times New Roman" w:eastAsia="Times New Roman" w:cs="Times New Roman"/>
        </w:rPr>
        <w:t xml:space="preserve"> </w:t>
      </w:r>
      <w:r>
        <w:rPr>
          <w:rFonts w:ascii="Times New Roman" w:hAnsi="Times New Roman" w:eastAsia="Times New Roman" w:cs="Times New Roman"/>
        </w:rPr>
        <w:t xml:space="preserve">on</w:t>
      </w:r>
      <w:r>
        <w:rPr>
          <w:rFonts w:ascii="Times New Roman" w:hAnsi="Times New Roman" w:eastAsia="Times New Roman" w:cs="Times New Roman"/>
        </w:rPr>
        <w:t xml:space="preserve"> </w:t>
      </w:r>
      <w:r>
        <w:rPr>
          <w:rFonts w:ascii="Times New Roman" w:hAnsi="Times New Roman" w:eastAsia="Times New Roman" w:cs="Times New Roman"/>
        </w:rPr>
        <w:t xml:space="preserve">Generative</w:t>
      </w:r>
      <w:r>
        <w:rPr>
          <w:rFonts w:ascii="Times New Roman" w:hAnsi="Times New Roman" w:eastAsia="Times New Roman" w:cs="Times New Roman"/>
        </w:rPr>
        <w:t xml:space="preserve"> </w:t>
      </w:r>
      <w:r>
        <w:rPr>
          <w:rFonts w:ascii="Times New Roman" w:hAnsi="Times New Roman" w:eastAsia="Times New Roman" w:cs="Times New Roman"/>
        </w:rPr>
        <w:t xml:space="preserve">Visual</w:t>
      </w:r>
      <w:r>
        <w:rPr>
          <w:rFonts w:ascii="Times New Roman" w:hAnsi="Times New Roman" w:eastAsia="Times New Roman" w:cs="Times New Roman"/>
        </w:rPr>
        <w:t xml:space="preserve"> </w:t>
      </w:r>
      <w:r>
        <w:rPr>
          <w:rFonts w:ascii="Times New Roman" w:hAnsi="Times New Roman" w:eastAsia="Times New Roman" w:cs="Times New Roman"/>
        </w:rPr>
        <w:t xml:space="preserve">AI</w:t>
      </w:r>
    </w:p>
    <w:bookmarkStart w:id="20" w:name="abstract"/>
    <w:p>
      <w:pPr>
        <w:pStyle w:val="Heading2"/>
      </w:pPr>
      <w:r>
        <w:rPr>
          <w:rFonts w:ascii="Times New Roman" w:hAnsi="Times New Roman" w:eastAsia="Times New Roman" w:cs="Times New Roman"/>
        </w:rPr>
        <w:t xml:space="preserve">Abstract</w:t>
      </w:r>
    </w:p>
    <w:p>
      <w:pPr>
        <w:pStyle w:val="FirstParagraph"/>
        <w:spacing w:line="480" w:lineRule="auto" w:after="0" w:before="0"/>
        <w:ind w:firstLine="720"/>
        <w:jc w:val="left"/>
      </w:pPr>
      <w:r>
        <w:rPr>
          <w:rFonts w:ascii="Times New Roman" w:hAnsi="Times New Roman" w:eastAsia="Times New Roman" w:cs="Times New Roman"/>
        </w:rPr>
        <w:t xml:space="preserve">Statistics showing that firms have adopted generative visual AI are often read as evidence that creative work is being displaced. We argue that this reading is premature. Extending information systems research on assimilation, we develop a task-level model in which a firm hands a visual task to a generator only when the share of acceptable output exceeds a threshold set by generation, review, and human production costs. Complementary assets such as expertise, review routines, and compliance procedures enter through review cost alone. Because a generator costs almost nothing to acquire, acquisition can climb without the investment that assimilation requires, and the gap between the two widens. Eurostat data show that 9.6 percent of EU firms use AI that generates pictures, video, or audio, and that firms that considered but did not adopt AI cite missing expertise (70 percent) and legal uncertainty (54 percent) far more often than lack of usefulness (18 percent). European and Canadian job-advert data show only small exposure gradients that cannot be distinguished from earlier trends, and we show that these designs could not detect even complete assimilation at the substitution rates observed on freelance platforms. Such results are therefore uninformative about assimilation. We derive a detectability bound that can accompany any exposure estimate and specify the firm-level data needed to separate the competing accounts.</w:t>
      </w:r>
    </w:p>
    <w:p>
      <w:pPr>
        <w:pStyle w:val="BodyText"/>
        <w:spacing w:line="240" w:lineRule="auto" w:after="120" w:before="0"/>
        <w:ind w:firstLine="0"/>
        <w:jc w:val="left"/>
      </w:pPr>
      <w:r>
        <w:rPr>
          <w:bCs/>
          <w:rFonts w:ascii="Times New Roman" w:hAnsi="Times New Roman" w:eastAsia="Times New Roman" w:cs="Times New Roman"/>
          <w:b/>
        </w:rPr>
        <w:t xml:space="preserve">Keywords:</w:t>
      </w:r>
      <w:r>
        <w:rPr>
          <w:rFonts w:ascii="Times New Roman" w:hAnsi="Times New Roman" w:eastAsia="Times New Roman" w:cs="Times New Roman"/>
        </w:rPr>
        <w:t xml:space="preserve"> </w:t>
      </w:r>
      <w:r>
        <w:rPr>
          <w:rFonts w:ascii="Times New Roman" w:hAnsi="Times New Roman" w:eastAsia="Times New Roman" w:cs="Times New Roman"/>
        </w:rPr>
        <w:t xml:space="preserve">generative AI; assimilation gap; complementary assets; review costs; post-adoption; online job adverts; minimum detectable effect; creative work</w:t>
      </w:r>
    </w:p>
    <w:bookmarkEnd w:id="20"/>
    <w:bookmarkStart w:id="21" w:name="introduction"/>
    <w:p>
      <w:pPr>
        <w:pStyle w:val="Heading2"/>
      </w:pPr>
      <w:r>
        <w:rPr>
          <w:rFonts w:ascii="Times New Roman" w:hAnsi="Times New Roman" w:eastAsia="Times New Roman" w:cs="Times New Roman"/>
        </w:rPr>
        <w:t xml:space="preserve">1 Introduction</w:t>
      </w:r>
    </w:p>
    <w:p>
      <w:pPr>
        <w:pStyle w:val="FirstParagraph"/>
      </w:pPr>
      <w:r>
        <w:rPr>
          <w:rFonts w:ascii="Times New Roman" w:hAnsi="Times New Roman" w:eastAsia="Times New Roman" w:cs="Times New Roman"/>
        </w:rPr>
        <w:t xml:space="preserve">Tools that turn text into images (widely available since 2022) and into video (since 2024) have made a first draft of visual content almost free. Official statistics already record their spread. In 2025, roughly one in ten European enterprises with ten or more employees reported using AI that generates pictures, video, or audio, and more than one in three did so in publishing, film, and broadcasting (Eurostat, 2026). The natural reading is that the people who used to produce such content are being redeployed, and a growing body of exposure-based labor-market research looks for that redeployment in hiring data.</w:t>
      </w:r>
    </w:p>
    <w:p>
      <w:pPr>
        <w:pStyle w:val="BodyText"/>
        <w:spacing w:line="480" w:lineRule="auto" w:after="0" w:before="0"/>
        <w:ind w:firstLine="720"/>
        <w:jc w:val="left"/>
      </w:pPr>
      <w:r>
        <w:rPr>
          <w:rFonts w:ascii="Times New Roman" w:hAnsi="Times New Roman" w:eastAsia="Times New Roman" w:cs="Times New Roman"/>
        </w:rPr>
        <w:t xml:space="preserve">Information systems (IS) research gives reason for caution. Implementation research has long treated adoption as one stage in a sequence that runs through adaptation, acceptance, routinization, and infusion (Cooper &amp; Zmud, 1990; Jasperson et al., 2005). Organizations can acquire an innovation well before they deploy it, so diffusion statistics overstate use. Fichman and Kemerer (1999) called this wedge an assimilation gap and found it widest where knowledge barriers were high. Studies of enterprise systems later showed that what follows acquisition depends on organizational conditions, such as the participation of top management, rather than on the technology alone (Liang et al., 2007). The IT business value literature makes a parallel point: returns depend on complementary organizational investments (Aral &amp; Weill, 2007; Brynjolfsson &amp; Hitt, 2000; Melville et al., 2004). Macroeconomics points the same way. General-purpose technologies take effect only after complementary investments, labor markets adjust through attrition and reallocation rather than immediate job loss, and technology often accelerates structural change that was already under way (Acemoglu &amp; Restrepo, 2018; Brynjolfsson et al., 2021; David, 1990). For generative visual AI, then, the question is not only whether it substitutes for creative labor. It is also whether reported use reflects assimilation into tasks at all, and whether the evidence researchers currently rely on could tell the difference.</w:t>
      </w:r>
    </w:p>
    <w:p>
      <w:pPr>
        <w:pStyle w:val="BodyText"/>
        <w:spacing w:line="480" w:lineRule="auto" w:after="0" w:before="0"/>
        <w:ind w:firstLine="720"/>
        <w:jc w:val="left"/>
      </w:pPr>
      <w:r>
        <w:rPr>
          <w:rFonts w:ascii="Times New Roman" w:hAnsi="Times New Roman" w:eastAsia="Times New Roman" w:cs="Times New Roman"/>
        </w:rPr>
        <w:t xml:space="preserve">We take up this question in three steps. First, we develop a task-level theory in which a firm reassigns a visual task to a generator only when the acceptance rate of its output exceeds a threshold set by generation cost, review cost, and the cost of human production. Complementary assets enter through review cost: the expertise to specify and check output, the capacity to run review as a routine, and the procedures that keep copyright and personal-data exposure manageable. We embed review in a task-based model of labor demand that separates displacement, reinstatement, and scale effects (Acemoglu &amp; Restrepo, 2018, 2019), treat review as a bottleneck task (Baumol, 1967), and let employers adjust through attrition. The theory implies that when review cost alone exceeds the cost of human production, no improvement in the model can trigger assimilation, and that because acquiring a generator costs almost nothing, acquisition can grow without the complements that assimilation requires. Second, we ask what aggregate public data can reveal about this gap. We derive a detectability bound that compares the hiring response implied by complete assimilation with the minimum detectable effect of standard exposure designs. Third, we assemble the descriptive evidence that exists on the acquisition margin and on the barriers that firms report.</w:t>
      </w:r>
    </w:p>
    <w:p>
      <w:pPr>
        <w:pStyle w:val="BodyText"/>
        <w:spacing w:line="480" w:lineRule="auto" w:after="0" w:before="0"/>
        <w:ind w:firstLine="720"/>
        <w:jc w:val="left"/>
      </w:pPr>
      <w:r>
        <w:rPr>
          <w:rFonts w:ascii="Times New Roman" w:hAnsi="Times New Roman" w:eastAsia="Times New Roman" w:cs="Times New Roman"/>
        </w:rPr>
        <w:t xml:space="preserve">The results are partly substantive and partly cautionary. Acquisition of generative visual AI is substantial and rising, so the absence of a hiring response cannot be explained by an absence of acquisition. Firms that considered AI and did not adopt it cite missing expertise, legal uncertainty, and data-protection concerns far more often than a tool that is not useful, which is what a complementary-asset account predicts and a capability-failure account does not. The hiring data, however, cannot currently distinguish an assimilation gap from complete assimilation. At observed acquisition rates and at the substitution effects estimated on freelance platforms (Demirci et al., 2025), complete assimilation would reduce adverts in the most exposed occupation by roughly 2 to 17 percent, while the European design cannot detect a reduction smaller than about 23 percent. The exposure gradients the designs do report are small and imprecise: about 2 to 3 percent fewer adverts per standard deviation of exposure in Europe in 2023 and 2024, and a first-year decline of similar size in Canada that does not persist. Exposed occupations were already declining relative to others before generative tools were released.</w:t>
      </w:r>
    </w:p>
    <w:p>
      <w:pPr>
        <w:pStyle w:val="BodyText"/>
        <w:spacing w:line="480" w:lineRule="auto" w:after="0" w:before="0"/>
        <w:ind w:firstLine="720"/>
        <w:jc w:val="left"/>
      </w:pPr>
      <w:r>
        <w:rPr>
          <w:rFonts w:ascii="Times New Roman" w:hAnsi="Times New Roman" w:eastAsia="Times New Roman" w:cs="Times New Roman"/>
        </w:rPr>
        <w:t xml:space="preserve">We are explicit about what the paper does not claim. We do not observe assimilation inside firms, and we do not treat small or fragile hiring responses as evidence of a gap. Our point is that such responses could not, at present, have revealed either a gap or its absence. Four accounts remain in contention: a capability failure, in which the tool does not meet task requirements; complete assimilation with net substitution; assimilation in which scale effects offset substitution; and an assimilation gap held open by missing complements. The barrier evidence weighs against the first at the acquisition margin. Separating the other three requires firm-level data that link use, complementary assets, task reassignment, and hiring, and we specify what such data would have to show.</w:t>
      </w:r>
    </w:p>
    <w:p>
      <w:pPr>
        <w:pStyle w:val="BodyText"/>
        <w:spacing w:line="480" w:lineRule="auto" w:after="0" w:before="0"/>
        <w:ind w:firstLine="720"/>
        <w:jc w:val="left"/>
      </w:pPr>
      <w:r>
        <w:rPr>
          <w:rFonts w:ascii="Times New Roman" w:hAnsi="Times New Roman" w:eastAsia="Times New Roman" w:cs="Times New Roman"/>
        </w:rPr>
        <w:t xml:space="preserve">The paper contributes to IS research in three ways.</w:t>
      </w:r>
    </w:p>
    <w:p>
      <w:pPr>
        <w:pStyle w:val="BodyText"/>
        <w:spacing w:line="480" w:lineRule="auto" w:after="0" w:before="0"/>
        <w:ind w:firstLine="720"/>
        <w:jc w:val="left"/>
      </w:pPr>
      <w:r>
        <w:rPr>
          <w:iCs/>
          <w:rFonts w:ascii="Times New Roman" w:hAnsi="Times New Roman" w:eastAsia="Times New Roman" w:cs="Times New Roman"/>
          <w:i/>
        </w:rPr>
        <w:t xml:space="preserve">First, a theoretical contribution.</w:t>
      </w:r>
      <w:r>
        <w:rPr>
          <w:rFonts w:ascii="Times New Roman" w:hAnsi="Times New Roman" w:eastAsia="Times New Roman" w:cs="Times New Roman"/>
        </w:rPr>
        <w:t xml:space="preserve"> </w:t>
      </w:r>
      <w:r>
        <w:rPr>
          <w:rFonts w:ascii="Times New Roman" w:hAnsi="Times New Roman" w:eastAsia="Times New Roman" w:cs="Times New Roman"/>
        </w:rPr>
        <w:t xml:space="preserve">We extend assimilation theory to generative AI by locating complementary assets in a single, observable cost term, review cost, and by showing why the near-zero acquisition cost of generative tools should widen the gap between acquisition and assimilation. The enterprise systems on which assimilation theory was built were costly to acquire, which meant that acquisition itself partly selected firms that had already built complements. A visual generator can be acquired with almost no complementary investment. Better models raise the acceptance rate of output, but they cannot supply the expertise, review capacity, or compliance procedures needed to cross the acceptance threshold. Reported use is therefore a weaker signal of task reassignment for generative tools than it was for earlier information technologies. Platform studies observe substitution because the buyer of a freelance task can switch tools without first building a review routine; standing occupations inside firms face that friction.</w:t>
      </w:r>
    </w:p>
    <w:p>
      <w:pPr>
        <w:pStyle w:val="BodyText"/>
        <w:spacing w:line="480" w:lineRule="auto" w:after="0" w:before="0"/>
        <w:ind w:firstLine="720"/>
        <w:jc w:val="left"/>
      </w:pPr>
      <w:r>
        <w:rPr>
          <w:iCs/>
          <w:rFonts w:ascii="Times New Roman" w:hAnsi="Times New Roman" w:eastAsia="Times New Roman" w:cs="Times New Roman"/>
          <w:i/>
        </w:rPr>
        <w:t xml:space="preserve">Second, a methodological contribution.</w:t>
      </w:r>
      <w:r>
        <w:rPr>
          <w:rFonts w:ascii="Times New Roman" w:hAnsi="Times New Roman" w:eastAsia="Times New Roman" w:cs="Times New Roman"/>
        </w:rPr>
        <w:t xml:space="preserve"> </w:t>
      </w:r>
      <w:r>
        <w:rPr>
          <w:rFonts w:ascii="Times New Roman" w:hAnsi="Times New Roman" w:eastAsia="Times New Roman" w:cs="Times New Roman"/>
        </w:rPr>
        <w:t xml:space="preserve">We provide a detectability bound that changes how an important part of the literature on AI exposure and hiring should be read. At current acquisition rates and at the substitution effects estimated on platforms, where assimilation is comparatively frictionless, complete assimilation of visual tasks would lower adverts in the most exposed occupations by roughly 2 to 17 percent. Standard European and Canadian occupation-level designs cannot detect effects of that size. The small gradients they do report cannot be told apart from an extrapolation of the pre-2022 trend and are therefore uninformative about assimilation. The bound is simple enough to be reported next to any exposure coefficient, and doing so guards against both false alarms and false reassurance.</w:t>
      </w:r>
    </w:p>
    <w:p>
      <w:pPr>
        <w:pStyle w:val="BodyText"/>
        <w:spacing w:line="480" w:lineRule="auto" w:after="0" w:before="0"/>
        <w:ind w:firstLine="720"/>
        <w:jc w:val="left"/>
      </w:pPr>
      <w:r>
        <w:rPr>
          <w:iCs/>
          <w:rFonts w:ascii="Times New Roman" w:hAnsi="Times New Roman" w:eastAsia="Times New Roman" w:cs="Times New Roman"/>
          <w:i/>
        </w:rPr>
        <w:t xml:space="preserve">Third, a research-design contribution.</w:t>
      </w:r>
      <w:r>
        <w:rPr>
          <w:rFonts w:ascii="Times New Roman" w:hAnsi="Times New Roman" w:eastAsia="Times New Roman" w:cs="Times New Roman"/>
        </w:rPr>
        <w:t xml:space="preserve"> </w:t>
      </w:r>
      <w:r>
        <w:rPr>
          <w:rFonts w:ascii="Times New Roman" w:hAnsi="Times New Roman" w:eastAsia="Times New Roman" w:cs="Times New Roman"/>
        </w:rPr>
        <w:t xml:space="preserve">We turn the assimilation-gap hypothesis into a set of falsifiable predictions that can be tested once firm-level data link reported use, the stock of complementary assets, task reassignment, and hiring. Among acquiring firms, reassignment should rise with expertise, review capacity, and compliance procedures, and hiring for visual occupations should fall only among firms that have both acquired the tool and built those assets. These predictions separate an assimilation gap from capability failure, from complete assimilation with net substitution, and from assimilation with offsetting scale effects, accounts that occupation-level data cannot currently tell apart.</w:t>
      </w:r>
    </w:p>
    <w:p>
      <w:pPr>
        <w:pStyle w:val="BodyText"/>
        <w:spacing w:line="480" w:lineRule="auto" w:after="0" w:before="0"/>
        <w:ind w:firstLine="720"/>
        <w:jc w:val="left"/>
      </w:pPr>
      <w:r>
        <w:rPr>
          <w:rFonts w:ascii="Times New Roman" w:hAnsi="Times New Roman" w:eastAsia="Times New Roman" w:cs="Times New Roman"/>
        </w:rPr>
        <w:t xml:space="preserve">The paper proceeds as follows. Section 2 reviews the literature. Section 3 develops the theory, Section 4 derives the detectability bound, and Section 5 describes the data. Sections 6 to 8 present the evidence on acquisition and barriers, apply the bound to hiring data (including a pilot with advert text), and ask when occupation-level data could become informative. Section 9 sets out a firm-level design, and Sections 10 and 11 discuss implications and conclude.</w:t>
      </w:r>
    </w:p>
    <w:bookmarkEnd w:id="21"/>
    <w:bookmarkStart w:id="25" w:name="related-literature"/>
    <w:p>
      <w:pPr>
        <w:pStyle w:val="Heading2"/>
      </w:pPr>
      <w:r>
        <w:rPr>
          <w:rFonts w:ascii="Times New Roman" w:hAnsi="Times New Roman" w:eastAsia="Times New Roman" w:cs="Times New Roman"/>
        </w:rPr>
        <w:t xml:space="preserve">2 Related Literature</w:t>
      </w:r>
    </w:p>
    <w:bookmarkStart w:id="22" w:name="from-adoption-to-assimilation"/>
    <w:p>
      <w:pPr>
        <w:pStyle w:val="Heading3"/>
      </w:pPr>
      <w:r>
        <w:rPr>
          <w:rFonts w:ascii="Times New Roman" w:hAnsi="Times New Roman" w:eastAsia="Times New Roman" w:cs="Times New Roman"/>
        </w:rPr>
        <w:t xml:space="preserve">2.1 From Adoption to Assimilation</w:t>
      </w:r>
    </w:p>
    <w:p>
      <w:pPr>
        <w:pStyle w:val="FirstParagraph"/>
        <w:spacing w:line="480" w:lineRule="auto" w:after="0" w:before="0"/>
        <w:ind w:firstLine="720"/>
        <w:jc w:val="left"/>
      </w:pPr>
      <w:r>
        <w:rPr>
          <w:rFonts w:ascii="Times New Roman" w:hAnsi="Times New Roman" w:eastAsia="Times New Roman" w:cs="Times New Roman"/>
        </w:rPr>
        <w:t xml:space="preserve">IT implementation is a staged process in which adoption is followed by adaptation, acceptance, routinization, and infusion, and the factors that explain early stages differ from those that explain later ones (Cooper &amp; Zmud, 1990). Complex technologies spread slowly not because firms lack information about them but because they lack the know-how to use them, and mediating institutions emerge to lower that knowledge barrier (Attewell, 1992). The distinction becomes a measurement problem: cumulative acquisition of software-process innovations ran well ahead of cumulative deployment, and the resulting assimilation gap was largest for innovations with high knowledge barriers (Fichman &amp; Kemerer, 1999). Post-adoption usage and value vary widely across adopters of e-business, again pointing to organizational rather than technological determinants (Zhu &amp; Kraemer, 2005). The post-adoption literature has since described, in detail, how users continue to explore, extend, and often under-use the features of technologies they have formally adopted (Jasperson et al., 2005), and how organizational mechanisms such as top-management participation carry an enterprise system from implementation into use (Liang et al., 2007). We build on this tradition but apply it to an outcome that it has rarely examined: whether assimilation of a production technology reaches the occupation that used to perform the task.</w:t>
      </w:r>
    </w:p>
    <w:bookmarkEnd w:id="22"/>
    <w:bookmarkStart w:id="23" w:name="complementary-assets"/>
    <w:p>
      <w:pPr>
        <w:pStyle w:val="Heading3"/>
      </w:pPr>
      <w:r>
        <w:rPr>
          <w:rFonts w:ascii="Times New Roman" w:hAnsi="Times New Roman" w:eastAsia="Times New Roman" w:cs="Times New Roman"/>
        </w:rPr>
        <w:t xml:space="preserve">2.2 Complementary Assets</w:t>
      </w:r>
    </w:p>
    <w:p>
      <w:pPr>
        <w:pStyle w:val="FirstParagraph"/>
        <w:spacing w:line="480" w:lineRule="auto" w:after="0" w:before="0"/>
        <w:ind w:firstLine="720"/>
        <w:jc w:val="left"/>
      </w:pPr>
      <w:r>
        <w:rPr>
          <w:rFonts w:ascii="Times New Roman" w:hAnsi="Times New Roman" w:eastAsia="Times New Roman" w:cs="Times New Roman"/>
        </w:rPr>
        <w:t xml:space="preserve">A second tradition holds that the value of information technology depends on complementary investments in skills, processes, and organizational design (Aral &amp; Weill, 2007; Brynjolfsson &amp; Hitt, 2000; Melville et al., 2004). General-purpose technologies display long lags for the same reason (Bresnahan &amp; Trajtenberg, 1995; David, 1990), and the lag can be formalized as a productivity J-curve in which intangible complements are built before measured gains appear (Brynjolfsson et al., 2021). When prediction becomes cheap, the value of human judgment rises (Agrawal et al., 2018). We draw on these ideas to make the complements concrete for generative visual AI and to locate them in a single cost term. Expertise, review capacity, and compliance procedures are not supplied by a better model. A better model can raise the share of acceptable output, but it does not create the person who can judge that output, the time in which to judge it, or the policy that says whether it may be used.</w:t>
      </w:r>
    </w:p>
    <w:bookmarkEnd w:id="23"/>
    <w:bookmarkStart w:id="24" w:name="Xcbcf59c475a0a23fbdb63f118109907a2bbf8fb"/>
    <w:p>
      <w:pPr>
        <w:pStyle w:val="Heading3"/>
      </w:pPr>
      <w:r>
        <w:rPr>
          <w:rFonts w:ascii="Times New Roman" w:hAnsi="Times New Roman" w:eastAsia="Times New Roman" w:cs="Times New Roman"/>
        </w:rPr>
        <w:t xml:space="preserve">2.3 Generative AI, Work, and Information Systems Research</w:t>
      </w:r>
    </w:p>
    <w:p>
      <w:pPr>
        <w:pStyle w:val="FirstParagraph"/>
        <w:spacing w:line="480" w:lineRule="auto" w:after="0" w:before="0"/>
        <w:ind w:firstLine="720"/>
        <w:jc w:val="left"/>
      </w:pPr>
      <w:r>
        <w:rPr>
          <w:rFonts w:ascii="Times New Roman" w:hAnsi="Times New Roman" w:eastAsia="Times New Roman" w:cs="Times New Roman"/>
        </w:rPr>
        <w:t xml:space="preserve">A large literature maps AI capabilities onto occupational tasks (Eloundou et al., 2023; Felten et al., 2021; Webb, 2020). Exposure measures describe where a technology could matter, not where it has been acquired or assimilated. Task-based models separate the displacement, reinstatement, and productivity effects of automation (Acemoglu &amp; Restrepo, 2018, 2019), and models of unbalanced growth show that tasks which cannot be automated become bottlenecks (Aghion et al., 2019; Baumol, 1967); we use both ideas in Section 3. Establishments exposed to AI change their hiring, but little aggregate effect is detectable at the occupation or industry level (Acemoglu et al., 2022). Danish registers linked to adoption surveys show precise zeros for adopters’ earnings and hours (Humlum &amp; Vestergaard, 2025). Evidence from online labor markets is sharper. Freelancers exposed to ChatGPT and image generators lost employment and earnings (Hui et al., 2024), and image-creation posts fell by about 17 percent after image generators were released, relative to manual-intensive jobs (Demirci et al., 2025). On creator platforms, generative tools raise output for some artists and reallocate demand across creator types (Kim et al., 2026; Zhou &amp; Lee, 2024), and inside firms they raise individual productivity on suitable tasks (Brynjolfsson et al., 2025). These settings share a feature that our theory makes explicit: the buyer of a freelance task, or a worker inside a studied team, can switch to the tool without the firm first building a review routine or a compliance policy. We use the platform estimates as a reference for how large substitution can be once assimilation has occurred, not as a test of our account.</w:t>
      </w:r>
    </w:p>
    <w:p>
      <w:pPr>
        <w:pStyle w:val="BodyText"/>
        <w:spacing w:line="480" w:lineRule="auto" w:after="0" w:before="0"/>
        <w:ind w:firstLine="720"/>
        <w:jc w:val="left"/>
      </w:pPr>
      <w:r>
        <w:rPr>
          <w:rFonts w:ascii="Times New Roman" w:hAnsi="Times New Roman" w:eastAsia="Times New Roman" w:cs="Times New Roman"/>
        </w:rPr>
        <w:t xml:space="preserve">Within IS, work on AI has mostly examined what happens inside organizations that already use it. Experimental evidence suggests that people are poorly calibrated about their own capabilities when deciding whether to delegate to an AI system (Fügener et al., 2022), which implies that judging machine output is not costless even for competent workers; this is the mechanism that our review-cost term abstracts. Editorial work has framed AI as something that must be managed as a continually moving technological frontier (Berente et al., 2021), as a component of human–AI hybrids that reshape digital labor platforms (Rai et al., 2019), and, in the case of generative models, as a double-edged tool for knowledge work (Susarla et al., 2023). Studies of this kind take use as given. Labor economics, by contrast, takes the occupation as the unit and asks whether exposure predicts hiring, but seldom asks whether exposed employers have changed how work is done. What is missing is an account of the step in between, from acquiring a generator to reassigning a task to it, and of what that step implies for the evidence that occupation-level studies can supply.</w:t>
      </w:r>
    </w:p>
    <w:p>
      <w:pPr>
        <w:pStyle w:val="BodyText"/>
        <w:spacing w:line="480" w:lineRule="auto" w:after="0" w:before="0"/>
        <w:ind w:firstLine="720"/>
        <w:jc w:val="left"/>
      </w:pPr>
      <w:r>
        <w:rPr>
          <w:rFonts w:ascii="Times New Roman" w:hAnsi="Times New Roman" w:eastAsia="Times New Roman" w:cs="Times New Roman"/>
        </w:rPr>
        <w:t xml:space="preserve">Two strands of work are close to our empirical approach. Tambe and Hitt (2012) showed that IT labor data can sharpen measurement of IT’s contribution to firm output. We use the same kind of data, online job adverts, for a narrower purpose: to ask what such data can and cannot reveal about assimilation. Babina et al. (2024) build firm-level indicators of AI investment from workforce data and find that AI-investing firms grow faster, mainly through product innovation. That is precisely the sort of firm-level linkage that the design in Section 9 requires for generative visual AI.</w:t>
      </w:r>
    </w:p>
    <w:bookmarkEnd w:id="24"/>
    <w:bookmarkEnd w:id="25"/>
    <w:bookmarkStart w:id="34" w:name="theory"/>
    <w:p>
      <w:pPr>
        <w:pStyle w:val="Heading2"/>
      </w:pPr>
      <w:r>
        <w:rPr>
          <w:rFonts w:ascii="Times New Roman" w:hAnsi="Times New Roman" w:eastAsia="Times New Roman" w:cs="Times New Roman"/>
        </w:rPr>
        <w:t xml:space="preserve">3 Theory</w:t>
      </w:r>
    </w:p>
    <w:bookmarkStart w:id="26" w:name="acquisition-and-assimilation"/>
    <w:p>
      <w:pPr>
        <w:pStyle w:val="Heading3"/>
      </w:pPr>
      <w:r>
        <w:rPr>
          <w:rFonts w:ascii="Times New Roman" w:hAnsi="Times New Roman" w:eastAsia="Times New Roman" w:cs="Times New Roman"/>
        </w:rPr>
        <w:t xml:space="preserve">3.1 Acquisition and Assimilation</w:t>
      </w:r>
    </w:p>
    <w:p>
      <w:pPr>
        <w:pStyle w:val="FirstParagraph"/>
        <w:spacing w:line="480" w:lineRule="auto" w:after="0" w:before="0"/>
        <w:ind w:firstLine="720"/>
        <w:jc w:val="left"/>
      </w:pPr>
      <w:r>
        <w:rPr>
          <w:rFonts w:ascii="Times New Roman" w:hAnsi="Times New Roman" w:eastAsia="Times New Roman" w:cs="Times New Roman"/>
        </w:rPr>
        <w:t xml:space="preserve">A firm produces visual tasks such as images, layouts, and short videos.</w:t>
      </w:r>
      <w:r>
        <w:rPr>
          <w:rFonts w:ascii="Times New Roman" w:hAnsi="Times New Roman" w:eastAsia="Times New Roman" w:cs="Times New Roman"/>
        </w:rPr>
        <w:t xml:space="preserve"> </w:t>
      </w:r>
      <w:r>
        <w:rPr>
          <w:iCs/>
          <w:rFonts w:ascii="Times New Roman" w:hAnsi="Times New Roman" w:eastAsia="Times New Roman" w:cs="Times New Roman"/>
          <w:i/>
        </w:rPr>
        <w:t xml:space="preserve">Acquisition</w:t>
      </w:r>
      <w:r>
        <w:rPr>
          <w:rFonts w:ascii="Times New Roman" w:hAnsi="Times New Roman" w:eastAsia="Times New Roman" w:cs="Times New Roman"/>
        </w:rPr>
        <w:t xml:space="preserve"> </w:t>
      </w:r>
      <w:r>
        <w:rPr>
          <w:rFonts w:ascii="Times New Roman" w:hAnsi="Times New Roman" w:eastAsia="Times New Roman" w:cs="Times New Roman"/>
        </w:rPr>
        <w:t xml:space="preserve">is the event that the firm has a visual generator available and reports using it.</w:t>
      </w:r>
      <w:r>
        <w:rPr>
          <w:rFonts w:ascii="Times New Roman" w:hAnsi="Times New Roman" w:eastAsia="Times New Roman" w:cs="Times New Roman"/>
        </w:rPr>
        <w:t xml:space="preserve"> </w:t>
      </w:r>
      <w:r>
        <w:rPr>
          <w:iCs/>
          <w:rFonts w:ascii="Times New Roman" w:hAnsi="Times New Roman" w:eastAsia="Times New Roman" w:cs="Times New Roman"/>
          <w:i/>
        </w:rPr>
        <w:t xml:space="preserve">Assimilation</w:t>
      </w:r>
      <w:r>
        <w:rPr>
          <w:rFonts w:ascii="Times New Roman" w:hAnsi="Times New Roman" w:eastAsia="Times New Roman" w:cs="Times New Roman"/>
        </w:rPr>
        <w:t xml:space="preserve"> </w:t>
      </w:r>
      <w:r>
        <w:rPr>
          <w:rFonts w:ascii="Times New Roman" w:hAnsi="Times New Roman" w:eastAsia="Times New Roman" w:cs="Times New Roman"/>
        </w:rPr>
        <w:t xml:space="preserve">of a task is the event that the task is produced by the generator rather than by the occupation that used to produce it. Acquisition is necessary for assimilation but not sufficient. A marketing team may try an image generator while the tasks that define a graphic-design role stay with that role. Survey indicators of use therefore measure something closer to acquisition than to assimilation.</w:t>
      </w:r>
    </w:p>
    <w:p>
      <w:pPr>
        <w:pStyle w:val="BodyText"/>
        <w:spacing w:line="480" w:lineRule="auto" w:after="0" w:before="0"/>
        <w:ind w:firstLine="720"/>
        <w:jc w:val="left"/>
      </w:pPr>
      <w:r>
        <w:rPr>
          <w:rFonts w:ascii="Times New Roman" w:hAnsi="Times New Roman" w:eastAsia="Times New Roman" w:cs="Times New Roman"/>
        </w:rPr>
        <w:t xml:space="preserve">Generative tools differ from the technologies studied in earlier assimilation research in one respect that matters for the theory. Acquiring a relational database or a CASE tool required licences, installation, and training, so acquisition itself was costly and partly selected firms that had already built complements. Acquiring a visual generator often requires a subscription or nothing at all. Acquisition decisions are then nearly independent of the complements, and acquisition statistics can rise without any corresponding change in the capacity to assimilate.</w:t>
      </w:r>
    </w:p>
    <w:bookmarkEnd w:id="26"/>
    <w:bookmarkStart w:id="27" w:name="the-acceptance-threshold"/>
    <w:p>
      <w:pPr>
        <w:pStyle w:val="Heading3"/>
      </w:pPr>
      <w:r>
        <w:rPr>
          <w:rFonts w:ascii="Times New Roman" w:hAnsi="Times New Roman" w:eastAsia="Times New Roman" w:cs="Times New Roman"/>
        </w:rPr>
        <w:t xml:space="preserve">3.2 The Acceptance Threshold</w:t>
      </w:r>
    </w:p>
    <w:p>
      <w:pPr>
        <w:pStyle w:val="FirstParagraph"/>
        <w:spacing w:line="480" w:lineRule="auto" w:after="0" w:before="0"/>
        <w:ind w:firstLine="720"/>
        <w:jc w:val="left"/>
      </w:pPr>
      <w:r>
        <w:rPr>
          <w:rFonts w:ascii="Times New Roman" w:hAnsi="Times New Roman" w:eastAsia="Times New Roman" w:cs="Times New Roman"/>
        </w:rPr>
        <w:t xml:space="preserve">Producing a visual asset with human labor costs</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Producing it with the generator costs</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for generation and</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for human review. With probability</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the output is accepted; with probability</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it is rejected and a human produces the asset at cost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Expected cost with the generator is</w:t>
      </w:r>
      <w:r>
        <w:rPr>
          <w:rFonts w:ascii="Times New Roman" w:hAnsi="Times New Roman" w:eastAsia="Times New Roman" w:cs="Times New Roman"/>
        </w:rPr>
        <w:t xml:space="preserve"> </w:t>
      </w:r>
      <m:oMath>
        <m:r>
          <m:t>c</m:t>
        </m:r>
        <m:r>
          <m:rPr>
            <m:sty m:val="p"/>
          </m:rPr>
          <m:t>+</m:t>
        </m:r>
        <m:r>
          <m:t>r</m:t>
        </m:r>
        <m:r>
          <m:rPr>
            <m:sty m:val="p"/>
          </m:rPr>
          <m:t>+</m:t>
        </m:r>
        <m:d>
          <m:dPr>
            <m:begChr m:val="("/>
            <m:endChr m:val=")"/>
            <m:sepChr m:val=""/>
            <m:grow/>
          </m:dPr>
          <m:e>
            <m:r>
              <m:t>1</m:t>
            </m:r>
            <m:r>
              <m:rPr>
                <m:sty m:val="p"/>
              </m:rPr>
              <m:t>−</m:t>
            </m:r>
            <m:r>
              <m:t>a</m:t>
            </m:r>
          </m:e>
        </m:d>
        <m:r>
          <m:t>θ</m:t>
        </m:r>
      </m:oMath>
      <w:r>
        <w:rPr>
          <w:rFonts w:ascii="Times New Roman" w:hAnsi="Times New Roman" w:eastAsia="Times New Roman" w:cs="Times New Roman"/>
        </w:rPr>
        <w:t xml:space="preserve">, so the firm assimilates the task when</w:t>
      </w:r>
    </w:p>
    <w:p>
      <w:pPr>
        <w:pStyle w:val="BodyText"/>
        <w:spacing w:line="480" w:lineRule="auto" w:after="0" w:before="0"/>
        <w:ind w:firstLine="720"/>
        <w:jc w:val="left"/>
      </w:pPr>
      <m:oMathPara>
        <m:oMathParaPr>
          <m:jc m:val="center"/>
        </m:oMathParaPr>
        <m:oMath>
          <m:r>
            <m:t>a</m:t>
          </m:r>
          <m:r>
            <m:rPr>
              <m:sty m:val="p"/>
            </m:rPr>
            <m:t>&gt;</m:t>
          </m:r>
          <m:sSup>
            <m:e>
              <m:r>
                <m:t>a</m:t>
              </m:r>
            </m:e>
            <m:sup>
              <m:r>
                <m:rPr>
                  <m:sty m:val="p"/>
                </m:rPr>
                <m:t>*</m:t>
              </m:r>
            </m:sup>
          </m:sSup>
          <m:r>
            <m:rPr>
              <m:sty m:val="p"/>
            </m:rPr>
            <m:t>=</m:t>
          </m:r>
          <m:f>
            <m:fPr>
              <m:type m:val="bar"/>
            </m:fPr>
            <m:num>
              <m:r>
                <m:t>c</m:t>
              </m:r>
              <m:r>
                <m:rPr>
                  <m:sty m:val="p"/>
                </m:rPr>
                <m:t>+</m:t>
              </m:r>
              <m:r>
                <m:t>r</m:t>
              </m:r>
            </m:num>
            <m:den>
              <m:r>
                <m:t>θ</m:t>
              </m:r>
            </m:den>
          </m:f>
          <m:r>
            <m:rPr>
              <m:sty m:val="p"/>
            </m:rPr>
            <m:t>.</m:t>
          </m:r>
          <m:r>
            <m:t>  </m:t>
          </m:r>
          <m:d>
            <m:dPr>
              <m:begChr m:val="("/>
              <m:endChr m:val=")"/>
              <m:sepChr m:val=""/>
              <m:grow/>
            </m:dPr>
            <m:e>
              <m:r>
                <m:t>1</m:t>
              </m:r>
            </m:e>
          </m:d>
        </m:oMath>
      </m:oMathPara>
    </w:p>
    <w:p>
      <w:pPr>
        <w:pStyle w:val="FirstParagraph"/>
        <w:spacing w:line="480" w:lineRule="auto" w:after="0" w:before="0"/>
        <w:ind w:firstLine="720"/>
        <w:jc w:val="left"/>
      </w:pPr>
      <w:r>
        <w:rPr>
          <w:rFonts w:ascii="Times New Roman" w:hAnsi="Times New Roman" w:eastAsia="Times New Roman" w:cs="Times New Roman"/>
        </w:rPr>
        <w:t xml:space="preserve">The acceptance rate</w:t>
      </w:r>
      <w:r>
        <w:rPr>
          <w:rFonts w:ascii="Times New Roman" w:hAnsi="Times New Roman" w:eastAsia="Times New Roman" w:cs="Times New Roman"/>
        </w:rPr>
        <w:t xml:space="preserve"> </w:t>
      </w:r>
      <m:oMath>
        <m:r>
          <m:t>a</m:t>
        </m:r>
        <m:r>
          <m:rPr>
            <m:sty m:val="p"/>
          </m:rPr>
          <m:t>=</m:t>
        </m:r>
        <m:r>
          <m:t>a</m:t>
        </m:r>
        <m:d>
          <m:dPr>
            <m:begChr m:val="("/>
            <m:endChr m:val=")"/>
            <m:sepChr m:val=""/>
            <m:grow/>
          </m:dPr>
          <m:e>
            <m:r>
              <m:t>q</m:t>
            </m:r>
            <m:r>
              <m:rPr>
                <m:sty m:val="p"/>
              </m:rPr>
              <m:t>,</m:t>
            </m:r>
            <m:r>
              <m:t>m</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rises with model quality</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and falls with the task’s quality requirement</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so assimilation is more likely for routine and internal visuals than for brand-defining, technically exact, or legally sensitive work. The review cost</w:t>
      </w:r>
      <w:r>
        <w:rPr>
          <w:rFonts w:ascii="Times New Roman" w:hAnsi="Times New Roman" w:eastAsia="Times New Roman" w:cs="Times New Roman"/>
        </w:rPr>
        <w:t xml:space="preserve"> </w:t>
      </w:r>
      <m:oMath>
        <m:r>
          <m:t>r</m:t>
        </m:r>
        <m:r>
          <m:rPr>
            <m:sty m:val="p"/>
          </m:rPr>
          <m:t>=</m:t>
        </m:r>
        <m:r>
          <m:t>r</m:t>
        </m:r>
        <m:d>
          <m:dPr>
            <m:begChr m:val="("/>
            <m:endChr m:val=")"/>
            <m:sepChr m:val=""/>
            <m:grow/>
          </m:dPr>
          <m:e>
            <m:r>
              <m:t>q</m:t>
            </m:r>
            <m:r>
              <m:rPr>
                <m:sty m:val="p"/>
              </m:rPr>
              <m:t>;</m:t>
            </m:r>
            <m:r>
              <m:t>K</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also rises with</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but falls with the firm’s stock of complementary assets</w:t>
      </w:r>
      <w:r>
        <w:rPr>
          <w:rFonts w:ascii="Times New Roman" w:hAnsi="Times New Roman" w:eastAsia="Times New Roman" w:cs="Times New Roman"/>
        </w:rPr>
        <w:t xml:space="preserve"> </w:t>
      </w:r>
      <m:oMath>
        <m:r>
          <m:t>K</m:t>
        </m:r>
        <m:r>
          <m:rPr>
            <m:sty m:val="p"/>
          </m:rPr>
          <m:t>=</m:t>
        </m:r>
        <m:d>
          <m:dPr>
            <m:begChr m:val="("/>
            <m:endChr m:val=")"/>
            <m:sepChr m:val=""/>
            <m:grow/>
          </m:dPr>
          <m:e>
            <m:sSup>
              <m:e>
                <m:r>
                  <m:t>K</m:t>
                </m:r>
              </m:e>
              <m:sup>
                <m:r>
                  <m:t>E</m:t>
                </m:r>
              </m:sup>
            </m:sSup>
            <m:r>
              <m:rPr>
                <m:sty m:val="p"/>
              </m:rPr>
              <m:t>,</m:t>
            </m:r>
            <m:sSup>
              <m:e>
                <m:r>
                  <m:t>K</m:t>
                </m:r>
              </m:e>
              <m:sup>
                <m:r>
                  <m:t>R</m:t>
                </m:r>
              </m:sup>
            </m:sSup>
            <m:r>
              <m:rPr>
                <m:sty m:val="p"/>
              </m:rPr>
              <m:t>,</m:t>
            </m:r>
            <m:sSup>
              <m:e>
                <m:r>
                  <m:t>K</m:t>
                </m:r>
              </m:e>
              <m:sup>
                <m:r>
                  <m:t>C</m:t>
                </m:r>
              </m:sup>
            </m:sSup>
          </m:e>
        </m:d>
      </m:oMath>
      <w:r>
        <w:rPr>
          <w:rFonts w:ascii="Times New Roman" w:hAnsi="Times New Roman" w:eastAsia="Times New Roman" w:cs="Times New Roman"/>
        </w:rPr>
        <w:t xml:space="preserve">. Expertise</w:t>
      </w:r>
      <w:r>
        <w:rPr>
          <w:rFonts w:ascii="Times New Roman" w:hAnsi="Times New Roman" w:eastAsia="Times New Roman" w:cs="Times New Roman"/>
        </w:rPr>
        <w:t xml:space="preserve"> </w:t>
      </w:r>
      <m:oMath>
        <m:sSup>
          <m:e>
            <m:r>
              <m:t>K</m:t>
            </m:r>
          </m:e>
          <m:sup>
            <m:r>
              <m:t>E</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lowers the cost of specifying a task and recognizing a failed draft. Review capacity</w:t>
      </w:r>
      <w:r>
        <w:rPr>
          <w:rFonts w:ascii="Times New Roman" w:hAnsi="Times New Roman" w:eastAsia="Times New Roman" w:cs="Times New Roman"/>
        </w:rPr>
        <w:t xml:space="preserve"> </w:t>
      </w:r>
      <m:oMath>
        <m:sSup>
          <m:e>
            <m:r>
              <m:t>K</m:t>
            </m:r>
          </m:e>
          <m:sup>
            <m:r>
              <m:t>R</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lowers the cost of running that check as a routine rather than as an exception. Compliance procedures</w:t>
      </w:r>
      <w:r>
        <w:rPr>
          <w:rFonts w:ascii="Times New Roman" w:hAnsi="Times New Roman" w:eastAsia="Times New Roman" w:cs="Times New Roman"/>
        </w:rPr>
        <w:t xml:space="preserve"> </w:t>
      </w:r>
      <m:oMath>
        <m:sSup>
          <m:e>
            <m:r>
              <m:t>K</m:t>
            </m:r>
          </m:e>
          <m:sup>
            <m:r>
              <m:t>C</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lower the cost of deciding whether an output may be used given copyright and personal-data exposure. Two implications follow directly from equation (1).</w:t>
      </w:r>
    </w:p>
    <w:p>
      <w:pPr>
        <w:pStyle w:val="BodyText"/>
        <w:spacing w:line="480" w:lineRule="auto" w:after="0" w:before="0"/>
        <w:ind w:firstLine="720"/>
        <w:jc w:val="left"/>
      </w:pPr>
      <w:r>
        <w:rPr>
          <w:bCs/>
          <w:rFonts w:ascii="Times New Roman" w:hAnsi="Times New Roman" w:eastAsia="Times New Roman" w:cs="Times New Roman"/>
          <w:b/>
        </w:rPr>
        <w:t xml:space="preserve">Implication 1 (complements are necessary).</w:t>
      </w:r>
      <w:r>
        <w:rPr>
          <w:rFonts w:ascii="Times New Roman" w:hAnsi="Times New Roman" w:eastAsia="Times New Roman" w:cs="Times New Roman"/>
        </w:rPr>
        <w:t xml:space="preserve"> </w:t>
      </w:r>
      <w:r>
        <w:rPr>
          <w:iCs/>
          <w:rFonts w:ascii="Times New Roman" w:hAnsi="Times New Roman" w:eastAsia="Times New Roman" w:cs="Times New Roman"/>
          <w:i/>
        </w:rPr>
        <w:t xml:space="preserve">If</w:t>
      </w:r>
      <w:r>
        <w:rPr>
          <w:iCs/>
          <w:rFonts w:ascii="Times New Roman" w:hAnsi="Times New Roman" w:eastAsia="Times New Roman" w:cs="Times New Roman"/>
          <w:i/>
        </w:rPr>
        <w:t xml:space="preserve"> </w:t>
      </w:r>
      <m:oMath>
        <m:r>
          <m:t>c</m:t>
        </m:r>
        <m:r>
          <m:rPr>
            <m:sty m:val="p"/>
          </m:rPr>
          <m:t>+</m:t>
        </m:r>
        <m:r>
          <m:t>r</m:t>
        </m:r>
        <m:d>
          <m:dPr>
            <m:begChr m:val="("/>
            <m:endChr m:val=")"/>
            <m:sepChr m:val=""/>
            <m:grow/>
          </m:dPr>
          <m:e>
            <m:r>
              <m:t>q</m:t>
            </m:r>
            <m:r>
              <m:rPr>
                <m:sty m:val="p"/>
              </m:rPr>
              <m:t>;</m:t>
            </m:r>
            <m:r>
              <m:t>K</m:t>
            </m:r>
          </m:e>
        </m:d>
        <m:r>
          <m:rPr>
            <m:sty m:val="p"/>
          </m:rPr>
          <m:t>≥</m:t>
        </m:r>
        <m:r>
          <m:t>θ</m:t>
        </m:r>
      </m:oMath>
      <w:r>
        <w:rPr>
          <w:iCs/>
          <w:rFonts w:ascii="Times New Roman" w:hAnsi="Times New Roman" w:eastAsia="Times New Roman" w:cs="Times New Roman"/>
          <w:i/>
        </w:rPr>
        <w:t xml:space="preserve">, then</w:t>
      </w:r>
      <w:r>
        <w:rPr>
          <w:iCs/>
          <w:rFonts w:ascii="Times New Roman" w:hAnsi="Times New Roman" w:eastAsia="Times New Roman" w:cs="Times New Roman"/>
          <w:i/>
        </w:rPr>
        <w:t xml:space="preserve"> </w:t>
      </w:r>
      <m:oMath>
        <m:sSup>
          <m:e>
            <m:r>
              <m:t>a</m:t>
            </m:r>
          </m:e>
          <m:sup>
            <m:r>
              <m:rPr>
                <m:sty m:val="p"/>
              </m:rPr>
              <m:t>*</m:t>
            </m:r>
          </m:sup>
        </m:sSup>
        <m:r>
          <m:rPr>
            <m:sty m:val="p"/>
          </m:rPr>
          <m:t>≥</m:t>
        </m:r>
        <m:r>
          <m:t>1</m:t>
        </m:r>
      </m:oMath>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and the task is not assimilated for any model quality</w:t>
      </w:r>
      <w:r>
        <w:rPr>
          <w:iCs/>
          <w:rFonts w:ascii="Times New Roman" w:hAnsi="Times New Roman" w:eastAsia="Times New Roman" w:cs="Times New Roman"/>
          <w:i/>
        </w:rPr>
        <w:t xml:space="preserve"> </w:t>
      </w:r>
      <m:oMath>
        <m:r>
          <m:t>m</m:t>
        </m:r>
      </m:oMath>
      <w:r>
        <w:rPr>
          <w:iCs/>
          <w:rFonts w:ascii="Times New Roman" w:hAnsi="Times New Roman" w:eastAsia="Times New Roman" w:cs="Times New Roman"/>
          <w:i/>
        </w:rPr>
        <w:t xml:space="preserve">. Model improvements cannot substitute for missing complements; they matter only once complements have brought</w:t>
      </w:r>
      <w:r>
        <w:rPr>
          <w:iCs/>
          <w:rFonts w:ascii="Times New Roman" w:hAnsi="Times New Roman" w:eastAsia="Times New Roman" w:cs="Times New Roman"/>
          <w:i/>
        </w:rPr>
        <w:t xml:space="preserve"> </w:t>
      </w:r>
      <m:oMath>
        <m:sSup>
          <m:e>
            <m:r>
              <m:t>a</m:t>
            </m:r>
          </m:e>
          <m:sup>
            <m:r>
              <m:rPr>
                <m:sty m:val="p"/>
              </m:rPr>
              <m:t>*</m:t>
            </m:r>
          </m:sup>
        </m:sSup>
      </m:oMath>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below one.</w:t>
      </w:r>
    </w:p>
    <w:p>
      <w:pPr>
        <w:pStyle w:val="BodyText"/>
        <w:spacing w:line="480" w:lineRule="auto" w:after="0" w:before="0"/>
        <w:ind w:firstLine="720"/>
        <w:jc w:val="left"/>
      </w:pPr>
      <w:r>
        <w:rPr>
          <w:bCs/>
          <w:rFonts w:ascii="Times New Roman" w:hAnsi="Times New Roman" w:eastAsia="Times New Roman" w:cs="Times New Roman"/>
          <w:b/>
        </w:rPr>
        <w:t xml:space="preserve">Implication 2 (cheap acquisition widens the gap).</w:t>
      </w:r>
      <w:r>
        <w:rPr>
          <w:rFonts w:ascii="Times New Roman" w:hAnsi="Times New Roman" w:eastAsia="Times New Roman" w:cs="Times New Roman"/>
        </w:rPr>
        <w:t xml:space="preserve"> </w:t>
      </w:r>
      <w:r>
        <w:rPr>
          <w:rFonts w:ascii="Times New Roman" w:hAnsi="Times New Roman" w:eastAsia="Times New Roman" w:cs="Times New Roman"/>
        </w:rPr>
        <w:t xml:space="preserve">Because acquisition requires little investment, the share of firms that acquire the tool can grow independently of</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If</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accumulates more slowly than acquisition, the share of acquiring firms that satisfy equation (1) for a given task falls even as acquisition rises, and the gap between acquisition and assimilation widens before it narrows.</w:t>
      </w:r>
    </w:p>
    <w:bookmarkEnd w:id="27"/>
    <w:bookmarkStart w:id="28" w:name="from-tasks-to-occupational-demand"/>
    <w:p>
      <w:pPr>
        <w:pStyle w:val="Heading3"/>
      </w:pPr>
      <w:r>
        <w:rPr>
          <w:rFonts w:ascii="Times New Roman" w:hAnsi="Times New Roman" w:eastAsia="Times New Roman" w:cs="Times New Roman"/>
        </w:rPr>
        <w:t xml:space="preserve">3.3 From Tasks to Occupational Demand</w:t>
      </w:r>
    </w:p>
    <w:p>
      <w:pPr>
        <w:pStyle w:val="FirstParagraph"/>
        <w:spacing w:line="480" w:lineRule="auto" w:after="0" w:before="0"/>
        <w:ind w:firstLine="720"/>
        <w:jc w:val="left"/>
      </w:pPr>
      <w:r>
        <w:rPr>
          <w:rFonts w:ascii="Times New Roman" w:hAnsi="Times New Roman" w:eastAsia="Times New Roman" w:cs="Times New Roman"/>
        </w:rPr>
        <w:t xml:space="preserve">Let</w:t>
      </w:r>
      <w:r>
        <w:rPr>
          <w:rFonts w:ascii="Times New Roman" w:hAnsi="Times New Roman" w:eastAsia="Times New Roman" w:cs="Times New Roman"/>
        </w:rPr>
        <w:t xml:space="preserve"> </w:t>
      </w:r>
      <m:oMath>
        <m:sSup>
          <m:e>
            <m:r>
              <m:t>A</m:t>
            </m:r>
          </m:e>
          <m:sup>
            <m:r>
              <m:t>u</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be the share of employers that report use and</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the share that have assimilated the visual-production tasks of occupation</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Let</w:t>
      </w:r>
      <w:r>
        <w:rPr>
          <w:rFonts w:ascii="Times New Roman" w:hAnsi="Times New Roman" w:eastAsia="Times New Roman" w:cs="Times New Roman"/>
        </w:rPr>
        <w:t xml:space="preserve"> </w:t>
      </w:r>
      <m:oMath>
        <m:sSub>
          <m:e>
            <m:r>
              <m:t>s</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be the share of the occupation’s work that consists of such tasks, and let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be the log change in demand for the occupation’s visual-production work at an assimilating employer. To a first approximation, the aggregate log change in demand is</w:t>
      </w:r>
    </w:p>
    <w:p>
      <w:pPr>
        <w:pStyle w:val="BodyText"/>
        <w:spacing w:line="480" w:lineRule="auto" w:after="0" w:before="0"/>
        <w:ind w:firstLine="720"/>
        <w:jc w:val="left"/>
      </w:pPr>
      <m:oMathPara>
        <m:oMathParaPr>
          <m:jc m:val="center"/>
        </m:oMathParaPr>
        <m:oMath>
          <m:r>
            <m:t>Δ</m:t>
          </m:r>
          <m:r>
            <m:rPr>
              <m:sty m:val="p"/>
            </m:rPr>
            <m:t>ln</m:t>
          </m:r>
          <m:sSub>
            <m:e>
              <m:r>
                <m:t>N</m:t>
              </m:r>
            </m:e>
            <m:sub>
              <m:r>
                <m:t>j</m:t>
              </m:r>
            </m:sub>
          </m:sSub>
          <m:r>
            <m:rPr>
              <m:sty m:val="p"/>
            </m:rPr>
            <m:t>≈</m:t>
          </m:r>
          <m:sSub>
            <m:e>
              <m:r>
                <m:t>s</m:t>
              </m:r>
            </m:e>
            <m:sub>
              <m:r>
                <m:t>j</m:t>
              </m:r>
            </m:sub>
          </m:sSub>
          <m:r>
            <m:rPr>
              <m:sty m:val="p"/>
            </m:rPr>
            <m:t>⋅</m:t>
          </m:r>
          <m:sSup>
            <m:e>
              <m:r>
                <m:t>A</m:t>
              </m:r>
            </m:e>
            <m:sup>
              <m:r>
                <m:t>a</m:t>
              </m:r>
            </m:sup>
          </m:sSup>
          <m:r>
            <m:rPr>
              <m:sty m:val="p"/>
            </m:rPr>
            <m:t>⋅</m:t>
          </m:r>
          <m:r>
            <m:t>β</m:t>
          </m:r>
          <m:r>
            <m:t> </m:t>
          </m:r>
          <m:r>
            <m:rPr>
              <m:sty m:val="p"/>
            </m:rPr>
            <m:t>≥</m:t>
          </m:r>
          <m:r>
            <m:t> </m:t>
          </m:r>
          <m:sSub>
            <m:e>
              <m:r>
                <m:t>s</m:t>
              </m:r>
            </m:e>
            <m:sub>
              <m:r>
                <m:t>j</m:t>
              </m:r>
            </m:sub>
          </m:sSub>
          <m:r>
            <m:rPr>
              <m:sty m:val="p"/>
            </m:rPr>
            <m:t>⋅</m:t>
          </m:r>
          <m:sSup>
            <m:e>
              <m:r>
                <m:t>A</m:t>
              </m:r>
            </m:e>
            <m:sup>
              <m:r>
                <m:t>u</m:t>
              </m:r>
            </m:sup>
          </m:sSup>
          <m:r>
            <m:rPr>
              <m:sty m:val="p"/>
            </m:rPr>
            <m:t>⋅</m:t>
          </m:r>
          <m:r>
            <m:t>β</m:t>
          </m:r>
          <m:r>
            <m:t> </m:t>
          </m:r>
          <m:r>
            <m:rPr>
              <m:nor/>
              <m:sty m:val="p"/>
            </m:rPr>
            <m:t>for </m:t>
          </m:r>
          <m:r>
            <m:t>β</m:t>
          </m:r>
          <m:r>
            <m:rPr>
              <m:sty m:val="p"/>
            </m:rPr>
            <m:t>&lt;</m:t>
          </m:r>
          <m:r>
            <m:t>0</m:t>
          </m:r>
          <m:r>
            <m:rPr>
              <m:sty m:val="p"/>
            </m:rPr>
            <m:t>.</m:t>
          </m:r>
          <m:r>
            <m:t>  </m:t>
          </m:r>
          <m:d>
            <m:dPr>
              <m:begChr m:val="("/>
              <m:endChr m:val=")"/>
              <m:sepChr m:val=""/>
              <m:grow/>
            </m:dPr>
            <m:e>
              <m:r>
                <m:t>2</m:t>
              </m:r>
            </m:e>
          </m:d>
        </m:oMath>
      </m:oMathPara>
    </w:p>
    <w:p>
      <w:pPr>
        <w:pStyle w:val="FirstParagraph"/>
        <w:spacing w:line="480" w:lineRule="auto" w:after="0" w:before="0"/>
        <w:ind w:firstLine="720"/>
        <w:jc w:val="left"/>
      </w:pPr>
      <w:r>
        <w:rPr>
          <w:rFonts w:ascii="Times New Roman" w:hAnsi="Times New Roman" w:eastAsia="Times New Roman" w:cs="Times New Roman"/>
        </w:rPr>
        <w:t xml:space="preserve">The parameter</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combines substitution, which is negative, with a scale effect, which is positive when cheaper content raises the volume of visual work and the demand for direction and selection. Equation (2) makes clear why a small aggregate response is ambiguous. It can arise because</w:t>
      </w:r>
      <w:r>
        <w:rPr>
          <w:rFonts w:ascii="Times New Roman" w:hAnsi="Times New Roman" w:eastAsia="Times New Roman" w:cs="Times New Roman"/>
        </w:rPr>
        <w:t xml:space="preserve"> </w:t>
      </w:r>
      <m:oMath>
        <m:sSup>
          <m:e>
            <m:r>
              <m:t>A</m:t>
            </m:r>
          </m:e>
          <m:sup>
            <m:r>
              <m:t>a</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is small relative to</w:t>
      </w:r>
      <w:r>
        <w:rPr>
          <w:rFonts w:ascii="Times New Roman" w:hAnsi="Times New Roman" w:eastAsia="Times New Roman" w:cs="Times New Roman"/>
        </w:rPr>
        <w:t xml:space="preserve"> </w:t>
      </w:r>
      <m:oMath>
        <m:sSup>
          <m:e>
            <m:r>
              <m:t>A</m:t>
            </m:r>
          </m:e>
          <m:sup>
            <m:r>
              <m:t>u</m:t>
            </m:r>
          </m:sup>
        </m:sSup>
      </m:oMath>
      <w:r>
        <w:rPr>
          <w:rFonts w:ascii="Times New Roman" w:hAnsi="Times New Roman" w:eastAsia="Times New Roman" w:cs="Times New Roman"/>
        </w:rPr>
        <w:t xml:space="preserve">, which is the assimilation gap, or because</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is close to zero, which is assimilation with offsetting scale effects. It can also arise simply because</w:t>
      </w:r>
      <w:r>
        <w:rPr>
          <w:rFonts w:ascii="Times New Roman" w:hAnsi="Times New Roman" w:eastAsia="Times New Roman" w:cs="Times New Roman"/>
        </w:rPr>
        <w:t xml:space="preserve"> </w:t>
      </w:r>
      <m:oMath>
        <m:sSub>
          <m:e>
            <m:r>
              <m:t>s</m:t>
            </m:r>
          </m:e>
          <m:sub>
            <m:r>
              <m:t>j</m:t>
            </m:r>
          </m:sub>
        </m:sSub>
        <m:r>
          <m:rPr>
            <m:sty m:val="p"/>
          </m:rPr>
          <m:t>⋅</m:t>
        </m:r>
        <m:sSup>
          <m:e>
            <m:r>
              <m:t>A</m:t>
            </m:r>
          </m:e>
          <m:sup>
            <m:r>
              <m:t>u</m:t>
            </m:r>
          </m:sup>
        </m:sSup>
        <m:r>
          <m:rPr>
            <m:sty m:val="p"/>
          </m:rPr>
          <m:t>⋅</m:t>
        </m:r>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is small even when</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Section 4 shows that this last possibility is the binding one in current data.</w:t>
      </w:r>
    </w:p>
    <w:bookmarkEnd w:id="28"/>
    <w:bookmarkStart w:id="29" w:name="review-as-a-bottleneck-task"/>
    <w:p>
      <w:pPr>
        <w:pStyle w:val="Heading3"/>
      </w:pPr>
      <w:r>
        <w:rPr>
          <w:rFonts w:ascii="Times New Roman" w:hAnsi="Times New Roman" w:eastAsia="Times New Roman" w:cs="Times New Roman"/>
        </w:rPr>
        <w:t xml:space="preserve">3.4 Review as a Bottleneck Task</w:t>
      </w:r>
    </w:p>
    <w:p>
      <w:pPr>
        <w:pStyle w:val="FirstParagraph"/>
        <w:spacing w:line="480" w:lineRule="auto" w:after="0" w:before="0"/>
        <w:ind w:firstLine="720"/>
        <w:jc w:val="left"/>
      </w:pPr>
      <w:r>
        <w:rPr>
          <w:rFonts w:ascii="Times New Roman" w:hAnsi="Times New Roman" w:eastAsia="Times New Roman" w:cs="Times New Roman"/>
        </w:rPr>
        <w:t xml:space="preserve">Equation (1) says when a firm assimilates a task. To see what assimilation does to labor demand, let a unit of the visual asset require</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hours of human production, so that</w:t>
      </w:r>
      <w:r>
        <w:rPr>
          <w:rFonts w:ascii="Times New Roman" w:hAnsi="Times New Roman" w:eastAsia="Times New Roman" w:cs="Times New Roman"/>
        </w:rPr>
        <w:t xml:space="preserve"> </w:t>
      </w:r>
      <m:oMath>
        <m:r>
          <m:t>θ</m:t>
        </m:r>
        <m:r>
          <m:rPr>
            <m:sty m:val="p"/>
          </m:rPr>
          <m:t>=</m:t>
        </m:r>
        <m:r>
          <m:t>w</m:t>
        </m:r>
        <m:r>
          <m:t>h</m:t>
        </m:r>
      </m:oMath>
      <w:r>
        <w:rPr>
          <w:rFonts w:ascii="Times New Roman" w:hAnsi="Times New Roman" w:eastAsia="Times New Roman" w:cs="Times New Roman"/>
        </w:rPr>
        <w:t xml:space="preserve">, and let review require</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hours, so that</w:t>
      </w:r>
      <w:r>
        <w:rPr>
          <w:rFonts w:ascii="Times New Roman" w:hAnsi="Times New Roman" w:eastAsia="Times New Roman" w:cs="Times New Roman"/>
        </w:rPr>
        <w:t xml:space="preserve"> </w:t>
      </w:r>
      <m:oMath>
        <m:r>
          <m:t>r</m:t>
        </m:r>
        <m:r>
          <m:rPr>
            <m:sty m:val="p"/>
          </m:rPr>
          <m:t>=</m:t>
        </m:r>
        <m:r>
          <m:t>w</m:t>
        </m:r>
        <m:r>
          <m:t>u</m:t>
        </m:r>
      </m:oMath>
      <w:r>
        <w:rPr>
          <w:rFonts w:ascii="Times New Roman" w:hAnsi="Times New Roman" w:eastAsia="Times New Roman" w:cs="Times New Roman"/>
        </w:rPr>
        <w:t xml:space="preserve">. Write</w:t>
      </w:r>
      <w:r>
        <w:rPr>
          <w:rFonts w:ascii="Times New Roman" w:hAnsi="Times New Roman" w:eastAsia="Times New Roman" w:cs="Times New Roman"/>
        </w:rPr>
        <w:t xml:space="preserve"> </w:t>
      </w:r>
      <m:oMath>
        <m:r>
          <m:t>ρ</m:t>
        </m:r>
        <m:r>
          <m:rPr>
            <m:sty m:val="p"/>
          </m:rPr>
          <m:t>=</m:t>
        </m:r>
        <m:r>
          <m:t>r</m:t>
        </m:r>
        <m:r>
          <m:rPr>
            <m:sty m:val="p"/>
          </m:rPr>
          <m:t>/</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for review cost relative to human production and</w:t>
      </w:r>
      <w:r>
        <w:rPr>
          <w:rFonts w:ascii="Times New Roman" w:hAnsi="Times New Roman" w:eastAsia="Times New Roman" w:cs="Times New Roman"/>
        </w:rPr>
        <w:t xml:space="preserve"> </w:t>
      </w:r>
      <m:oMath>
        <m:r>
          <m:t>γ</m:t>
        </m:r>
        <m:r>
          <m:rPr>
            <m:sty m:val="p"/>
          </m:rPr>
          <m:t>=</m:t>
        </m:r>
        <m:r>
          <m:t>c</m:t>
        </m:r>
        <m:r>
          <m:rPr>
            <m:sty m:val="p"/>
          </m:rPr>
          <m:t>/</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for generation cost relative to human production, so that</w:t>
      </w:r>
      <w:r>
        <w:rPr>
          <w:rFonts w:ascii="Times New Roman" w:hAnsi="Times New Roman" w:eastAsia="Times New Roman" w:cs="Times New Roman"/>
        </w:rPr>
        <w:t xml:space="preserve"> </w:t>
      </w:r>
      <m:oMath>
        <m:sSup>
          <m:e>
            <m:r>
              <m:t>a</m:t>
            </m:r>
          </m:e>
          <m:sup>
            <m:r>
              <m:rPr>
                <m:sty m:val="p"/>
              </m:rPr>
              <m:t>*</m:t>
            </m:r>
          </m:sup>
        </m:sSup>
        <m:r>
          <m:rPr>
            <m:sty m:val="p"/>
          </m:rPr>
          <m:t>=</m:t>
        </m:r>
        <m:r>
          <m:t>γ</m:t>
        </m:r>
        <m:r>
          <m:rPr>
            <m:sty m:val="p"/>
          </m:rPr>
          <m:t>+</m:t>
        </m:r>
        <m:r>
          <m:t>ρ</m:t>
        </m:r>
      </m:oMath>
      <w:r>
        <w:rPr>
          <w:rFonts w:ascii="Times New Roman" w:hAnsi="Times New Roman" w:eastAsia="Times New Roman" w:cs="Times New Roman"/>
        </w:rPr>
        <w:t xml:space="preserve">. With the generator, a unit of output needs review labor and, with probability</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 human production labor, so labor per unit falls from</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to</w:t>
      </w:r>
      <w:r>
        <w:rPr>
          <w:rFonts w:ascii="Times New Roman" w:hAnsi="Times New Roman" w:eastAsia="Times New Roman" w:cs="Times New Roman"/>
        </w:rPr>
        <w:t xml:space="preserve"> </w:t>
      </w:r>
      <m:oMath>
        <m:r>
          <m:t>u</m:t>
        </m:r>
        <m:r>
          <m:rPr>
            <m:sty m:val="p"/>
          </m:rPr>
          <m:t>+</m:t>
        </m:r>
        <m:d>
          <m:dPr>
            <m:begChr m:val="("/>
            <m:endChr m:val=")"/>
            <m:sepChr m:val=""/>
            <m:grow/>
          </m:dPr>
          <m:e>
            <m:r>
              <m:t>1</m:t>
            </m:r>
            <m:r>
              <m:rPr>
                <m:sty m:val="p"/>
              </m:rPr>
              <m:t>−</m:t>
            </m:r>
            <m:r>
              <m:t>a</m:t>
            </m:r>
          </m:e>
        </m:d>
        <m:r>
          <m:t>h</m:t>
        </m:r>
      </m:oMath>
      <w:r>
        <w:rPr>
          <w:rFonts w:ascii="Times New Roman" w:hAnsi="Times New Roman" w:eastAsia="Times New Roman" w:cs="Times New Roman"/>
        </w:rPr>
        <w:t xml:space="preserve">, a ratio of</w:t>
      </w:r>
      <w:r>
        <w:rPr>
          <w:rFonts w:ascii="Times New Roman" w:hAnsi="Times New Roman" w:eastAsia="Times New Roman" w:cs="Times New Roman"/>
        </w:rPr>
        <w:t xml:space="preserve"> </w:t>
      </w:r>
      <m:oMath>
        <m:r>
          <m:t>1</m:t>
        </m:r>
        <m:r>
          <m:rPr>
            <m:sty m:val="p"/>
          </m:rPr>
          <m:t>−</m:t>
        </m:r>
        <m:r>
          <m:t>a</m:t>
        </m:r>
        <m:r>
          <m:rPr>
            <m:sty m:val="p"/>
          </m:rPr>
          <m:t>+</m:t>
        </m:r>
        <m:r>
          <m:t>ρ</m:t>
        </m:r>
      </m:oMath>
      <w:r>
        <w:rPr>
          <w:rFonts w:ascii="Times New Roman" w:hAnsi="Times New Roman" w:eastAsia="Times New Roman" w:cs="Times New Roman"/>
        </w:rPr>
        <w:t xml:space="preserve">, while cost per unit falls by the ratio</w:t>
      </w:r>
      <w:r>
        <w:rPr>
          <w:rFonts w:ascii="Times New Roman" w:hAnsi="Times New Roman" w:eastAsia="Times New Roman" w:cs="Times New Roman"/>
        </w:rPr>
        <w:t xml:space="preserve"> </w:t>
      </w:r>
      <m:oMath>
        <m:r>
          <m:t>κ</m:t>
        </m:r>
        <m:r>
          <m:rPr>
            <m:sty m:val="p"/>
          </m:rPr>
          <m:t>=</m:t>
        </m:r>
        <m:r>
          <m:t>γ</m:t>
        </m:r>
        <m:r>
          <m:rPr>
            <m:sty m:val="p"/>
          </m:rPr>
          <m:t>+</m:t>
        </m:r>
        <m:r>
          <m:t>ρ</m:t>
        </m:r>
        <m:r>
          <m:rPr>
            <m:sty m:val="p"/>
          </m:rPr>
          <m:t>+</m:t>
        </m:r>
        <m:r>
          <m:t>1</m:t>
        </m:r>
        <m:r>
          <m:rPr>
            <m:sty m:val="p"/>
          </m:rPr>
          <m:t>−</m:t>
        </m:r>
        <m:r>
          <m:t>a</m:t>
        </m:r>
      </m:oMath>
      <w:r>
        <w:rPr>
          <w:rFonts w:ascii="Times New Roman" w:hAnsi="Times New Roman" w:eastAsia="Times New Roman" w:cs="Times New Roman"/>
        </w:rPr>
        <w:t xml:space="preserve">. The ratio</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is below one exactly when</w:t>
      </w:r>
      <w:r>
        <w:rPr>
          <w:rFonts w:ascii="Times New Roman" w:hAnsi="Times New Roman" w:eastAsia="Times New Roman" w:cs="Times New Roman"/>
        </w:rPr>
        <w:t xml:space="preserve"> </w:t>
      </w:r>
      <m:oMath>
        <m:r>
          <m:t>a</m:t>
        </m:r>
        <m:r>
          <m:rPr>
            <m:sty m:val="p"/>
          </m:rPr>
          <m:t>&gt;</m:t>
        </m:r>
        <m:sSup>
          <m:e>
            <m:r>
              <m:t>a</m:t>
            </m:r>
          </m:e>
          <m:sup>
            <m:r>
              <m:rPr>
                <m:sty m:val="p"/>
              </m:rPr>
              <m:t>*</m:t>
            </m:r>
          </m:sup>
        </m:sSup>
      </m:oMath>
      <w:r>
        <w:rPr>
          <w:rFonts w:ascii="Times New Roman" w:hAnsi="Times New Roman" w:eastAsia="Times New Roman" w:cs="Times New Roman"/>
        </w:rPr>
        <w:t xml:space="preserve">. Review labor is paid the same wage as production labor; relaxing this changes</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but not the argument.</w:t>
      </w:r>
    </w:p>
    <w:p>
      <w:pPr>
        <w:pStyle w:val="BodyText"/>
        <w:spacing w:line="480" w:lineRule="auto" w:after="0" w:before="0"/>
        <w:ind w:firstLine="720"/>
        <w:jc w:val="left"/>
      </w:pPr>
      <w:r>
        <w:rPr>
          <w:bCs/>
          <w:rFonts w:ascii="Times New Roman" w:hAnsi="Times New Roman" w:eastAsia="Times New Roman" w:cs="Times New Roman"/>
          <w:b/>
        </w:rPr>
        <w:t xml:space="preserve">Proposition 1 (review floor).</w:t>
      </w:r>
      <w:r>
        <w:rPr>
          <w:rFonts w:ascii="Times New Roman" w:hAnsi="Times New Roman" w:eastAsia="Times New Roman" w:cs="Times New Roman"/>
        </w:rPr>
        <w:t xml:space="preserve"> </w:t>
      </w:r>
      <w:r>
        <w:rPr>
          <w:iCs/>
          <w:rFonts w:ascii="Times New Roman" w:hAnsi="Times New Roman" w:eastAsia="Times New Roman" w:cs="Times New Roman"/>
          <w:i/>
        </w:rPr>
        <w:t xml:space="preserve">Labor per unit of output at an assimilating firm cannot fall below the review share</w:t>
      </w:r>
      <w:r>
        <w:rPr>
          <w:iCs/>
          <w:rFonts w:ascii="Times New Roman" w:hAnsi="Times New Roman" w:eastAsia="Times New Roman" w:cs="Times New Roman"/>
          <w:i/>
        </w:rPr>
        <w:t xml:space="preserve"> </w:t>
      </w:r>
      <m:oMath>
        <m:r>
          <m:t>ρ</m:t>
        </m:r>
      </m:oMath>
      <w:r>
        <w:rPr>
          <w:iCs/>
          <w:rFonts w:ascii="Times New Roman" w:hAnsi="Times New Roman" w:eastAsia="Times New Roman" w:cs="Times New Roman"/>
          <w:i/>
        </w:rPr>
        <w:t xml:space="preserve">, however high the acceptance rate</w:t>
      </w:r>
      <w:r>
        <w:rPr>
          <w:iCs/>
          <w:rFonts w:ascii="Times New Roman" w:hAnsi="Times New Roman" w:eastAsia="Times New Roman" w:cs="Times New Roman"/>
          <w:i/>
        </w:rPr>
        <w:t xml:space="preserve"> </w:t>
      </w:r>
      <m:oMath>
        <m:r>
          <m:t>a</m:t>
        </m:r>
      </m:oMath>
      <w:r>
        <w:rPr>
          <w:iCs/>
          <w:rFonts w:ascii="Times New Roman" w:hAnsi="Times New Roman" w:eastAsia="Times New Roman" w:cs="Times New Roman"/>
          <w:i/>
        </w:rPr>
        <w:t xml:space="preserve">. If review hours do not fall with model quality, improvements in the generator reduce labor per unit only down to this floor, and when</w:t>
      </w:r>
      <w:r>
        <w:rPr>
          <w:iCs/>
          <w:rFonts w:ascii="Times New Roman" w:hAnsi="Times New Roman" w:eastAsia="Times New Roman" w:cs="Times New Roman"/>
          <w:i/>
        </w:rPr>
        <w:t xml:space="preserve"> </w:t>
      </w:r>
      <m:oMath>
        <m:r>
          <m:t>ρ</m:t>
        </m:r>
      </m:oMath>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is large relative to</w:t>
      </w:r>
      <w:r>
        <w:rPr>
          <w:iCs/>
          <w:rFonts w:ascii="Times New Roman" w:hAnsi="Times New Roman" w:eastAsia="Times New Roman" w:cs="Times New Roman"/>
          <w:i/>
        </w:rPr>
        <w:t xml:space="preserve"> </w:t>
      </w:r>
      <m:oMath>
        <m:r>
          <m:t>a</m:t>
        </m:r>
      </m:oMath>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the labor saved is small even though the task has been assimilated.</w:t>
      </w:r>
    </w:p>
    <w:p>
      <w:pPr>
        <w:pStyle w:val="BodyText"/>
        <w:spacing w:line="480" w:lineRule="auto" w:after="0" w:before="0"/>
        <w:ind w:firstLine="720"/>
        <w:jc w:val="left"/>
      </w:pPr>
      <w:r>
        <w:rPr>
          <w:rFonts w:ascii="Times New Roman" w:hAnsi="Times New Roman" w:eastAsia="Times New Roman" w:cs="Times New Roman"/>
        </w:rPr>
        <w:t xml:space="preserve">The floor is a bottleneck: when a task that can be automated is complementary to one that cannot, the task that cannot be automated becomes the binding constraint, and its share of the remaining labor rises as the generator improves (Aghion et al., 2019; Baumol, 1967). Because</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depends on the complements</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through review cost, the same complements that govern assimilation also govern how much labor assimilation can save. The condition that review hours do not fall with model quality is an assumption, not a result. It is plausible where review means judging brand fit, legal exposure, or factual accuracy, and less so where a better model simply produces fewer visible defects; we return to it in Section 10.4.</w:t>
      </w:r>
    </w:p>
    <w:bookmarkEnd w:id="29"/>
    <w:bookmarkStart w:id="30" w:name="displacement-reinstatement-and-scale"/>
    <w:p>
      <w:pPr>
        <w:pStyle w:val="Heading3"/>
      </w:pPr>
      <w:r>
        <w:rPr>
          <w:rFonts w:ascii="Times New Roman" w:hAnsi="Times New Roman" w:eastAsia="Times New Roman" w:cs="Times New Roman"/>
        </w:rPr>
        <w:t xml:space="preserve">3.5 Displacement, Reinstatement, and Scale</w:t>
      </w:r>
    </w:p>
    <w:p>
      <w:pPr>
        <w:pStyle w:val="FirstParagraph"/>
        <w:spacing w:line="480" w:lineRule="auto" w:after="0" w:before="0"/>
        <w:ind w:firstLine="720"/>
        <w:jc w:val="left"/>
      </w:pPr>
      <w:r>
        <w:rPr>
          <w:rFonts w:ascii="Times New Roman" w:hAnsi="Times New Roman" w:eastAsia="Times New Roman" w:cs="Times New Roman"/>
        </w:rPr>
        <w:t xml:space="preserve">Equation (2) leaves</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unspecified. Let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be the price elasticity of demand for the occupation’s visual output, so that output rises by</w:t>
      </w:r>
      <w:r>
        <w:rPr>
          <w:rFonts w:ascii="Times New Roman" w:hAnsi="Times New Roman" w:eastAsia="Times New Roman" w:cs="Times New Roman"/>
        </w:rPr>
        <w:t xml:space="preserve"> </w:t>
      </w:r>
      <m:oMath>
        <m:sSup>
          <m:e>
            <m:r>
              <m:t>κ</m:t>
            </m:r>
          </m:e>
          <m:sup>
            <m:r>
              <m:rPr>
                <m:sty m:val="p"/>
              </m:rPr>
              <m:t>−</m:t>
            </m:r>
            <m:r>
              <m:t>ε</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when cost per unit falls by the ratio</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The net effect on demand for the occupation’s work at an assimilating employer is</w:t>
      </w:r>
    </w:p>
    <w:p>
      <w:pPr>
        <w:pStyle w:val="BodyText"/>
        <w:spacing w:line="480" w:lineRule="auto" w:after="0" w:before="0"/>
        <w:ind w:firstLine="720"/>
        <w:jc w:val="left"/>
      </w:pPr>
      <m:oMathPara>
        <m:oMathParaPr>
          <m:jc m:val="center"/>
        </m:oMathParaPr>
        <m:oMath>
          <m:r>
            <m:t>β</m:t>
          </m:r>
          <m:r>
            <m:rPr>
              <m:sty m:val="p"/>
            </m:rPr>
            <m:t>=</m:t>
          </m:r>
          <m:r>
            <m:rPr>
              <m:sty m:val="p"/>
            </m:rPr>
            <m:t>ln</m:t>
          </m:r>
          <m:d>
            <m:dPr>
              <m:begChr m:val="("/>
              <m:endChr m:val=")"/>
              <m:sepChr m:val=""/>
              <m:grow/>
            </m:dPr>
            <m:e>
              <m:r>
                <m:t>1</m:t>
              </m:r>
              <m:r>
                <m:rPr>
                  <m:sty m:val="p"/>
                </m:rPr>
                <m:t>−</m:t>
              </m:r>
              <m:r>
                <m:t>a</m:t>
              </m:r>
              <m:r>
                <m:rPr>
                  <m:sty m:val="p"/>
                </m:rPr>
                <m:t>+</m:t>
              </m:r>
              <m:r>
                <m:t>ρ</m:t>
              </m:r>
            </m:e>
          </m:d>
          <m:r>
            <m:rPr>
              <m:sty m:val="p"/>
            </m:rPr>
            <m:t>−</m:t>
          </m:r>
          <m:r>
            <m:t>ε</m:t>
          </m:r>
          <m:r>
            <m:rPr>
              <m:sty m:val="p"/>
            </m:rPr>
            <m:t>ln</m:t>
          </m:r>
          <m:r>
            <m:t>κ</m:t>
          </m:r>
          <m:r>
            <m:rPr>
              <m:sty m:val="p"/>
            </m:rPr>
            <m:t>.</m:t>
          </m:r>
          <m:r>
            <m:t>  </m:t>
          </m:r>
          <m:d>
            <m:dPr>
              <m:begChr m:val="("/>
              <m:endChr m:val=")"/>
              <m:sepChr m:val=""/>
              <m:grow/>
            </m:dPr>
            <m:e>
              <m:r>
                <m:t>3</m:t>
              </m:r>
            </m:e>
          </m:d>
        </m:oMath>
      </m:oMathPara>
    </w:p>
    <w:p>
      <w:pPr>
        <w:pStyle w:val="FirstParagraph"/>
        <w:spacing w:line="480" w:lineRule="auto" w:after="0" w:before="0"/>
        <w:ind w:firstLine="720"/>
        <w:jc w:val="left"/>
      </w:pPr>
      <w:r>
        <w:rPr>
          <w:rFonts w:ascii="Times New Roman" w:hAnsi="Times New Roman" w:eastAsia="Times New Roman" w:cs="Times New Roman"/>
        </w:rPr>
        <w:t xml:space="preserve">The first term combines displacement, because the generator takes over a share</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of human production, with reinstatement, because review and direction create labor</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that did not exist before; these are the displacement and reinstatement effects of the task-based framework (Acemoglu &amp; Restrepo, 2018, 2019). The second term is the productivity or scale effect, which is positive because cheaper output raises the quantity demanded and with it the demand for review and direction. The values</w:t>
      </w:r>
      <w:r>
        <w:rPr>
          <w:rFonts w:ascii="Times New Roman" w:hAnsi="Times New Roman" w:eastAsia="Times New Roman" w:cs="Times New Roman"/>
        </w:rPr>
        <w:t xml:space="preserve"> </w:t>
      </w:r>
      <m:oMath>
        <m:r>
          <m:t>β</m:t>
        </m:r>
        <m:r>
          <m:rPr>
            <m:sty m:val="p"/>
          </m:rPr>
          <m:t>=</m:t>
        </m:r>
        <m:r>
          <m:rPr>
            <m:sty m:val="p"/>
          </m:rPr>
          <m:t>−</m:t>
        </m:r>
        <m:r>
          <m:t>0.19</m:t>
        </m:r>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used below are therefore reduced-form: each bundles</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and</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For example, with</w:t>
      </w:r>
      <w:r>
        <w:rPr>
          <w:rFonts w:ascii="Times New Roman" w:hAnsi="Times New Roman" w:eastAsia="Times New Roman" w:cs="Times New Roman"/>
        </w:rPr>
        <w:t xml:space="preserve"> </w:t>
      </w:r>
      <m:oMath>
        <m:r>
          <m:t>a</m:t>
        </m:r>
        <m:r>
          <m:rPr>
            <m:sty m:val="p"/>
          </m:rPr>
          <m:t>=</m:t>
        </m:r>
        <m:r>
          <m:t>0.8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ρ</m:t>
        </m:r>
        <m:r>
          <m:rPr>
            <m:sty m:val="p"/>
          </m:rPr>
          <m:t>=</m:t>
        </m:r>
        <m:r>
          <m:t>0.3</m:t>
        </m:r>
      </m:oMath>
      <w:r>
        <w:rPr>
          <w:rFonts w:ascii="Times New Roman" w:hAnsi="Times New Roman" w:eastAsia="Times New Roman" w:cs="Times New Roman"/>
        </w:rPr>
        <w:t xml:space="preserve">, and</w:t>
      </w:r>
      <w:r>
        <w:rPr>
          <w:rFonts w:ascii="Times New Roman" w:hAnsi="Times New Roman" w:eastAsia="Times New Roman" w:cs="Times New Roman"/>
        </w:rPr>
        <w:t xml:space="preserve"> </w:t>
      </w:r>
      <m:oMath>
        <m:r>
          <m:t>γ</m:t>
        </m:r>
        <m:r>
          <m:rPr>
            <m:sty m:val="p"/>
          </m:rPr>
          <m:t>=</m:t>
        </m:r>
        <m:r>
          <m:t>0.05</m:t>
        </m:r>
      </m:oMath>
      <w:r>
        <w:rPr>
          <w:rFonts w:ascii="Times New Roman" w:hAnsi="Times New Roman" w:eastAsia="Times New Roman" w:cs="Times New Roman"/>
        </w:rPr>
        <w:t xml:space="preserve">, labor per unit falls to one half and cost per unit to 0.55 of its earlier level, and</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is</w:t>
      </w:r>
      <w:r>
        <w:rPr>
          <w:rFonts w:ascii="Times New Roman" w:hAnsi="Times New Roman" w:eastAsia="Times New Roman" w:cs="Times New Roman"/>
        </w:rPr>
        <w:t xml:space="preserve"> </w:t>
      </w:r>
      <m:oMath>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if</w:t>
      </w:r>
      <w:r>
        <w:rPr>
          <w:rFonts w:ascii="Times New Roman" w:hAnsi="Times New Roman" w:eastAsia="Times New Roman" w:cs="Times New Roman"/>
        </w:rPr>
        <w:t xml:space="preserve"> </w:t>
      </w:r>
      <m:oMath>
        <m:r>
          <m:t>ε</m:t>
        </m:r>
        <m:r>
          <m:rPr>
            <m:sty m:val="p"/>
          </m:rPr>
          <m:t>=</m:t>
        </m:r>
        <m:r>
          <m:t>0.5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0.10</m:t>
        </m:r>
      </m:oMath>
      <w:r>
        <w:rPr>
          <w:rFonts w:ascii="Times New Roman" w:hAnsi="Times New Roman" w:eastAsia="Times New Roman" w:cs="Times New Roman"/>
        </w:rPr>
        <w:t xml:space="preserve"> </w:t>
      </w:r>
      <w:r>
        <w:rPr>
          <w:rFonts w:ascii="Times New Roman" w:hAnsi="Times New Roman" w:eastAsia="Times New Roman" w:cs="Times New Roman"/>
        </w:rPr>
        <w:t xml:space="preserve">if</w:t>
      </w:r>
      <w:r>
        <w:rPr>
          <w:rFonts w:ascii="Times New Roman" w:hAnsi="Times New Roman" w:eastAsia="Times New Roman" w:cs="Times New Roman"/>
        </w:rPr>
        <w:t xml:space="preserve"> </w:t>
      </w:r>
      <m:oMath>
        <m:r>
          <m:t>ε</m:t>
        </m:r>
        <m:r>
          <m:rPr>
            <m:sty m:val="p"/>
          </m:rPr>
          <m:t>=</m:t>
        </m:r>
        <m:r>
          <m:t>1</m:t>
        </m:r>
      </m:oMath>
      <w:r>
        <w:rPr>
          <w:rFonts w:ascii="Times New Roman" w:hAnsi="Times New Roman" w:eastAsia="Times New Roman" w:cs="Times New Roman"/>
        </w:rPr>
        <w:t xml:space="preserve">, and</w:t>
      </w:r>
      <w:r>
        <w:rPr>
          <w:rFonts w:ascii="Times New Roman" w:hAnsi="Times New Roman" w:eastAsia="Times New Roman" w:cs="Times New Roman"/>
        </w:rPr>
        <w:t xml:space="preserve"> </w:t>
      </w:r>
      <m:oMath>
        <m:r>
          <m:rPr>
            <m:sty m:val="p"/>
          </m:rPr>
          <m:t>+</m:t>
        </m:r>
        <m:r>
          <m:t>0.02</m:t>
        </m:r>
      </m:oMath>
      <w:r>
        <w:rPr>
          <w:rFonts w:ascii="Times New Roman" w:hAnsi="Times New Roman" w:eastAsia="Times New Roman" w:cs="Times New Roman"/>
        </w:rPr>
        <w:t xml:space="preserve"> </w:t>
      </w:r>
      <w:r>
        <w:rPr>
          <w:rFonts w:ascii="Times New Roman" w:hAnsi="Times New Roman" w:eastAsia="Times New Roman" w:cs="Times New Roman"/>
        </w:rPr>
        <w:t xml:space="preserve">if</w:t>
      </w:r>
      <w:r>
        <w:rPr>
          <w:rFonts w:ascii="Times New Roman" w:hAnsi="Times New Roman" w:eastAsia="Times New Roman" w:cs="Times New Roman"/>
        </w:rPr>
        <w:t xml:space="preserve"> </w:t>
      </w:r>
      <m:oMath>
        <m:r>
          <m:t>ε</m:t>
        </m:r>
        <m:r>
          <m:rPr>
            <m:sty m:val="p"/>
          </m:rPr>
          <m:t>=</m:t>
        </m:r>
        <m:r>
          <m:t>1.2</m:t>
        </m:r>
      </m:oMath>
      <w:r>
        <w:rPr>
          <w:rFonts w:ascii="Times New Roman" w:hAnsi="Times New Roman" w:eastAsia="Times New Roman" w:cs="Times New Roman"/>
        </w:rPr>
        <w:t xml:space="preserve">.</w:t>
      </w:r>
    </w:p>
    <w:p>
      <w:pPr>
        <w:pStyle w:val="BodyText"/>
        <w:spacing w:line="480" w:lineRule="auto" w:after="0" w:before="0"/>
        <w:ind w:firstLine="720"/>
        <w:jc w:val="left"/>
      </w:pPr>
      <w:r>
        <w:rPr>
          <w:bCs/>
          <w:rFonts w:ascii="Times New Roman" w:hAnsi="Times New Roman" w:eastAsia="Times New Roman" w:cs="Times New Roman"/>
          <w:b/>
        </w:rPr>
        <w:t xml:space="preserve">Proposition 2 (scale offset).</w:t>
      </w:r>
      <w:r>
        <w:rPr>
          <w:rFonts w:ascii="Times New Roman" w:hAnsi="Times New Roman" w:eastAsia="Times New Roman" w:cs="Times New Roman"/>
        </w:rPr>
        <w:t xml:space="preserve"> </w:t>
      </w:r>
      <w:r>
        <w:rPr>
          <w:iCs/>
          <w:rFonts w:ascii="Times New Roman" w:hAnsi="Times New Roman" w:eastAsia="Times New Roman" w:cs="Times New Roman"/>
          <w:i/>
        </w:rPr>
        <w:t xml:space="preserve">The net effect</w:t>
      </w:r>
      <w:r>
        <w:rPr>
          <w:iCs/>
          <w:rFonts w:ascii="Times New Roman" w:hAnsi="Times New Roman" w:eastAsia="Times New Roman" w:cs="Times New Roman"/>
          <w:i/>
        </w:rPr>
        <w:t xml:space="preserve"> </w:t>
      </w:r>
      <m:oMath>
        <m:r>
          <m:t>β</m:t>
        </m:r>
      </m:oMath>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is negative if and only if</w:t>
      </w:r>
      <w:r>
        <w:rPr>
          <w:iCs/>
          <w:rFonts w:ascii="Times New Roman" w:hAnsi="Times New Roman" w:eastAsia="Times New Roman" w:cs="Times New Roman"/>
          <w:i/>
        </w:rPr>
        <w:t xml:space="preserve"> </w:t>
      </w:r>
      <m:oMath>
        <m:r>
          <m:t>ε</m:t>
        </m:r>
        <m:r>
          <m:rPr>
            <m:sty m:val="p"/>
          </m:rPr>
          <m:t>&lt;</m:t>
        </m:r>
        <m:sSup>
          <m:e>
            <m:r>
              <m:t>ε</m:t>
            </m:r>
          </m:e>
          <m:sup>
            <m:r>
              <m:rPr>
                <m:sty m:val="p"/>
              </m:rPr>
              <m:t>*</m:t>
            </m:r>
          </m:sup>
        </m:sSup>
        <m:r>
          <m:rPr>
            <m:sty m:val="p"/>
          </m:rPr>
          <m:t>=</m:t>
        </m:r>
        <m:r>
          <m:rPr>
            <m:sty m:val="p"/>
          </m:rPr>
          <m:t>ln</m:t>
        </m:r>
        <m:d>
          <m:dPr>
            <m:begChr m:val="("/>
            <m:endChr m:val=")"/>
            <m:sepChr m:val=""/>
            <m:grow/>
          </m:dPr>
          <m:e>
            <m:r>
              <m:t>1</m:t>
            </m:r>
            <m:r>
              <m:rPr>
                <m:sty m:val="p"/>
              </m:rPr>
              <m:t>−</m:t>
            </m:r>
            <m:r>
              <m:t>a</m:t>
            </m:r>
            <m:r>
              <m:rPr>
                <m:sty m:val="p"/>
              </m:rPr>
              <m:t>+</m:t>
            </m:r>
            <m:r>
              <m:t>ρ</m:t>
            </m:r>
          </m:e>
        </m:d>
        <m:r>
          <m:rPr>
            <m:sty m:val="p"/>
          </m:rPr>
          <m:t>/</m:t>
        </m:r>
        <m:r>
          <m:rPr>
            <m:sty m:val="p"/>
          </m:rPr>
          <m:t>ln</m:t>
        </m:r>
        <m:r>
          <m:t>κ</m:t>
        </m:r>
      </m:oMath>
      <w:r>
        <w:rPr>
          <w:iCs/>
          <w:rFonts w:ascii="Times New Roman" w:hAnsi="Times New Roman" w:eastAsia="Times New Roman" w:cs="Times New Roman"/>
          <w:i/>
        </w:rPr>
        <w:t xml:space="preserve">, and</w:t>
      </w:r>
      <w:r>
        <w:rPr>
          <w:iCs/>
          <w:rFonts w:ascii="Times New Roman" w:hAnsi="Times New Roman" w:eastAsia="Times New Roman" w:cs="Times New Roman"/>
          <w:i/>
        </w:rPr>
        <w:t xml:space="preserve"> </w:t>
      </w:r>
      <m:oMath>
        <m:sSup>
          <m:e>
            <m:r>
              <m:t>ε</m:t>
            </m:r>
          </m:e>
          <m:sup>
            <m:r>
              <m:rPr>
                <m:sty m:val="p"/>
              </m:rPr>
              <m:t>*</m:t>
            </m:r>
          </m:sup>
        </m:sSup>
        <m:r>
          <m:rPr>
            <m:sty m:val="p"/>
          </m:rPr>
          <m:t>&gt;</m:t>
        </m:r>
        <m:r>
          <m:t>1</m:t>
        </m:r>
      </m:oMath>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whenever</w:t>
      </w:r>
      <w:r>
        <w:rPr>
          <w:iCs/>
          <w:rFonts w:ascii="Times New Roman" w:hAnsi="Times New Roman" w:eastAsia="Times New Roman" w:cs="Times New Roman"/>
          <w:i/>
        </w:rPr>
        <w:t xml:space="preserve"> </w:t>
      </w:r>
      <m:oMath>
        <m:r>
          <m:t>γ</m:t>
        </m:r>
        <m:r>
          <m:rPr>
            <m:sty m:val="p"/>
          </m:rPr>
          <m:t>&gt;</m:t>
        </m:r>
        <m:r>
          <m:t>0</m:t>
        </m:r>
      </m:oMath>
      <w:r>
        <w:rPr>
          <w:iCs/>
          <w:rFonts w:ascii="Times New Roman" w:hAnsi="Times New Roman" w:eastAsia="Times New Roman" w:cs="Times New Roman"/>
          <w:i/>
        </w:rPr>
        <w:t xml:space="preserve">. As generation cost falls toward zero,</w:t>
      </w:r>
      <w:r>
        <w:rPr>
          <w:iCs/>
          <w:rFonts w:ascii="Times New Roman" w:hAnsi="Times New Roman" w:eastAsia="Times New Roman" w:cs="Times New Roman"/>
          <w:i/>
        </w:rPr>
        <w:t xml:space="preserve"> </w:t>
      </w:r>
      <m:oMath>
        <m:sSup>
          <m:e>
            <m:r>
              <m:t>ε</m:t>
            </m:r>
          </m:e>
          <m:sup>
            <m:r>
              <m:rPr>
                <m:sty m:val="p"/>
              </m:rPr>
              <m:t>*</m:t>
            </m:r>
          </m:sup>
        </m:sSup>
      </m:oMath>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approaches one: complete assimilation reduces demand for the occupation if demand for visual output is inelastic and can raise it only if demand is elastic.</w:t>
      </w:r>
    </w:p>
    <w:bookmarkEnd w:id="30"/>
    <w:bookmarkStart w:id="31" w:name="adjustment-through-attrition"/>
    <w:p>
      <w:pPr>
        <w:pStyle w:val="Heading3"/>
      </w:pPr>
      <w:r>
        <w:rPr>
          <w:rFonts w:ascii="Times New Roman" w:hAnsi="Times New Roman" w:eastAsia="Times New Roman" w:cs="Times New Roman"/>
        </w:rPr>
        <w:t xml:space="preserve">3.6 Adjustment Through Attrition</w:t>
      </w:r>
    </w:p>
    <w:p>
      <w:pPr>
        <w:pStyle w:val="FirstParagraph"/>
        <w:spacing w:line="480" w:lineRule="auto" w:after="0" w:before="0"/>
        <w:ind w:firstLine="720"/>
        <w:jc w:val="left"/>
      </w:pPr>
      <w:r>
        <w:rPr>
          <w:rFonts w:ascii="Times New Roman" w:hAnsi="Times New Roman" w:eastAsia="Times New Roman" w:cs="Times New Roman"/>
        </w:rPr>
        <w:t xml:space="preserve">Job adverts measure hiring, and hiring is how most employers reduce a workforce without layoffs. Let</w:t>
      </w:r>
      <w:r>
        <w:rPr>
          <w:rFonts w:ascii="Times New Roman" w:hAnsi="Times New Roman" w:eastAsia="Times New Roman" w:cs="Times New Roman"/>
        </w:rPr>
        <w:t xml:space="preserve"> </w:t>
      </w:r>
      <m:oMath>
        <m:r>
          <m:t>L</m:t>
        </m:r>
        <m:d>
          <m:dPr>
            <m:begChr m:val="("/>
            <m:endChr m:val=")"/>
            <m:sepChr m:val=""/>
            <m:grow/>
          </m:dPr>
          <m:e>
            <m:r>
              <m:t>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be an employer’s employment in the occupation,</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the separation rate, and</w:t>
      </w:r>
      <w:r>
        <w:rPr>
          <w:rFonts w:ascii="Times New Roman" w:hAnsi="Times New Roman" w:eastAsia="Times New Roman" w:cs="Times New Roman"/>
        </w:rPr>
        <w:t xml:space="preserve"> </w:t>
      </w:r>
      <m:oMath>
        <m:r>
          <m:t>H</m:t>
        </m:r>
        <m:d>
          <m:dPr>
            <m:begChr m:val="("/>
            <m:endChr m:val=")"/>
            <m:sepChr m:val=""/>
            <m:grow/>
          </m:dPr>
          <m:e>
            <m:r>
              <m:t>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hires, so that</w:t>
      </w:r>
      <w:r>
        <w:rPr>
          <w:rFonts w:ascii="Times New Roman" w:hAnsi="Times New Roman" w:eastAsia="Times New Roman" w:cs="Times New Roman"/>
        </w:rPr>
        <w:t xml:space="preserve"> </w:t>
      </w:r>
      <m:oMath>
        <m:r>
          <m:t>L</m:t>
        </m:r>
        <m:d>
          <m:dPr>
            <m:begChr m:val="("/>
            <m:endChr m:val=")"/>
            <m:sepChr m:val=""/>
            <m:grow/>
          </m:dPr>
          <m:e>
            <m:r>
              <m:t>t</m:t>
            </m:r>
            <m:r>
              <m:rPr>
                <m:sty m:val="p"/>
              </m:rPr>
              <m:t>+</m:t>
            </m:r>
            <m:r>
              <m:t>1</m:t>
            </m:r>
          </m:e>
        </m:d>
        <m:r>
          <m:rPr>
            <m:sty m:val="p"/>
          </m:rPr>
          <m:t>=</m:t>
        </m:r>
        <m:d>
          <m:dPr>
            <m:begChr m:val="("/>
            <m:endChr m:val=")"/>
            <m:sepChr m:val=""/>
            <m:grow/>
          </m:dPr>
          <m:e>
            <m:r>
              <m:t>1</m:t>
            </m:r>
            <m:r>
              <m:rPr>
                <m:sty m:val="p"/>
              </m:rPr>
              <m:t>−</m:t>
            </m:r>
            <m:r>
              <m:t>δ</m:t>
            </m:r>
          </m:e>
        </m:d>
        <m:r>
          <m:t>L</m:t>
        </m:r>
        <m:d>
          <m:dPr>
            <m:begChr m:val="("/>
            <m:endChr m:val=")"/>
            <m:sepChr m:val=""/>
            <m:grow/>
          </m:dPr>
          <m:e>
            <m:r>
              <m:t>t</m:t>
            </m:r>
          </m:e>
        </m:d>
        <m:r>
          <m:rPr>
            <m:sty m:val="p"/>
          </m:rPr>
          <m:t>+</m:t>
        </m:r>
        <m:r>
          <m:t>H</m:t>
        </m:r>
        <m:d>
          <m:dPr>
            <m:begChr m:val="("/>
            <m:endChr m:val=")"/>
            <m:sepChr m:val=""/>
            <m:grow/>
          </m:dPr>
          <m:e>
            <m:r>
              <m:t>t</m:t>
            </m:r>
          </m:e>
        </m:d>
      </m:oMath>
      <w:r>
        <w:rPr>
          <w:rFonts w:ascii="Times New Roman" w:hAnsi="Times New Roman" w:eastAsia="Times New Roman" w:cs="Times New Roman"/>
        </w:rPr>
        <w:t xml:space="preserve">. Suppose assimilation lowers target employment to</w:t>
      </w:r>
      <w:r>
        <w:rPr>
          <w:rFonts w:ascii="Times New Roman" w:hAnsi="Times New Roman" w:eastAsia="Times New Roman" w:cs="Times New Roman"/>
        </w:rPr>
        <w:t xml:space="preserve"> </w:t>
      </w:r>
      <m:oMath>
        <m:sSup>
          <m:e>
            <m:r>
              <m:t>L</m:t>
            </m:r>
          </m:e>
          <m:sup>
            <m:r>
              <m:rPr>
                <m:sty m:val="p"/>
              </m:rPr>
              <m:t>*</m:t>
            </m:r>
          </m:sup>
        </m:sSup>
        <m:r>
          <m:rPr>
            <m:sty m:val="p"/>
          </m:rPr>
          <m:t>=</m:t>
        </m:r>
        <m:d>
          <m:dPr>
            <m:begChr m:val="("/>
            <m:endChr m:val=")"/>
            <m:sepChr m:val=""/>
            <m:grow/>
          </m:dPr>
          <m:e>
            <m:r>
              <m:t>1</m:t>
            </m:r>
            <m:r>
              <m:rPr>
                <m:sty m:val="p"/>
              </m:rPr>
              <m:t>−</m:t>
            </m:r>
            <m:r>
              <m:t>f</m:t>
            </m:r>
          </m:e>
        </m:d>
        <m:sSub>
          <m:e>
            <m:r>
              <m:t>L</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and the employer closes a fraction</w:t>
      </w:r>
      <w:r>
        <w:rPr>
          <w:rFonts w:ascii="Times New Roman" w:hAnsi="Times New Roman" w:eastAsia="Times New Roman" w:cs="Times New Roman"/>
        </w:rPr>
        <w:t xml:space="preserve"> </w:t>
      </w:r>
      <m:oMath>
        <m:r>
          <m:t>λ</m:t>
        </m:r>
        <m:r>
          <m:rPr>
            <m:sty m:val="p"/>
          </m:rPr>
          <m:t>≤</m:t>
        </m:r>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of the remaining gap each period by adjusting hiring:</w:t>
      </w:r>
    </w:p>
    <w:p>
      <w:pPr>
        <w:pStyle w:val="BodyText"/>
        <w:spacing w:line="480" w:lineRule="auto" w:after="0" w:before="0"/>
        <w:ind w:firstLine="720"/>
        <w:jc w:val="left"/>
      </w:pPr>
      <m:oMathPara>
        <m:oMathParaPr>
          <m:jc m:val="center"/>
        </m:oMathParaPr>
        <m:oMath>
          <m:r>
            <m:t>H</m:t>
          </m:r>
          <m:d>
            <m:dPr>
              <m:begChr m:val="("/>
              <m:endChr m:val=")"/>
              <m:sepChr m:val=""/>
              <m:grow/>
            </m:dPr>
            <m:e>
              <m:r>
                <m:t>t</m:t>
              </m:r>
            </m:e>
          </m:d>
          <m:r>
            <m:rPr>
              <m:sty m:val="p"/>
            </m:rPr>
            <m:t>=</m:t>
          </m:r>
          <m:r>
            <m:t>δ</m:t>
          </m:r>
          <m:r>
            <m:t>L</m:t>
          </m:r>
          <m:d>
            <m:dPr>
              <m:begChr m:val="("/>
              <m:endChr m:val=")"/>
              <m:sepChr m:val=""/>
              <m:grow/>
            </m:dPr>
            <m:e>
              <m:r>
                <m:t>t</m:t>
              </m:r>
            </m:e>
          </m:d>
          <m:r>
            <m:rPr>
              <m:sty m:val="p"/>
            </m:rPr>
            <m:t>+</m:t>
          </m:r>
          <m:r>
            <m:t>λ</m:t>
          </m:r>
          <m:r>
            <m:t> </m:t>
          </m:r>
          <m:d>
            <m:dPr>
              <m:begChr m:val="("/>
              <m:endChr m:val=")"/>
              <m:sepChr m:val=""/>
              <m:grow/>
            </m:dPr>
            <m:e>
              <m:sSup>
                <m:e>
                  <m:r>
                    <m:t>L</m:t>
                  </m:r>
                </m:e>
                <m:sup>
                  <m:r>
                    <m:rPr>
                      <m:sty m:val="p"/>
                    </m:rPr>
                    <m:t>*</m:t>
                  </m:r>
                </m:sup>
              </m:sSup>
              <m:r>
                <m:rPr>
                  <m:sty m:val="p"/>
                </m:rPr>
                <m:t>−</m:t>
              </m:r>
              <m:r>
                <m:t>L</m:t>
              </m:r>
              <m:d>
                <m:dPr>
                  <m:begChr m:val="("/>
                  <m:endChr m:val=")"/>
                  <m:sepChr m:val=""/>
                  <m:grow/>
                </m:dPr>
                <m:e>
                  <m:r>
                    <m:t>t</m:t>
                  </m:r>
                </m:e>
              </m:d>
            </m:e>
          </m:d>
          <m:r>
            <m:rPr>
              <m:sty m:val="p"/>
            </m:rPr>
            <m:t>.</m:t>
          </m:r>
          <m:r>
            <m:t>  </m:t>
          </m:r>
          <m:d>
            <m:dPr>
              <m:begChr m:val="("/>
              <m:endChr m:val=")"/>
              <m:sepChr m:val=""/>
              <m:grow/>
            </m:dPr>
            <m:e>
              <m:r>
                <m:t>4</m:t>
              </m:r>
            </m:e>
          </m:d>
        </m:oMath>
      </m:oMathPara>
    </w:p>
    <w:p>
      <w:pPr>
        <w:pStyle w:val="FirstParagraph"/>
        <w:spacing w:line="480" w:lineRule="auto" w:after="0" w:before="0"/>
        <w:ind w:firstLine="720"/>
        <w:jc w:val="left"/>
      </w:pPr>
      <w:r>
        <w:rPr>
          <w:bCs/>
          <w:rFonts w:ascii="Times New Roman" w:hAnsi="Times New Roman" w:eastAsia="Times New Roman" w:cs="Times New Roman"/>
          <w:b/>
        </w:rPr>
        <w:t xml:space="preserve">Proposition 3 (attrition lag).</w:t>
      </w:r>
      <w:r>
        <w:rPr>
          <w:rFonts w:ascii="Times New Roman" w:hAnsi="Times New Roman" w:eastAsia="Times New Roman" w:cs="Times New Roman"/>
        </w:rPr>
        <w:t xml:space="preserve"> </w:t>
      </w:r>
      <w:r>
        <w:rPr>
          <w:iCs/>
          <w:rFonts w:ascii="Times New Roman" w:hAnsi="Times New Roman" w:eastAsia="Times New Roman" w:cs="Times New Roman"/>
          <w:i/>
        </w:rPr>
        <w:t xml:space="preserve">Under equation (4), (i) hiring in the first period falls by the fraction</w:t>
      </w:r>
      <w:r>
        <w:rPr>
          <w:iCs/>
          <w:rFonts w:ascii="Times New Roman" w:hAnsi="Times New Roman" w:eastAsia="Times New Roman" w:cs="Times New Roman"/>
          <w:i/>
        </w:rPr>
        <w:t xml:space="preserve"> </w:t>
      </w:r>
      <m:oMath>
        <m:d>
          <m:dPr>
            <m:begChr m:val="("/>
            <m:endChr m:val=")"/>
            <m:sepChr m:val=""/>
            <m:grow/>
          </m:dPr>
          <m:e>
            <m:r>
              <m:t>λ</m:t>
            </m:r>
            <m:r>
              <m:rPr>
                <m:sty m:val="p"/>
              </m:rPr>
              <m:t>/</m:t>
            </m:r>
            <m:r>
              <m:t>δ</m:t>
            </m:r>
          </m:e>
        </m:d>
        <m:r>
          <m:t>f</m:t>
        </m:r>
        <m:r>
          <m:rPr>
            <m:sty m:val="p"/>
          </m:rPr>
          <m:t>≤</m:t>
        </m:r>
        <m:r>
          <m:t>f</m:t>
        </m:r>
      </m:oMath>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and converges to a fall of</w:t>
      </w:r>
      <w:r>
        <w:rPr>
          <w:iCs/>
          <w:rFonts w:ascii="Times New Roman" w:hAnsi="Times New Roman" w:eastAsia="Times New Roman" w:cs="Times New Roman"/>
          <w:i/>
        </w:rPr>
        <w:t xml:space="preserve"> </w:t>
      </w:r>
      <m:oMath>
        <m:r>
          <m:t>f</m:t>
        </m:r>
      </m:oMath>
      <w:r>
        <w:rPr>
          <w:iCs/>
          <w:rFonts w:ascii="Times New Roman" w:hAnsi="Times New Roman" w:eastAsia="Times New Roman" w:cs="Times New Roman"/>
          <w:i/>
        </w:rPr>
        <w:t xml:space="preserve">, so the decline in adverts never exceeds the decline in target employment, and equation (5) below, which gives the coefficient implied by</w:t>
      </w:r>
      <w:r>
        <w:rPr>
          <w:iCs/>
          <w:rFonts w:ascii="Times New Roman" w:hAnsi="Times New Roman" w:eastAsia="Times New Roman" w:cs="Times New Roman"/>
          <w:i/>
        </w:rPr>
        <w:t xml:space="preserve"> </w:t>
      </w:r>
      <m:oMath>
        <m:r>
          <m:t>f</m:t>
        </m:r>
      </m:oMath>
      <w:r>
        <w:rPr>
          <w:iCs/>
          <w:rFonts w:ascii="Times New Roman" w:hAnsi="Times New Roman" w:eastAsia="Times New Roman" w:cs="Times New Roman"/>
          <w:i/>
        </w:rPr>
        <w:t xml:space="preserve">, is an upper bound for adverts as well as for employment; (ii) employment closes only a fraction</w:t>
      </w:r>
      <w:r>
        <w:rPr>
          <w:iCs/>
          <w:rFonts w:ascii="Times New Roman" w:hAnsi="Times New Roman" w:eastAsia="Times New Roman" w:cs="Times New Roman"/>
          <w:i/>
        </w:rPr>
        <w:t xml:space="preserve"> </w:t>
      </w:r>
      <m:oMath>
        <m:r>
          <m:t>1</m:t>
        </m:r>
        <m:r>
          <m:rPr>
            <m:sty m:val="p"/>
          </m:rPr>
          <m:t>−</m:t>
        </m:r>
        <m:sSup>
          <m:e>
            <m:d>
              <m:dPr>
                <m:begChr m:val="("/>
                <m:endChr m:val=")"/>
                <m:sepChr m:val=""/>
                <m:grow/>
              </m:dPr>
              <m:e>
                <m:r>
                  <m:t>1</m:t>
                </m:r>
                <m:r>
                  <m:rPr>
                    <m:sty m:val="p"/>
                  </m:rPr>
                  <m:t>−</m:t>
                </m:r>
                <m:r>
                  <m:t>λ</m:t>
                </m:r>
              </m:e>
            </m:d>
          </m:e>
          <m:sup>
            <m:r>
              <m:t>T</m:t>
            </m:r>
          </m:sup>
        </m:sSup>
      </m:oMath>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of the gap after</w:t>
      </w:r>
      <w:r>
        <w:rPr>
          <w:iCs/>
          <w:rFonts w:ascii="Times New Roman" w:hAnsi="Times New Roman" w:eastAsia="Times New Roman" w:cs="Times New Roman"/>
          <w:i/>
        </w:rPr>
        <w:t xml:space="preserve"> </w:t>
      </w:r>
      <m:oMath>
        <m:r>
          <m:t>T</m:t>
        </m:r>
      </m:oMath>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periods. With</w:t>
      </w:r>
      <w:r>
        <w:rPr>
          <w:iCs/>
          <w:rFonts w:ascii="Times New Roman" w:hAnsi="Times New Roman" w:eastAsia="Times New Roman" w:cs="Times New Roman"/>
          <w:i/>
        </w:rPr>
        <w:t xml:space="preserve"> </w:t>
      </w:r>
      <m:oMath>
        <m:r>
          <m:t>λ</m:t>
        </m:r>
        <m:r>
          <m:rPr>
            <m:sty m:val="p"/>
          </m:rPr>
          <m:t>=</m:t>
        </m:r>
        <m:r>
          <m:t>0.10</m:t>
        </m:r>
      </m:oMath>
      <w:r>
        <w:rPr>
          <w:iCs/>
          <w:rFonts w:ascii="Times New Roman" w:hAnsi="Times New Roman" w:eastAsia="Times New Roman" w:cs="Times New Roman"/>
          <w:i/>
        </w:rPr>
        <w:t xml:space="preserve">, for example, 19 percent of the gap is closed after two years and 41 percent after five.</w:t>
      </w:r>
    </w:p>
    <w:p>
      <w:pPr>
        <w:pStyle w:val="BodyText"/>
        <w:spacing w:line="480" w:lineRule="auto" w:after="0" w:before="0"/>
        <w:ind w:firstLine="720"/>
        <w:jc w:val="left"/>
      </w:pPr>
      <w:r>
        <w:rPr>
          <w:rFonts w:ascii="Times New Roman" w:hAnsi="Times New Roman" w:eastAsia="Times New Roman" w:cs="Times New Roman"/>
        </w:rPr>
        <w:t xml:space="preserve">Two consequences follow. Employment series, such as those in Section 7.3, can show no contraction for years after assimilation has begun, so adverts are the earlier signal, though not a larger one. And a decline that began before the technology, because of structural change in the industries that employ the occupation, enters as a lower target employment at an earlier date and follows the same dynamics. A pre-existing trend in adverts and a target cut caused by the technology cannot be told apart without firm-level data that observe use of the tool.</w:t>
      </w:r>
    </w:p>
    <w:bookmarkEnd w:id="31"/>
    <w:bookmarkStart w:id="32" w:name="competing-accounts"/>
    <w:p>
      <w:pPr>
        <w:pStyle w:val="Heading3"/>
      </w:pPr>
      <w:r>
        <w:rPr>
          <w:rFonts w:ascii="Times New Roman" w:hAnsi="Times New Roman" w:eastAsia="Times New Roman" w:cs="Times New Roman"/>
        </w:rPr>
        <w:t xml:space="preserve">3.7 Competing Accounts</w:t>
      </w:r>
    </w:p>
    <w:p>
      <w:pPr>
        <w:pStyle w:val="FirstParagraph"/>
        <w:spacing w:line="240" w:lineRule="auto" w:after="120" w:before="0"/>
        <w:ind w:firstLine="0"/>
        <w:jc w:val="left"/>
      </w:pPr>
      <w:r>
        <w:rPr>
          <w:rFonts w:ascii="Times New Roman" w:hAnsi="Times New Roman" w:eastAsia="Times New Roman" w:cs="Times New Roman"/>
        </w:rPr>
        <w:t xml:space="preserve">Table 1 sets out four accounts and what each predicts for four observables. Only the first three columns are observed in this paper. The fourth, the firm-level link between use and hiring, is what discriminates among the last three accounts.</w:t>
      </w:r>
    </w:p>
    <w:p>
      <w:pPr>
        <w:pStyle w:val="BodyText"/>
        <w:spacing w:line="240" w:lineRule="auto" w:after="120" w:before="0"/>
        <w:ind w:firstLine="0"/>
        <w:jc w:val="left"/>
      </w:pPr>
      <w:r>
        <w:rPr>
          <w:bCs/>
          <w:rFonts w:ascii="Times New Roman" w:hAnsi="Times New Roman" w:eastAsia="Times New Roman" w:cs="Times New Roman"/>
          <w:b/>
        </w:rPr>
        <w:t xml:space="preserve">Table 1. Competing accounts and their observable implications</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1584"/>
        <w:gridCol w:w="1584"/>
        <w:gridCol w:w="1584"/>
        <w:gridCol w:w="1584"/>
        <w:gridCol w:w="1584"/>
      </w:tblGrid>
      <w:tr>
        <w:trPr>
          <w:tblHeader w:val="true"/>
        </w:trPr>
        <w:tc>
          <w:tcPr>
            <w:tcBorders>
              <w:bottom w:val="single" w:sz="6" w:color="000000"/>
            </w:tcBorders>
          </w:tcPr>
          <w:p>
            <w:pPr>
              <w:pStyle w:val="Compact"/>
              <w:spacing w:line="240" w:lineRule="auto" w:after="40"/>
              <w:ind w:firstLine="0"/>
              <w:jc w:val="left"/>
            </w:pPr>
            <w:r>
              <w:rPr>
                <w:rFonts w:ascii="Times New Roman" w:hAnsi="Times New Roman"/>
                <w:b/>
                <w:sz w:val="19"/>
              </w:rPr>
              <w:t xml:space="preserve">Account</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Acquisition (</w:t>
            </w:r>
            <m:oMath>
              <m:sSup>
                <m:e>
                  <m:r>
                    <m:t>A</m:t>
                  </m:r>
                </m:e>
                <m:sup>
                  <m:r>
                    <m:t>u</m:t>
                  </m:r>
                </m:sup>
              </m:sSup>
            </m:oMath>
            <w:r>
              <w:rPr>
                <w:rFonts w:ascii="Times New Roman" w:hAnsi="Times New Roman"/>
                <w:b/>
                <w:sz w:val="19"/>
              </w:rPr>
              <w:t xml:space="preserve">)</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Barriers cited by non-adopters</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Occupation-level hiring</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Firm-level link (not observed here)</w:t>
            </w:r>
          </w:p>
        </w:tc>
      </w:tr>
      <w:tr>
        <w:tc>
          <w:tcPr/>
          <w:p>
            <w:pPr>
              <w:pStyle w:val="Compact"/>
              <w:spacing w:line="240" w:lineRule="auto" w:after="40"/>
              <w:ind w:firstLine="0"/>
              <w:jc w:val="left"/>
            </w:pPr>
            <w:r>
              <w:rPr>
                <w:rFonts w:ascii="Times New Roman" w:hAnsi="Times New Roman"/>
                <w:sz w:val="19"/>
              </w:rPr>
              <w:t xml:space="preserve">Capability failure</w:t>
            </w:r>
          </w:p>
        </w:tc>
        <w:tc>
          <w:tcPr/>
          <w:p>
            <w:pPr>
              <w:pStyle w:val="Compact"/>
              <w:spacing w:line="240" w:lineRule="auto" w:after="40"/>
              <w:ind w:firstLine="0"/>
              <w:jc w:val="left"/>
            </w:pPr>
            <w:r>
              <w:rPr>
                <w:rFonts w:ascii="Times New Roman" w:hAnsi="Times New Roman"/>
                <w:sz w:val="19"/>
              </w:rPr>
              <w:t xml:space="preserve">Low</w:t>
            </w:r>
          </w:p>
        </w:tc>
        <w:tc>
          <w:tcPr/>
          <w:p>
            <w:pPr>
              <w:pStyle w:val="Compact"/>
              <w:spacing w:line="240" w:lineRule="auto" w:after="40"/>
              <w:ind w:firstLine="0"/>
              <w:jc w:val="left"/>
            </w:pPr>
            <w:r>
              <w:rPr>
                <w:rFonts w:ascii="Times New Roman" w:hAnsi="Times New Roman"/>
                <w:sz w:val="19"/>
              </w:rPr>
              <w:t xml:space="preserve">“</w:t>
            </w:r>
            <w:r>
              <w:rPr>
                <w:rFonts w:ascii="Times New Roman" w:hAnsi="Times New Roman"/>
                <w:sz w:val="19"/>
              </w:rPr>
              <w:t xml:space="preserve">Not useful</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dominant</w:t>
            </w:r>
          </w:p>
        </w:tc>
        <w:tc>
          <w:tcPr/>
          <w:p>
            <w:pPr>
              <w:pStyle w:val="Compact"/>
              <w:spacing w:line="240" w:lineRule="auto" w:after="40"/>
              <w:ind w:firstLine="0"/>
              <w:jc w:val="left"/>
            </w:pPr>
            <w:r>
              <w:rPr>
                <w:rFonts w:ascii="Times New Roman" w:hAnsi="Times New Roman"/>
                <w:sz w:val="19"/>
              </w:rPr>
              <w:t xml:space="preserve">No change</w:t>
            </w:r>
          </w:p>
        </w:tc>
        <w:tc>
          <w:tcPr/>
          <w:p>
            <w:pPr>
              <w:pStyle w:val="Compact"/>
              <w:spacing w:line="240" w:lineRule="auto" w:after="40"/>
              <w:ind w:firstLine="0"/>
              <w:jc w:val="left"/>
            </w:pPr>
            <w:r>
              <w:rPr>
                <w:rFonts w:ascii="Times New Roman" w:hAnsi="Times New Roman"/>
                <w:sz w:val="19"/>
              </w:rPr>
              <w:t xml:space="preserve">Users do not reassign tasks</w:t>
            </w:r>
          </w:p>
        </w:tc>
      </w:tr>
      <w:tr>
        <w:tc>
          <w:tcPr/>
          <w:p>
            <w:pPr>
              <w:pStyle w:val="Compact"/>
              <w:spacing w:line="240" w:lineRule="auto" w:after="40"/>
              <w:ind w:firstLine="0"/>
              <w:jc w:val="left"/>
            </w:pPr>
            <w:r>
              <w:rPr>
                <w:rFonts w:ascii="Times New Roman" w:hAnsi="Times New Roman"/>
                <w:sz w:val="19"/>
              </w:rPr>
              <w:t xml:space="preserve">Complete assimilation, net substitution</w:t>
            </w:r>
          </w:p>
        </w:tc>
        <w:tc>
          <w:tcPr/>
          <w:p>
            <w:pPr>
              <w:pStyle w:val="Compact"/>
              <w:spacing w:line="240" w:lineRule="auto" w:after="40"/>
              <w:ind w:firstLine="0"/>
              <w:jc w:val="left"/>
            </w:pPr>
            <w:r>
              <w:rPr>
                <w:rFonts w:ascii="Times New Roman" w:hAnsi="Times New Roman"/>
                <w:sz w:val="19"/>
              </w:rPr>
              <w:t xml:space="preserve">Substantial</w:t>
            </w:r>
          </w:p>
        </w:tc>
        <w:tc>
          <w:tcPr/>
          <w:p>
            <w:pPr>
              <w:pStyle w:val="Compact"/>
              <w:spacing w:line="240" w:lineRule="auto" w:after="40"/>
              <w:ind w:firstLine="0"/>
              <w:jc w:val="left"/>
            </w:pPr>
            <w:r>
              <w:rPr>
                <w:rFonts w:ascii="Times New Roman" w:hAnsi="Times New Roman"/>
                <w:sz w:val="19"/>
              </w:rPr>
              <w:t xml:space="preserve">Any</w:t>
            </w:r>
          </w:p>
        </w:tc>
        <w:tc>
          <w:tcPr/>
          <w:p>
            <w:pPr>
              <w:pStyle w:val="Compact"/>
              <w:spacing w:line="240" w:lineRule="auto" w:after="40"/>
              <w:ind w:firstLine="0"/>
              <w:jc w:val="left"/>
            </w:pPr>
            <m:oMath>
              <m:r>
                <m:t>Δ</m:t>
              </m:r>
              <m:r>
                <m:rPr>
                  <m:sty m:val="p"/>
                </m:rPr>
                <m:t>ln</m:t>
              </m:r>
              <m:r>
                <m:t>N</m:t>
              </m:r>
              <m:r>
                <m:rPr>
                  <m:sty m:val="p"/>
                </m:rPr>
                <m:t>≈</m:t>
              </m:r>
              <m:r>
                <m:t>s</m:t>
              </m:r>
              <m:r>
                <m:rPr>
                  <m:sty m:val="p"/>
                </m:rPr>
                <m:t>⋅</m:t>
              </m:r>
              <m:sSup>
                <m:e>
                  <m:r>
                    <m:t>A</m:t>
                  </m:r>
                </m:e>
                <m:sup>
                  <m:r>
                    <m:t>u</m:t>
                  </m:r>
                </m:sup>
              </m:sSup>
              <m:r>
                <m:rPr>
                  <m:sty m:val="p"/>
                </m:rPr>
                <m:t>⋅</m:t>
              </m:r>
              <m:r>
                <m:t>β</m:t>
              </m:r>
            </m:oMath>
            <w:r>
              <w:rPr>
                <w:rFonts w:ascii="Times New Roman" w:hAnsi="Times New Roman"/>
                <w:sz w:val="19"/>
              </w:rPr>
              <w:t xml:space="preserve">,</w:t>
            </w:r>
            <w:r>
              <w:rPr>
                <w:rFonts w:ascii="Times New Roman" w:hAnsi="Times New Roman"/>
                <w:sz w:val="19"/>
              </w:rPr>
              <w:t xml:space="preserve"> </w:t>
            </w:r>
            <m:oMath>
              <m:r>
                <m:t>β</m:t>
              </m:r>
              <m:r>
                <m:rPr>
                  <m:sty m:val="p"/>
                </m:rPr>
                <m:t>&lt;</m:t>
              </m:r>
              <m:r>
                <m:t>0</m:t>
              </m:r>
            </m:oMath>
          </w:p>
        </w:tc>
        <w:tc>
          <w:tcPr/>
          <w:p>
            <w:pPr>
              <w:pStyle w:val="Compact"/>
              <w:spacing w:line="240" w:lineRule="auto" w:after="40"/>
              <w:ind w:firstLine="0"/>
              <w:jc w:val="left"/>
            </w:pPr>
            <w:r>
              <w:rPr>
                <w:rFonts w:ascii="Times New Roman" w:hAnsi="Times New Roman"/>
                <w:sz w:val="19"/>
              </w:rPr>
              <w:t xml:space="preserve">Users cut visual hiring relative to non-users</w:t>
            </w:r>
          </w:p>
        </w:tc>
      </w:tr>
      <w:tr>
        <w:tc>
          <w:tcPr/>
          <w:p>
            <w:pPr>
              <w:pStyle w:val="Compact"/>
              <w:spacing w:line="240" w:lineRule="auto" w:after="40"/>
              <w:ind w:firstLine="0"/>
              <w:jc w:val="left"/>
            </w:pPr>
            <w:r>
              <w:rPr>
                <w:rFonts w:ascii="Times New Roman" w:hAnsi="Times New Roman"/>
                <w:sz w:val="19"/>
              </w:rPr>
              <w:t xml:space="preserve">Assimilation, offsetting scale</w:t>
            </w:r>
          </w:p>
        </w:tc>
        <w:tc>
          <w:tcPr/>
          <w:p>
            <w:pPr>
              <w:pStyle w:val="Compact"/>
              <w:spacing w:line="240" w:lineRule="auto" w:after="40"/>
              <w:ind w:firstLine="0"/>
              <w:jc w:val="left"/>
            </w:pPr>
            <w:r>
              <w:rPr>
                <w:rFonts w:ascii="Times New Roman" w:hAnsi="Times New Roman"/>
                <w:sz w:val="19"/>
              </w:rPr>
              <w:t xml:space="preserve">Substantial</w:t>
            </w:r>
          </w:p>
        </w:tc>
        <w:tc>
          <w:tcPr/>
          <w:p>
            <w:pPr>
              <w:pStyle w:val="Compact"/>
              <w:spacing w:line="240" w:lineRule="auto" w:after="40"/>
              <w:ind w:firstLine="0"/>
              <w:jc w:val="left"/>
            </w:pPr>
            <w:r>
              <w:rPr>
                <w:rFonts w:ascii="Times New Roman" w:hAnsi="Times New Roman"/>
                <w:sz w:val="19"/>
              </w:rPr>
              <w:t xml:space="preserve">Any</w:t>
            </w:r>
          </w:p>
        </w:tc>
        <w:tc>
          <w:tcPr/>
          <w:p>
            <w:pPr>
              <w:pStyle w:val="Compact"/>
              <w:spacing w:line="240" w:lineRule="auto" w:after="40"/>
              <w:ind w:firstLine="0"/>
              <w:jc w:val="left"/>
            </w:pPr>
            <m:oMath>
              <m:r>
                <m:t>Δ</m:t>
              </m:r>
              <m:r>
                <m:rPr>
                  <m:sty m:val="p"/>
                </m:rPr>
                <m:t>ln</m:t>
              </m:r>
              <m:r>
                <m:t>N</m:t>
              </m:r>
              <m:r>
                <m:rPr>
                  <m:sty m:val="p"/>
                </m:rPr>
                <m:t>≈</m:t>
              </m:r>
              <m:r>
                <m:t>0</m:t>
              </m:r>
            </m:oMath>
          </w:p>
        </w:tc>
        <w:tc>
          <w:tcPr/>
          <w:p>
            <w:pPr>
              <w:pStyle w:val="Compact"/>
              <w:spacing w:line="240" w:lineRule="auto" w:after="40"/>
              <w:ind w:firstLine="0"/>
              <w:jc w:val="left"/>
            </w:pPr>
            <w:r>
              <w:rPr>
                <w:rFonts w:ascii="Times New Roman" w:hAnsi="Times New Roman"/>
                <w:sz w:val="19"/>
              </w:rPr>
              <w:t xml:space="preserve">Users reassign tasks; hiring unchanged; postings shift toward direction and review</w:t>
            </w:r>
          </w:p>
        </w:tc>
      </w:tr>
      <w:tr>
        <w:tc>
          <w:tcPr/>
          <w:p>
            <w:pPr>
              <w:pStyle w:val="Compact"/>
              <w:spacing w:line="240" w:lineRule="auto" w:after="40"/>
              <w:ind w:firstLine="0"/>
              <w:jc w:val="left"/>
            </w:pPr>
            <w:r>
              <w:rPr>
                <w:rFonts w:ascii="Times New Roman" w:hAnsi="Times New Roman"/>
                <w:sz w:val="19"/>
              </w:rPr>
              <w:t xml:space="preserve">Assimilation gap</w:t>
            </w:r>
          </w:p>
        </w:tc>
        <w:tc>
          <w:tcPr/>
          <w:p>
            <w:pPr>
              <w:pStyle w:val="Compact"/>
              <w:spacing w:line="240" w:lineRule="auto" w:after="40"/>
              <w:ind w:firstLine="0"/>
              <w:jc w:val="left"/>
            </w:pPr>
            <w:r>
              <w:rPr>
                <w:rFonts w:ascii="Times New Roman" w:hAnsi="Times New Roman"/>
                <w:sz w:val="19"/>
              </w:rPr>
              <w:t xml:space="preserve">Substantial</w:t>
            </w:r>
          </w:p>
        </w:tc>
        <w:tc>
          <w:tcPr/>
          <w:p>
            <w:pPr>
              <w:pStyle w:val="Compact"/>
              <w:spacing w:line="240" w:lineRule="auto" w:after="40"/>
              <w:ind w:firstLine="0"/>
              <w:jc w:val="left"/>
            </w:pPr>
            <w:r>
              <w:rPr>
                <w:rFonts w:ascii="Times New Roman" w:hAnsi="Times New Roman"/>
                <w:sz w:val="19"/>
              </w:rPr>
              <w:t xml:space="preserve">Complements (expertise, legal, privacy) dominant</w:t>
            </w:r>
          </w:p>
        </w:tc>
        <w:tc>
          <w:tcPr/>
          <w:p>
            <w:pPr>
              <w:pStyle w:val="Compact"/>
              <w:spacing w:line="240" w:lineRule="auto" w:after="40"/>
              <w:ind w:firstLine="0"/>
              <w:jc w:val="left"/>
            </w:pPr>
            <m:oMath>
              <m:r>
                <m:t>Δ</m:t>
              </m:r>
              <m:r>
                <m:rPr>
                  <m:sty m:val="p"/>
                </m:rPr>
                <m:t>ln</m:t>
              </m:r>
              <m:r>
                <m:t>N</m:t>
              </m:r>
              <m:r>
                <m:rPr>
                  <m:sty m:val="p"/>
                </m:rPr>
                <m:t>≈</m:t>
              </m:r>
              <m:r>
                <m:t>s</m:t>
              </m:r>
              <m:r>
                <m:rPr>
                  <m:sty m:val="p"/>
                </m:rPr>
                <m:t>⋅</m:t>
              </m:r>
              <m:sSup>
                <m:e>
                  <m:r>
                    <m:t>A</m:t>
                  </m:r>
                </m:e>
                <m:sup>
                  <m:r>
                    <m:t>u</m:t>
                  </m:r>
                </m:sup>
              </m:sSup>
              <m:r>
                <m:rPr>
                  <m:sty m:val="p"/>
                </m:rPr>
                <m:t>⋅</m:t>
              </m:r>
              <m:r>
                <m:t>β</m:t>
              </m:r>
            </m:oMath>
            <w:r>
              <w:rPr>
                <w:rFonts w:ascii="Times New Roman" w:hAnsi="Times New Roman"/>
                <w:sz w:val="19"/>
              </w:rPr>
              <w:t xml:space="preserve">, small</w:t>
            </w:r>
          </w:p>
        </w:tc>
        <w:tc>
          <w:tcPr/>
          <w:p>
            <w:pPr>
              <w:pStyle w:val="Compact"/>
              <w:spacing w:line="240" w:lineRule="auto" w:after="40"/>
              <w:ind w:firstLine="0"/>
              <w:jc w:val="left"/>
            </w:pPr>
            <w:r>
              <w:rPr>
                <w:rFonts w:ascii="Times New Roman" w:hAnsi="Times New Roman"/>
                <w:sz w:val="19"/>
              </w:rPr>
              <w:t xml:space="preserve">Few users reassign tasks; reassignment rises with</w:t>
            </w:r>
            <w:r>
              <w:rPr>
                <w:rFonts w:ascii="Times New Roman" w:hAnsi="Times New Roman"/>
                <w:sz w:val="19"/>
              </w:rPr>
              <w:t xml:space="preserve"> </w:t>
            </w:r>
            <m:oMath>
              <m:r>
                <m:t>K</m:t>
              </m:r>
            </m:oMath>
          </w:p>
        </w:tc>
      </w:tr>
    </w:tbl>
    <w:p>
      <w:pPr>
        <w:pStyle w:val="BodyText"/>
        <w:spacing w:line="240" w:lineRule="auto" w:after="120" w:before="0"/>
        <w:ind w:firstLine="0"/>
        <w:jc w:val="left"/>
      </w:pPr>
      <w:r>
        <w:rPr>
          <w:iCs/>
          <w:rFonts w:ascii="Times New Roman" w:hAnsi="Times New Roman" w:eastAsia="Times New Roman" w:cs="Times New Roman"/>
          <w:i/>
        </w:rPr>
        <w:t xml:space="preserve">Notes.</w:t>
      </w:r>
      <w:r>
        <w:rPr>
          <w:rFonts w:ascii="Times New Roman" w:hAnsi="Times New Roman" w:eastAsia="Times New Roman" w:cs="Times New Roman"/>
        </w:rPr>
        <w:t xml:space="preserve"> </w:t>
      </w:r>
      <m:oMath>
        <m:sSup>
          <m:e>
            <m:r>
              <m:t>A</m:t>
            </m:r>
          </m:e>
          <m:sup>
            <m:r>
              <m:t>u</m:t>
            </m:r>
          </m:sup>
        </m:sSup>
      </m:oMath>
      <w:r>
        <w:rPr>
          <w:rFonts w:ascii="Times New Roman" w:hAnsi="Times New Roman" w:eastAsia="Times New Roman" w:cs="Times New Roman"/>
        </w:rPr>
        <w:t xml:space="preserve">: share of firms reporting use.</w:t>
      </w:r>
      <w:r>
        <w:rPr>
          <w:rFonts w:ascii="Times New Roman" w:hAnsi="Times New Roman" w:eastAsia="Times New Roman" w:cs="Times New Roman"/>
        </w:rPr>
        <w:t xml:space="preserve"> </w:t>
      </w:r>
      <m:oMath>
        <m:sSup>
          <m:e>
            <m:r>
              <m:t>A</m:t>
            </m:r>
          </m:e>
          <m:sup>
            <m:r>
              <m:t>a</m:t>
            </m:r>
          </m:sup>
        </m:sSup>
      </m:oMath>
      <w:r>
        <w:rPr>
          <w:rFonts w:ascii="Times New Roman" w:hAnsi="Times New Roman" w:eastAsia="Times New Roman" w:cs="Times New Roman"/>
        </w:rPr>
        <w:t xml:space="preserve">: share that have assimilated the occupation’s visual tasks.</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complementary assets. The occupation-level column discriminates among accounts only when</w:t>
      </w:r>
      <w:r>
        <w:rPr>
          <w:rFonts w:ascii="Times New Roman" w:hAnsi="Times New Roman" w:eastAsia="Times New Roman" w:cs="Times New Roman"/>
        </w:rPr>
        <w:t xml:space="preserve"> </w:t>
      </w:r>
      <m:oMath>
        <m:r>
          <m:t>s</m:t>
        </m:r>
        <m:r>
          <m:rPr>
            <m:sty m:val="p"/>
          </m:rPr>
          <m:t>⋅</m:t>
        </m:r>
        <m:sSup>
          <m:e>
            <m:r>
              <m:t>A</m:t>
            </m:r>
          </m:e>
          <m:sup>
            <m:r>
              <m:t>u</m:t>
            </m:r>
          </m:sup>
        </m:sSup>
        <m:r>
          <m:rPr>
            <m:sty m:val="p"/>
          </m:rPr>
          <m:t>⋅</m:t>
        </m:r>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exceeds the minimum detectable effect of the design (Section 4).</w:t>
      </w:r>
    </w:p>
    <w:p>
      <w:pPr>
        <w:pStyle w:val="BodyText"/>
        <w:spacing w:line="480" w:lineRule="auto" w:after="0" w:before="0"/>
        <w:ind w:firstLine="720"/>
        <w:jc w:val="left"/>
      </w:pPr>
      <w:r>
        <w:rPr>
          <w:rFonts w:ascii="Times New Roman" w:hAnsi="Times New Roman" w:eastAsia="Times New Roman" w:cs="Times New Roman"/>
        </w:rPr>
        <w:t xml:space="preserve">From the table we derive two hypotheses that can be examined with current data and one that cannot. Section 3.8 adds the conceptual claims behind H3, and Section 9 proposes the design that would test it.</w:t>
      </w:r>
      <w:r>
        <w:rPr>
          <w:rFonts w:ascii="Times New Roman" w:hAnsi="Times New Roman" w:eastAsia="Times New Roman" w:cs="Times New Roman"/>
        </w:rPr>
        <w:t xml:space="preserve"> </w:t>
      </w:r>
      <w:r>
        <w:rPr>
          <w:bCs/>
          <w:rFonts w:ascii="Times New Roman" w:hAnsi="Times New Roman" w:eastAsia="Times New Roman" w:cs="Times New Roman"/>
          <w:b/>
        </w:rPr>
        <w:t xml:space="preserve">H1 (complements, not capability):</w:t>
      </w:r>
      <w:r>
        <w:rPr>
          <w:rFonts w:ascii="Times New Roman" w:hAnsi="Times New Roman" w:eastAsia="Times New Roman" w:cs="Times New Roman"/>
        </w:rPr>
        <w:t xml:space="preserve"> </w:t>
      </w:r>
      <w:r>
        <w:rPr>
          <w:rFonts w:ascii="Times New Roman" w:hAnsi="Times New Roman" w:eastAsia="Times New Roman" w:cs="Times New Roman"/>
        </w:rPr>
        <w:t xml:space="preserve">among firms that considered AI and did not adopt it, complementary-asset barriers are cited substantially more often than lack of usefulness.</w:t>
      </w:r>
      <w:r>
        <w:rPr>
          <w:rFonts w:ascii="Times New Roman" w:hAnsi="Times New Roman" w:eastAsia="Times New Roman" w:cs="Times New Roman"/>
        </w:rPr>
        <w:t xml:space="preserve"> </w:t>
      </w:r>
      <w:r>
        <w:rPr>
          <w:bCs/>
          <w:rFonts w:ascii="Times New Roman" w:hAnsi="Times New Roman" w:eastAsia="Times New Roman" w:cs="Times New Roman"/>
          <w:b/>
        </w:rPr>
        <w:t xml:space="preserve">H2 (detectability):</w:t>
      </w:r>
      <w:r>
        <w:rPr>
          <w:rFonts w:ascii="Times New Roman" w:hAnsi="Times New Roman" w:eastAsia="Times New Roman" w:cs="Times New Roman"/>
        </w:rPr>
        <w:t xml:space="preserve"> </w:t>
      </w:r>
      <w:r>
        <w:rPr>
          <w:rFonts w:ascii="Times New Roman" w:hAnsi="Times New Roman" w:eastAsia="Times New Roman" w:cs="Times New Roman"/>
        </w:rPr>
        <w:t xml:space="preserve">at current acquisition rates and at platform-sized substitution effects, the occupation-level hiring response implied by complete assimilation lies below the minimum detectable effect of exposure-based designs.</w:t>
      </w:r>
      <w:r>
        <w:rPr>
          <w:rFonts w:ascii="Times New Roman" w:hAnsi="Times New Roman" w:eastAsia="Times New Roman" w:cs="Times New Roman"/>
        </w:rPr>
        <w:t xml:space="preserve"> </w:t>
      </w:r>
      <w:r>
        <w:rPr>
          <w:bCs/>
          <w:rFonts w:ascii="Times New Roman" w:hAnsi="Times New Roman" w:eastAsia="Times New Roman" w:cs="Times New Roman"/>
          <w:b/>
        </w:rPr>
        <w:t xml:space="preserve">H3 (firm-level, a design proposal for future data, not tested here):</w:t>
      </w:r>
      <w:r>
        <w:rPr>
          <w:rFonts w:ascii="Times New Roman" w:hAnsi="Times New Roman" w:eastAsia="Times New Roman" w:cs="Times New Roman"/>
        </w:rPr>
        <w:t xml:space="preserve"> </w:t>
      </w:r>
      <w:r>
        <w:rPr>
          <w:rFonts w:ascii="Times New Roman" w:hAnsi="Times New Roman" w:eastAsia="Times New Roman" w:cs="Times New Roman"/>
        </w:rPr>
        <w:t xml:space="preserve">among acquiring firms, task reassignment increases with</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and hiring for visual occupations falls only among firms that have reassigned tasks.</w:t>
      </w:r>
    </w:p>
    <w:bookmarkEnd w:id="32"/>
    <w:bookmarkStart w:id="33" w:name="extending-assimilation-theory"/>
    <w:p>
      <w:pPr>
        <w:pStyle w:val="Heading3"/>
      </w:pPr>
      <w:r>
        <w:rPr>
          <w:rFonts w:ascii="Times New Roman" w:hAnsi="Times New Roman" w:eastAsia="Times New Roman" w:cs="Times New Roman"/>
        </w:rPr>
        <w:t xml:space="preserve">3.8 Extending Assimilation Theory</w:t>
      </w:r>
    </w:p>
    <w:p>
      <w:pPr>
        <w:pStyle w:val="FirstParagraph"/>
        <w:spacing w:line="480" w:lineRule="auto" w:after="0" w:before="0"/>
        <w:ind w:firstLine="720"/>
        <w:jc w:val="left"/>
      </w:pPr>
      <w:r>
        <w:rPr>
          <w:rFonts w:ascii="Times New Roman" w:hAnsi="Times New Roman" w:eastAsia="Times New Roman" w:cs="Times New Roman"/>
        </w:rPr>
        <w:t xml:space="preserve">The model carries three claims that go beyond restating the assimilation gap for a new technology. We state them as conceptual claims, not as results of this paper, and Section 9 sets out how each could be tested.</w:t>
      </w:r>
    </w:p>
    <w:p>
      <w:pPr>
        <w:pStyle w:val="BodyText"/>
        <w:spacing w:line="480" w:lineRule="auto" w:after="0" w:before="0"/>
        <w:ind w:firstLine="720"/>
        <w:jc w:val="left"/>
      </w:pPr>
      <w:r>
        <w:rPr>
          <w:iCs/>
          <w:rFonts w:ascii="Times New Roman" w:hAnsi="Times New Roman" w:eastAsia="Times New Roman" w:cs="Times New Roman"/>
          <w:i/>
        </w:rPr>
        <w:t xml:space="preserve">Judgment complements differ from production complements.</w:t>
      </w:r>
      <w:r>
        <w:rPr>
          <w:rFonts w:ascii="Times New Roman" w:hAnsi="Times New Roman" w:eastAsia="Times New Roman" w:cs="Times New Roman"/>
        </w:rPr>
        <w:t xml:space="preserve"> </w:t>
      </w:r>
      <w:r>
        <w:rPr>
          <w:rFonts w:ascii="Times New Roman" w:hAnsi="Times New Roman" w:eastAsia="Times New Roman" w:cs="Times New Roman"/>
        </w:rPr>
        <w:t xml:space="preserve">In the classic account, knowledge barriers impede building the competence needed to make a technology work (Attewell, 1992; Fichman &amp; Kemerer, 1999). Complementary assets in the resource-based tradition are likewise those a firm needs to produce and capture value from an innovation (Teece, 1986; Wade &amp; Hulland, 2004). Generative tools remove most of this production barrier, since a person can operate a generator on the first day. What remains is a different kind of complement: the capacity to judge whether an output is acceptable, which here consists of expertise, review capacity, and compliance procedures. Production complements govern whether a technology can be used, whereas judgment complements govern whether its output can be relied on in place of human work. The distinction is close to absorptive capacity (Cohen &amp; Levinthal, 1990), the ability to recognize and apply external knowledge, with the difference that the object recognized is a machine’s output on a specific task and not a body of outside knowledge. Treating the two classes of complements separately explains why a tool that is easy to use can still be hard to assimilate.</w:t>
      </w:r>
    </w:p>
    <w:p>
      <w:pPr>
        <w:pStyle w:val="BodyText"/>
        <w:spacing w:line="480" w:lineRule="auto" w:after="0" w:before="0"/>
        <w:ind w:firstLine="720"/>
        <w:jc w:val="left"/>
      </w:pPr>
      <w:r>
        <w:rPr>
          <w:iCs/>
          <w:rFonts w:ascii="Times New Roman" w:hAnsi="Times New Roman" w:eastAsia="Times New Roman" w:cs="Times New Roman"/>
          <w:i/>
        </w:rPr>
        <w:t xml:space="preserve">Acquisition is informative about assimilation in proportion to its cost.</w:t>
      </w:r>
      <w:r>
        <w:rPr>
          <w:rFonts w:ascii="Times New Roman" w:hAnsi="Times New Roman" w:eastAsia="Times New Roman" w:cs="Times New Roman"/>
        </w:rPr>
        <w:t xml:space="preserve"> </w:t>
      </w:r>
      <w:r>
        <w:rPr>
          <w:rFonts w:ascii="Times New Roman" w:hAnsi="Times New Roman" w:eastAsia="Times New Roman" w:cs="Times New Roman"/>
        </w:rPr>
        <w:t xml:space="preserve">When acquiring a technology requires a large commitment, a firm that acquires it has typically decided to reorganize work around it, and acquisition counts therefore carry information about deployment. As acquisition cost falls toward zero, firms acquire to explore, and acquisition counts carry less information about deployment. The conditional probability that an acquiring firm has assimilated a task is therefore lower for generative tools than for earlier technologies, even when the tool is valuable once assimilated. This implies that the assimilation gap should widen as acquisition becomes cheaper, which reverses the usual expectation that falling costs speed diffusion into use. We do not derive this formally; it follows from the threshold in equation (1) combined with free acquisition, and it is the claim most in need of firm-level evidence.</w:t>
      </w:r>
    </w:p>
    <w:p>
      <w:pPr>
        <w:pStyle w:val="BodyText"/>
        <w:spacing w:line="480" w:lineRule="auto" w:after="0" w:before="0"/>
        <w:ind w:firstLine="720"/>
        <w:jc w:val="left"/>
      </w:pPr>
      <w:r>
        <w:rPr>
          <w:iCs/>
          <w:rFonts w:ascii="Times New Roman" w:hAnsi="Times New Roman" w:eastAsia="Times New Roman" w:cs="Times New Roman"/>
          <w:i/>
        </w:rPr>
        <w:t xml:space="preserve">Assimilation is a property of the task, not of the firm.</w:t>
      </w:r>
      <w:r>
        <w:rPr>
          <w:rFonts w:ascii="Times New Roman" w:hAnsi="Times New Roman" w:eastAsia="Times New Roman" w:cs="Times New Roman"/>
        </w:rPr>
        <w:t xml:space="preserve"> </w:t>
      </w:r>
      <w:r>
        <w:rPr>
          <w:rFonts w:ascii="Times New Roman" w:hAnsi="Times New Roman" w:eastAsia="Times New Roman" w:cs="Times New Roman"/>
        </w:rPr>
        <w:t xml:space="preserve">Assimilation scales used in earlier work, such as routinization and infusion (Cooper &amp; Zmud, 1990), describe how deeply a firm has embedded a technology. In our model a firm that has acquired the same generator can have assimilated some visual tasks and not others, because the review cost relative to the cost of human production differs across tasks, and a single firm-level score hides this variation. The unit of analysis for assimilation should be the task, with the firm as the setting in which review capacity is supplied. This also means that within-firm comparisons across tasks can identify the mechanism with firm characteristics held fixed.</w:t>
      </w:r>
    </w:p>
    <w:p>
      <w:pPr>
        <w:pStyle w:val="BodyText"/>
        <w:spacing w:line="480" w:lineRule="auto" w:after="0" w:before="0"/>
        <w:ind w:firstLine="720"/>
        <w:jc w:val="left"/>
      </w:pPr>
      <w:r>
        <w:rPr>
          <w:iCs/>
          <w:rFonts w:ascii="Times New Roman" w:hAnsi="Times New Roman" w:eastAsia="Times New Roman" w:cs="Times New Roman"/>
          <w:i/>
        </w:rPr>
        <w:t xml:space="preserve">Boundary conditions.</w:t>
      </w:r>
      <w:r>
        <w:rPr>
          <w:rFonts w:ascii="Times New Roman" w:hAnsi="Times New Roman" w:eastAsia="Times New Roman" w:cs="Times New Roman"/>
        </w:rPr>
        <w:t xml:space="preserve"> </w:t>
      </w:r>
      <w:r>
        <w:rPr>
          <w:rFonts w:ascii="Times New Roman" w:hAnsi="Times New Roman" w:eastAsia="Times New Roman" w:cs="Times New Roman"/>
        </w:rPr>
        <w:t xml:space="preserve">The account is not a general claim about generative AI. It predicts a smaller assimilation gap where output can be verified cheaply and mechanically (for example, code that is checked by tests), where the reviewer is also the buyer of the output, as on freelance platforms, or where no compliance regime binds. It predicts a larger gap for tasks whose output is judged by taste or by legal exposure, such as brand imagery and licensed content. The platform estimates in Section 2.3 are consistent with the first two conditions. Finally, the model abstracts from how review routines form. Studies of technology appropriation and of the routines that grow around technology (Leonardi, 2011; Orlikowski, 2000) are where that process is described, and we treat its outcome as the stock of complements</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bookmarkEnd w:id="33"/>
    <w:bookmarkEnd w:id="34"/>
    <w:bookmarkStart w:id="35" w:name="what-occupation-level-data-can-identify"/>
    <w:p>
      <w:pPr>
        <w:pStyle w:val="Heading2"/>
      </w:pPr>
      <w:r>
        <w:rPr>
          <w:rFonts w:ascii="Times New Roman" w:hAnsi="Times New Roman" w:eastAsia="Times New Roman" w:cs="Times New Roman"/>
        </w:rPr>
        <w:t xml:space="preserve">4 What Occupation-Level Data Can Identify</w:t>
      </w:r>
    </w:p>
    <w:p>
      <w:pPr>
        <w:pStyle w:val="FirstParagraph"/>
        <w:spacing w:line="480" w:lineRule="auto" w:after="0" w:before="0"/>
        <w:ind w:firstLine="720"/>
        <w:jc w:val="left"/>
      </w:pPr>
      <w:r>
        <w:rPr>
          <w:rFonts w:ascii="Times New Roman" w:hAnsi="Times New Roman" w:eastAsia="Times New Roman" w:cs="Times New Roman"/>
        </w:rPr>
        <w:t xml:space="preserve">Exposure-based hiring designs regress the change in log adverts for occupation</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on standardized exposure. Suppose the most exposed occupation lies</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standard deviations above the mean and that its work is almost entirely visual production (</w:t>
      </w:r>
      <m:oMath>
        <m:sSub>
          <m:e>
            <m:r>
              <m:t>s</m:t>
            </m:r>
          </m:e>
          <m:sub>
            <m:r>
              <m:t>j</m:t>
            </m:r>
          </m:sub>
        </m:sSub>
        <m:r>
          <m:rPr>
            <m:sty m:val="p"/>
          </m:rPr>
          <m:t>≈</m:t>
        </m:r>
        <m:r>
          <m:t>1</m:t>
        </m:r>
      </m:oMath>
      <w:r>
        <w:rPr>
          <w:rFonts w:ascii="Times New Roman" w:hAnsi="Times New Roman" w:eastAsia="Times New Roman" w:cs="Times New Roman"/>
        </w:rPr>
        <w:t xml:space="preserve">). If exposure is approximately proportional to</w:t>
      </w:r>
      <w:r>
        <w:rPr>
          <w:rFonts w:ascii="Times New Roman" w:hAnsi="Times New Roman" w:eastAsia="Times New Roman" w:cs="Times New Roman"/>
        </w:rPr>
        <w:t xml:space="preserve"> </w:t>
      </w:r>
      <m:oMath>
        <m:sSub>
          <m:e>
            <m:r>
              <m:t>s</m:t>
            </m:r>
          </m:e>
          <m:sub>
            <m:r>
              <m:t>j</m:t>
            </m:r>
          </m:sub>
        </m:sSub>
      </m:oMath>
      <w:r>
        <w:rPr>
          <w:rFonts w:ascii="Times New Roman" w:hAnsi="Times New Roman" w:eastAsia="Times New Roman" w:cs="Times New Roman"/>
        </w:rPr>
        <w:t xml:space="preserve">, complete assimilation implies a coefficient per standard deviation of approximately</w:t>
      </w:r>
    </w:p>
    <w:p>
      <w:pPr>
        <w:pStyle w:val="BodyText"/>
        <w:spacing w:line="480" w:lineRule="auto" w:after="0" w:before="0"/>
        <w:ind w:firstLine="720"/>
        <w:jc w:val="left"/>
      </w:pPr>
      <m:oMathPara>
        <m:oMathParaPr>
          <m:jc m:val="center"/>
        </m:oMathParaPr>
        <m:oMath>
          <m:sSup>
            <m:e>
              <m:r>
                <m:t>γ</m:t>
              </m:r>
            </m:e>
            <m:sup>
              <m:r>
                <m:rPr>
                  <m:sty m:val="p"/>
                </m:rPr>
                <m:t>*</m:t>
              </m:r>
            </m:sup>
          </m:sSup>
          <m:r>
            <m:rPr>
              <m:sty m:val="p"/>
            </m:rPr>
            <m:t>≈</m:t>
          </m:r>
          <m:sSup>
            <m:e>
              <m:r>
                <m:t>A</m:t>
              </m:r>
            </m:e>
            <m:sup>
              <m:r>
                <m:t>u</m:t>
              </m:r>
            </m:sup>
          </m:sSup>
          <m:r>
            <m:rPr>
              <m:sty m:val="p"/>
            </m:rPr>
            <m:t>⋅</m:t>
          </m:r>
          <m:r>
            <m:t>β</m:t>
          </m:r>
          <m:r>
            <m:rPr>
              <m:sty m:val="p"/>
            </m:rPr>
            <m:t>/</m:t>
          </m:r>
          <m:r>
            <m:t>k</m:t>
          </m:r>
          <m:r>
            <m:rPr>
              <m:sty m:val="p"/>
            </m:rPr>
            <m:t>.</m:t>
          </m:r>
          <m:r>
            <m:t>  </m:t>
          </m:r>
          <m:d>
            <m:dPr>
              <m:begChr m:val="("/>
              <m:endChr m:val=")"/>
              <m:sepChr m:val=""/>
              <m:grow/>
            </m:dPr>
            <m:e>
              <m:r>
                <m:t>5</m:t>
              </m:r>
            </m:e>
          </m:d>
        </m:oMath>
      </m:oMathPara>
    </w:p>
    <w:p>
      <w:pPr>
        <w:pStyle w:val="FirstParagraph"/>
        <w:spacing w:line="480" w:lineRule="auto" w:after="0" w:before="0"/>
        <w:ind w:firstLine="720"/>
        <w:jc w:val="left"/>
      </w:pPr>
      <w:r>
        <w:rPr>
          <w:rFonts w:ascii="Times New Roman" w:hAnsi="Times New Roman" w:eastAsia="Times New Roman" w:cs="Times New Roman"/>
        </w:rPr>
        <w:t xml:space="preserve">The design can detect</w:t>
      </w:r>
      <w:r>
        <w:rPr>
          <w:rFonts w:ascii="Times New Roman" w:hAnsi="Times New Roman" w:eastAsia="Times New Roman" w:cs="Times New Roman"/>
        </w:rPr>
        <w:t xml:space="preserve"> </w:t>
      </w:r>
      <m:oMath>
        <m:sSup>
          <m:e>
            <m:r>
              <m:t>γ</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only if its magnitude exceeds the minimum detectable effect (MDE), which for a two-sided 5 percent test at 80 percent power is approximately 2.8 times the standard error of the coefficient. This gives a classification rule, stated before we apply it, so that neither a small nor a large observed coefficient is read as support for the gap.</w:t>
      </w:r>
    </w:p>
    <w:p>
      <w:pPr>
        <w:numPr>
          <w:ilvl w:val="0"/>
          <w:numId w:val="1001"/>
        </w:numPr>
        <w:pStyle w:val="Compact"/>
        <w:spacing w:line="480" w:lineRule="auto" w:after="0" w:before="0"/>
        <w:ind w:firstLine="720"/>
        <w:jc w:val="left"/>
      </w:pPr>
      <w:r>
        <w:rPr>
          <w:rFonts w:ascii="Times New Roman" w:hAnsi="Times New Roman" w:eastAsia="Times New Roman" w:cs="Times New Roman"/>
        </w:rPr>
        <w:t xml:space="preserve">If</w:t>
      </w:r>
      <w:r>
        <w:rPr>
          <w:rFonts w:ascii="Times New Roman" w:hAnsi="Times New Roman" w:eastAsia="Times New Roman" w:cs="Times New Roman"/>
        </w:rPr>
        <w:t xml:space="preserve"> </w:t>
      </w:r>
      <m:oMath>
        <m:d>
          <m:dPr>
            <m:begChr m:val="|"/>
            <m:endChr m:val="|"/>
            <m:sepChr m:val=""/>
            <m:grow/>
          </m:dPr>
          <m:e>
            <m:sSup>
              <m:e>
                <m:r>
                  <m:t>γ</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is below the MDE, the design is uninformative about assimilation, whatever the estimated coefficient. A null result does not support the gap, and a negative result is not evidence of substitution. (ii) If</w:t>
      </w:r>
      <w:r>
        <w:rPr>
          <w:rFonts w:ascii="Times New Roman" w:hAnsi="Times New Roman" w:eastAsia="Times New Roman" w:cs="Times New Roman"/>
        </w:rPr>
        <w:t xml:space="preserve"> </w:t>
      </w:r>
      <m:oMath>
        <m:d>
          <m:dPr>
            <m:begChr m:val="|"/>
            <m:endChr m:val="|"/>
            <m:sepChr m:val=""/>
            <m:grow/>
          </m:dPr>
          <m:e>
            <m:sSup>
              <m:e>
                <m:r>
                  <m:t>γ</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exceeds the MDE and the estimate is significantly smaller in magnitude than</w:t>
      </w:r>
      <w:r>
        <w:rPr>
          <w:rFonts w:ascii="Times New Roman" w:hAnsi="Times New Roman" w:eastAsia="Times New Roman" w:cs="Times New Roman"/>
        </w:rPr>
        <w:t xml:space="preserve"> </w:t>
      </w:r>
      <m:oMath>
        <m:sSup>
          <m:e>
            <m:r>
              <m:t>γ</m:t>
            </m:r>
          </m:e>
          <m:sup>
            <m:r>
              <m:rPr>
                <m:sty m:val="p"/>
              </m:rPr>
              <m:t>*</m:t>
            </m:r>
          </m:sup>
        </m:sSup>
      </m:oMath>
      <w:r>
        <w:rPr>
          <w:rFonts w:ascii="Times New Roman" w:hAnsi="Times New Roman" w:eastAsia="Times New Roman" w:cs="Times New Roman"/>
        </w:rPr>
        <w:t xml:space="preserve">, the data reject complete assimilation with net substitution but do not distinguish the gap from offsetting scale effects. (iii) If the estimate is significantly larger in magnitude than the largest plausible</w:t>
      </w:r>
      <w:r>
        <w:rPr>
          <w:rFonts w:ascii="Times New Roman" w:hAnsi="Times New Roman" w:eastAsia="Times New Roman" w:cs="Times New Roman"/>
        </w:rPr>
        <w:t xml:space="preserve"> </w:t>
      </w:r>
      <m:oMath>
        <m:sSup>
          <m:e>
            <m:r>
              <m:t>γ</m:t>
            </m:r>
          </m:e>
          <m:sup>
            <m:r>
              <m:rPr>
                <m:sty m:val="p"/>
              </m:rPr>
              <m:t>*</m:t>
            </m:r>
            <m:r>
              <m:rPr>
                <m:sty m:val="p"/>
              </m:rPr>
              <m:t>*</m:t>
            </m:r>
          </m:sup>
        </m:sSup>
      </m:oMath>
      <w:r>
        <w:rPr>
          <w:rFonts w:ascii="Times New Roman" w:hAnsi="Times New Roman" w:eastAsia="Times New Roman" w:cs="Times New Roman"/>
        </w:rPr>
        <w:t xml:space="preserve">, which we take to be the coefficient implied by</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at the acquisition rate of the highest-acquisition sector, or if the gradient is already present before the technology was available, the decline is attributed to other causes and counts as evidence for none of the accounts.</w:t>
      </w:r>
    </w:p>
    <w:p>
      <w:pPr>
        <w:pStyle w:val="FirstParagraph"/>
        <w:spacing w:line="480" w:lineRule="auto" w:after="0" w:before="0"/>
        <w:ind w:firstLine="720"/>
        <w:jc w:val="left"/>
      </w:pPr>
      <w:r>
        <w:rPr>
          <w:rFonts w:ascii="Times New Roman" w:hAnsi="Times New Roman" w:eastAsia="Times New Roman" w:cs="Times New Roman"/>
        </w:rPr>
        <w:t xml:space="preserve">The reference value of</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comes from the platform literature. A 17 percent fall in image-creation posts (Demirci et al., 2025) corresponds to</w:t>
      </w:r>
      <w:r>
        <w:rPr>
          <w:rFonts w:ascii="Times New Roman" w:hAnsi="Times New Roman" w:eastAsia="Times New Roman" w:cs="Times New Roman"/>
        </w:rPr>
        <w:t xml:space="preserve"> </w:t>
      </w:r>
      <m:oMath>
        <m:r>
          <m:t>β</m:t>
        </m:r>
        <m:r>
          <m:rPr>
            <m:sty m:val="p"/>
          </m:rPr>
          <m:t>≈</m:t>
        </m:r>
        <m:r>
          <m:rPr>
            <m:sty m:val="p"/>
          </m:rPr>
          <m:t>−</m:t>
        </m:r>
        <m:r>
          <m:t>0.19</m:t>
        </m:r>
      </m:oMath>
      <w:r>
        <w:rPr>
          <w:rFonts w:ascii="Times New Roman" w:hAnsi="Times New Roman" w:eastAsia="Times New Roman" w:cs="Times New Roman"/>
        </w:rPr>
        <w:t xml:space="preserve">. Other platform estimates are smaller: Hui et al. (2024) find 2 percent fewer jobs and 5.2 percent lower earnings for freelancers in affected occupations, so</w:t>
      </w:r>
      <w:r>
        <w:rPr>
          <w:rFonts w:ascii="Times New Roman" w:hAnsi="Times New Roman" w:eastAsia="Times New Roman" w:cs="Times New Roman"/>
        </w:rPr>
        <w:t xml:space="preserve"> </w:t>
      </w:r>
      <m:oMath>
        <m:r>
          <m:t>β</m:t>
        </m:r>
        <m:r>
          <m:rPr>
            <m:sty m:val="p"/>
          </m:rPr>
          <m:t>=</m:t>
        </m:r>
        <m:r>
          <m:rPr>
            <m:sty m:val="p"/>
          </m:rPr>
          <m:t>−</m:t>
        </m:r>
        <m:r>
          <m:t>0.19</m:t>
        </m:r>
      </m:oMath>
      <w:r>
        <w:rPr>
          <w:rFonts w:ascii="Times New Roman" w:hAnsi="Times New Roman" w:eastAsia="Times New Roman" w:cs="Times New Roman"/>
        </w:rPr>
        <w:t xml:space="preserve"> </w:t>
      </w:r>
      <w:r>
        <w:rPr>
          <w:rFonts w:ascii="Times New Roman" w:hAnsi="Times New Roman" w:eastAsia="Times New Roman" w:cs="Times New Roman"/>
        </w:rPr>
        <w:t xml:space="preserve">favors detection. Because standing occupations may adjust differently, we also consider</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(a 39 percent fall among assimilating employers) as an aggressive case. Appendix B gives the derivation, including the effect of measurement error in exposure.</w:t>
      </w:r>
    </w:p>
    <w:bookmarkEnd w:id="35"/>
    <w:bookmarkStart w:id="39" w:name="data"/>
    <w:p>
      <w:pPr>
        <w:pStyle w:val="Heading2"/>
      </w:pPr>
      <w:r>
        <w:rPr>
          <w:rFonts w:ascii="Times New Roman" w:hAnsi="Times New Roman" w:eastAsia="Times New Roman" w:cs="Times New Roman"/>
        </w:rPr>
        <w:t xml:space="preserve">5 Data</w:t>
      </w:r>
    </w:p>
    <w:bookmarkStart w:id="36" w:name="acquisition-and-barriers"/>
    <w:p>
      <w:pPr>
        <w:pStyle w:val="Heading3"/>
      </w:pPr>
      <w:r>
        <w:rPr>
          <w:rFonts w:ascii="Times New Roman" w:hAnsi="Times New Roman" w:eastAsia="Times New Roman" w:cs="Times New Roman"/>
        </w:rPr>
        <w:t xml:space="preserve">5.1 Acquisition and Barriers</w:t>
      </w:r>
    </w:p>
    <w:p>
      <w:pPr>
        <w:pStyle w:val="FirstParagraph"/>
        <w:spacing w:line="480" w:lineRule="auto" w:after="0" w:before="0"/>
        <w:ind w:firstLine="720"/>
        <w:jc w:val="left"/>
      </w:pPr>
      <w:r>
        <w:rPr>
          <w:rFonts w:ascii="Times New Roman" w:hAnsi="Times New Roman" w:eastAsia="Times New Roman" w:cs="Times New Roman"/>
        </w:rPr>
        <w:t xml:space="preserve">We use Eurostat’s survey on ICT usage in enterprises (Eurostat, 2026), which covers firms with ten or more employees in the EU27. The 2025 wave asks whether enterprises use AI that generates pictures, video, or sound. This is the closest public measure of acquisition of generative visual AI and is available only for 2025. Text generation, asked in 2021, 2023, 2024, and 2025, and image recognition provide the time path of neighboring AI uses. The survey asks enterprises that considered AI but did not adopt it why they did not, offering lack of expertise, unclear legal consequences, data protection and privacy, costs, data availability or quality, incompatibility with existing systems, ethical considerations, and the view that AI is not useful. These items correspond to the complementary assets, with two limits that bound every inference below: they refer to AI in general rather than to visual generators, and they are asked only of firms that considered AI. They describe the acquisition margin, not the assimilation margin among users.</w:t>
      </w:r>
    </w:p>
    <w:bookmarkEnd w:id="36"/>
    <w:bookmarkStart w:id="37" w:name="hiring-series"/>
    <w:p>
      <w:pPr>
        <w:pStyle w:val="Heading3"/>
      </w:pPr>
      <w:r>
        <w:rPr>
          <w:rFonts w:ascii="Times New Roman" w:hAnsi="Times New Roman" w:eastAsia="Times New Roman" w:cs="Times New Roman"/>
        </w:rPr>
        <w:t xml:space="preserve">5.2 Hiring Series</w:t>
      </w:r>
    </w:p>
    <w:p>
      <w:pPr>
        <w:pStyle w:val="FirstParagraph"/>
        <w:spacing w:line="480" w:lineRule="auto" w:after="0" w:before="0"/>
        <w:ind w:firstLine="720"/>
        <w:jc w:val="left"/>
      </w:pPr>
      <w:r>
        <w:rPr>
          <w:rFonts w:ascii="Times New Roman" w:hAnsi="Times New Roman" w:eastAsia="Times New Roman" w:cs="Times New Roman"/>
        </w:rPr>
        <w:t xml:space="preserve">Because the acquisition measure covers EU firms, the hiring series is Eurostat’s experimental online job advertisements by ISCO-08 three-digit occupation, 2019 to 2024 (Eurostat, 2026), with 2022 as the base year (604 country-occupation cells, 96 occupations, 16 countries, after a floor of 1,000 base-year adverts). Its population matches the acquisition data, but it offers only two post-2022 years. The Canadian series is the Job Vacancy and Wage Survey by NOC 2021 unit group, 2015 to 2026 (Statistics Canada, 2026), restricted to 312 unit groups with all four quarters observed in the 2022 base year and at least 1,000 vacancies in that year. The quarter 2020Q2 was not collected, so 2020 and 2021 cannot be used; annual figures are quarterly means, and 2026 covers the first two quarters, compared with the same quarters of 2022. European Labour Force Survey employment by industry and US sector postings from Indeed Hiring Lab (2026) are used descriptively.</w:t>
      </w:r>
    </w:p>
    <w:bookmarkEnd w:id="37"/>
    <w:bookmarkStart w:id="38" w:name="exposure-and-its-measurement"/>
    <w:p>
      <w:pPr>
        <w:pStyle w:val="Heading3"/>
      </w:pPr>
      <w:r>
        <w:rPr>
          <w:rFonts w:ascii="Times New Roman" w:hAnsi="Times New Roman" w:eastAsia="Times New Roman" w:cs="Times New Roman"/>
        </w:rPr>
        <w:t xml:space="preserve">5.3 Exposure and Its Measurement</w:t>
      </w:r>
    </w:p>
    <w:p>
      <w:pPr>
        <w:pStyle w:val="FirstParagraph"/>
        <w:spacing w:line="480" w:lineRule="auto" w:after="0" w:before="0"/>
        <w:ind w:firstLine="720"/>
        <w:jc w:val="left"/>
      </w:pPr>
      <w:r>
        <w:rPr>
          <w:rFonts w:ascii="Times New Roman" w:hAnsi="Times New Roman" w:eastAsia="Times New Roman" w:cs="Times New Roman"/>
        </w:rPr>
        <w:t xml:space="preserve">Occupational exposure to visual content creation is the mean, over O*NET task statements (National Center for O*NET Development, 2026), of a language-model score on a 0 to 2 rubric divided by two. We scored the 17,358 distinct task statements of the 914 O*NET-SOC occupations that the ESCO crosswalk links to the 96 European occupations in our sample, using Claude Haiku 5.5 at temperature zero and the narrow rubric in Appendix A, which credits only the production or editing of visual content. An ISCO-08 three-digit group inherits the pooled task statements of all O*NET-SOC occupations linked to it through the three-digit prefix of the ESCO code. For Canada, we scored the 3,559 distinct main-duty statements of the NOC 2021 unit groups in our sample with the same rubric and averaged them by unit group. The control for language-model exposure is built in the same way from a second rubric that credits tasks in which reading, writing, or otherwise producing text is central (Appendix A). Both measures are standardized across occupations (across unit groups in Canada). In Europe they correlate 0.12 across occupations, and in Canada 0.05. The two occupations with the highest visual exposure are architects, planners, surveyors, and designers (ISCO 216, 5.3 standard deviations above the mean) and creative and performing artists (ISCO 265, 4.4). In Canada, graphic arts technicians and graphic designers and illustrators lead.</w:t>
      </w:r>
    </w:p>
    <w:p>
      <w:pPr>
        <w:pStyle w:val="BodyText"/>
        <w:spacing w:line="480" w:lineRule="auto" w:after="0" w:before="0"/>
        <w:ind w:firstLine="720"/>
        <w:jc w:val="left"/>
      </w:pPr>
      <w:r>
        <w:rPr>
          <w:rFonts w:ascii="Times New Roman" w:hAnsi="Times New Roman" w:eastAsia="Times New Roman" w:cs="Times New Roman"/>
        </w:rPr>
        <w:t xml:space="preserve">The construct is hard to code, so we validate the scores against human coders and report two further checks on measurement noise. Two human coders scored 199 task statements on the visual rubric (0, 1, or 2) independently and without seeing the model scores; one is the author and the other an undergraduate physics student with no prior exposure to the project, who received only the written rubric and no further instruction. The sample was stratified by an earlier model pass and a keyword rule (four strata, 200 statements drawn, one dropped as unscorable), so we weight by inverse sampling probability to estimate agreement in the full set of statements. The coders agree on 77 percent of statements (59 percent unweighted), with a weighted</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of 0.42 (linear-weighted 0.49, binary 0.55). Against the author’s codes, the primary model’s scores agree on 75 percent of statements, with a weighted</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of 0.18 (linear-weighted 0.23); against the student coder the weighted</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is 0.11 (linear-weighted 0.16). The second model gives 0.20 and 0.16. The model almost never assigns a nonzero score that a coder rejects against the author (specificity 0.99, positive predictive value 0.82), though it is less conservative against the student coder (0.96, 0.54), and it misses most of the visual content the coders identify (sensitivity 0.13 to 0.22). Model-human agreement is therefore well below human-human agreement, so the scores are a conservative, high-precision indicator of visual content rather than a complete one, and the exposure gradients should be read with that in mind. Next, we report two checks on measurement noise, neither of which substitutes for validation against human coders. First, we scored the same statements with a second, unrelated model (GPT-5.6 Luna). On the visual rubric the two models agree on 96.8 percent of task statements (Cohen’s</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 0.66, quadratic-weighted</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 0.83, Gwet’s AC1 = 0.97). Chance-corrected coefficients are depressed when one category dominates, and only about 5 percent of statements receive a nonzero visual score, which is why</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sits well below raw agreement. For the text rubric the corresponding values are 83.3 percent, 0.58, 0.79, and 0.79. At the level that enters the regressions, occupation-level exposure from the two models correlates 0.99 for the visual measure and 0.98 for the text measure, and the gradients in Table 4 change little when the second model’s scores are used (for example,</w:t>
      </w:r>
      <w:r>
        <w:rPr>
          <w:rFonts w:ascii="Times New Roman" w:hAnsi="Times New Roman" w:eastAsia="Times New Roman" w:cs="Times New Roman"/>
        </w:rPr>
        <w:t xml:space="preserve"> </w:t>
      </w:r>
      <m:oMath>
        <m:r>
          <m:rPr>
            <m:sty m:val="p"/>
          </m:rPr>
          <m:t>−</m:t>
        </m:r>
        <m:r>
          <m:t>0.025</m:t>
        </m:r>
      </m:oMath>
      <w:r>
        <w:rPr>
          <w:rFonts w:ascii="Times New Roman" w:hAnsi="Times New Roman" w:eastAsia="Times New Roman" w:cs="Times New Roman"/>
        </w:rPr>
        <w:t xml:space="preserve"> </w:t>
      </w:r>
      <w:r>
        <w:rPr>
          <w:rFonts w:ascii="Times New Roman" w:hAnsi="Times New Roman" w:eastAsia="Times New Roman" w:cs="Times New Roman"/>
        </w:rPr>
        <w:t xml:space="preserve">(0.007) in 2023 and</w:t>
      </w:r>
      <w:r>
        <w:rPr>
          <w:rFonts w:ascii="Times New Roman" w:hAnsi="Times New Roman" w:eastAsia="Times New Roman" w:cs="Times New Roman"/>
        </w:rPr>
        <w:t xml:space="preserve"> </w:t>
      </w:r>
      <m:oMath>
        <m:r>
          <m:rPr>
            <m:sty m:val="p"/>
          </m:rPr>
          <m:t>−</m:t>
        </m:r>
        <m:r>
          <m:t>0.032</m:t>
        </m:r>
      </m:oMath>
      <w:r>
        <w:rPr>
          <w:rFonts w:ascii="Times New Roman" w:hAnsi="Times New Roman" w:eastAsia="Times New Roman" w:cs="Times New Roman"/>
        </w:rPr>
        <w:t xml:space="preserve"> </w:t>
      </w:r>
      <w:r>
        <w:rPr>
          <w:rFonts w:ascii="Times New Roman" w:hAnsi="Times New Roman" w:eastAsia="Times New Roman" w:cs="Times New Roman"/>
        </w:rPr>
        <w:t xml:space="preserve">(0.017) in 2024). Agreement between two language models shows that the scores are stable, not that they are valid, because the models may share biases. Second, classical measurement error attenuates the coefficient per standard deviation of exposure by the square root of the reliability (Appendix B). Complete assimilation would then produce a smaller coefficient than the one in equation (5), while the minimum detectable effect is unchanged, so noise in exposure strengthens the detectability result. What noise weakens is the substantive reading of any observed gradient, which is why we classify gradients with the bound before interpreting them. We do not correct the coefficients for attenuation.</w:t>
      </w:r>
    </w:p>
    <w:bookmarkEnd w:id="38"/>
    <w:bookmarkEnd w:id="39"/>
    <w:bookmarkStart w:id="42" w:name="the-acquisition-margin"/>
    <w:p>
      <w:pPr>
        <w:pStyle w:val="Heading2"/>
      </w:pPr>
      <w:r>
        <w:rPr>
          <w:rFonts w:ascii="Times New Roman" w:hAnsi="Times New Roman" w:eastAsia="Times New Roman" w:cs="Times New Roman"/>
        </w:rPr>
        <w:t xml:space="preserve">6 The Acquisition Margin</w:t>
      </w:r>
    </w:p>
    <w:bookmarkStart w:id="40" w:name="acquisition-is-substantial-and-rising"/>
    <w:p>
      <w:pPr>
        <w:pStyle w:val="Heading3"/>
      </w:pPr>
      <w:r>
        <w:rPr>
          <w:rFonts w:ascii="Times New Roman" w:hAnsi="Times New Roman" w:eastAsia="Times New Roman" w:cs="Times New Roman"/>
        </w:rPr>
        <w:t xml:space="preserve">6.1 Acquisition Is Substantial and Rising</w:t>
      </w:r>
    </w:p>
    <w:p>
      <w:pPr>
        <w:pStyle w:val="FirstParagraph"/>
        <w:spacing w:line="480" w:lineRule="auto" w:after="0" w:before="0"/>
        <w:ind w:firstLine="720"/>
        <w:jc w:val="left"/>
      </w:pPr>
      <w:r>
        <w:rPr>
          <w:rFonts w:ascii="Times New Roman" w:hAnsi="Times New Roman" w:eastAsia="Times New Roman" w:cs="Times New Roman"/>
        </w:rPr>
        <w:t xml:space="preserve">In 2025, 9.6 percent of EU27 enterprises with ten or more employees used AI that generates pictures, video, or audio, close to the 8.8 percent that used text generation (Table 2). The share rises to 27.9 percent among firms with 250 or more employees, 35.5 percent in information and communication, and 36.2 percent in publishing, film, television, and music. Text-generation use rose from 1.3 percent in 2021 to 2.1 percent in 2023, 5.4 percent in 2024, and 8.8 percent in 2025, while use of at least one AI technology rose from 7.7 to 20.0 percent. Image recognition grew only from 2.1 to 3.8 percent. Acquisition of generative tools is therefore early but accelerating, and it is concentrated where visual production is most common.</w:t>
      </w:r>
    </w:p>
    <w:p>
      <w:pPr>
        <w:pStyle w:val="BodyText"/>
        <w:spacing w:line="240" w:lineRule="auto" w:after="120" w:before="0"/>
        <w:ind w:firstLine="0"/>
        <w:jc w:val="left"/>
      </w:pPr>
      <w:r>
        <w:rPr>
          <w:bCs/>
          <w:rFonts w:ascii="Times New Roman" w:hAnsi="Times New Roman" w:eastAsia="Times New Roman" w:cs="Times New Roman"/>
          <w:b/>
        </w:rPr>
        <w:t xml:space="preserve">Table 2. Acquisition of generative AI, EU27, 2025 (percent of enterprises with 10 or more employees)</w:t>
      </w:r>
    </w:p>
    <w:tbl>
      <w:tblPr>
        <w:tblStyle w:val="Table"/>
        <w:tblW w:type="auto" w:w="0"/>
        <w:tblLook w:firstRow="1" w:lastRow="0" w:firstColumn="0" w:lastColumn="0" w:noHBand="0" w:noVBand="0" w:val="0020"/>
        <w:jc w:val="start"/>
        <w:tblBorders>
          <w:top w:val="single" w:sz="8" w:color="000000"/>
          <w:bottom w:val="single" w:sz="8" w:color="000000"/>
        </w:tblBorders>
      </w:tblPr>
      <w:tblGrid>
        <w:gridCol w:w="2640"/>
        <w:gridCol w:w="2640"/>
        <w:gridCol w:w="2640"/>
      </w:tblGrid>
      <w:tr>
        <w:trPr>
          <w:tblHeader w:val="true"/>
        </w:trPr>
        <w:tc>
          <w:tcPr>
            <w:tcBorders>
              <w:bottom w:val="single" w:sz="6" w:color="000000"/>
            </w:tcBorders>
          </w:tcPr>
          <w:p>
            <w:pPr>
              <w:pStyle w:val="Compact"/>
              <w:spacing w:line="240" w:lineRule="auto" w:after="40"/>
              <w:ind w:firstLine="0"/>
              <w:jc w:val="left"/>
            </w:pPr>
            <w:r>
              <w:rPr>
                <w:rFonts w:ascii="Times New Roman" w:hAnsi="Times New Roman"/>
                <w:b/>
                <w:sz w:val="19"/>
              </w:rPr>
              <w:t xml:space="preserve">Group</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Picture, video, or audio</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Text generation</w:t>
            </w:r>
          </w:p>
        </w:tc>
      </w:tr>
      <w:tr>
        <w:tc>
          <w:tcPr/>
          <w:p>
            <w:pPr>
              <w:pStyle w:val="Compact"/>
              <w:spacing w:line="240" w:lineRule="auto" w:after="40"/>
              <w:ind w:firstLine="0"/>
              <w:jc w:val="left"/>
            </w:pPr>
            <w:r>
              <w:rPr>
                <w:rFonts w:ascii="Times New Roman" w:hAnsi="Times New Roman"/>
                <w:sz w:val="19"/>
              </w:rPr>
              <w:t xml:space="preserve">All enterprises (10+)</w:t>
            </w:r>
          </w:p>
        </w:tc>
        <w:tc>
          <w:tcPr/>
          <w:p>
            <w:pPr>
              <w:pStyle w:val="Compact"/>
              <w:spacing w:line="240" w:lineRule="auto" w:after="40"/>
              <w:ind w:firstLine="0"/>
              <w:jc w:val="right"/>
            </w:pPr>
            <w:r>
              <w:rPr>
                <w:rFonts w:ascii="Times New Roman" w:hAnsi="Times New Roman"/>
                <w:sz w:val="19"/>
              </w:rPr>
              <w:t xml:space="preserve">9.6</w:t>
            </w:r>
          </w:p>
        </w:tc>
        <w:tc>
          <w:tcPr/>
          <w:p>
            <w:pPr>
              <w:pStyle w:val="Compact"/>
              <w:spacing w:line="240" w:lineRule="auto" w:after="40"/>
              <w:ind w:firstLine="0"/>
              <w:jc w:val="right"/>
            </w:pPr>
            <w:r>
              <w:rPr>
                <w:rFonts w:ascii="Times New Roman" w:hAnsi="Times New Roman"/>
                <w:sz w:val="19"/>
              </w:rPr>
              <w:t xml:space="preserve">8.8</w:t>
            </w:r>
          </w:p>
        </w:tc>
      </w:tr>
      <w:tr>
        <w:tc>
          <w:tcPr/>
          <w:p>
            <w:pPr>
              <w:pStyle w:val="Compact"/>
              <w:spacing w:line="240" w:lineRule="auto" w:after="40"/>
              <w:ind w:firstLine="0"/>
              <w:jc w:val="left"/>
            </w:pPr>
            <w:r>
              <w:rPr>
                <w:rFonts w:ascii="Times New Roman" w:hAnsi="Times New Roman"/>
                <w:sz w:val="19"/>
              </w:rPr>
              <w:t xml:space="preserve">10–49 employees</w:t>
            </w:r>
          </w:p>
        </w:tc>
        <w:tc>
          <w:tcPr/>
          <w:p>
            <w:pPr>
              <w:pStyle w:val="Compact"/>
              <w:spacing w:line="240" w:lineRule="auto" w:after="40"/>
              <w:ind w:firstLine="0"/>
              <w:jc w:val="right"/>
            </w:pPr>
            <w:r>
              <w:rPr>
                <w:rFonts w:ascii="Times New Roman" w:hAnsi="Times New Roman"/>
                <w:sz w:val="19"/>
              </w:rPr>
              <w:t xml:space="preserve">8.1</w:t>
            </w:r>
          </w:p>
        </w:tc>
        <w:tc>
          <w:tcPr/>
          <w:p>
            <w:pPr>
              <w:pStyle w:val="Compact"/>
              <w:spacing w:line="240" w:lineRule="auto" w:after="40"/>
              <w:ind w:firstLine="0"/>
              <w:jc w:val="right"/>
            </w:pPr>
            <w:r>
              <w:rPr>
                <w:rFonts w:ascii="Times New Roman" w:hAnsi="Times New Roman"/>
                <w:sz w:val="19"/>
              </w:rPr>
              <w:t xml:space="preserve">7.0</w:t>
            </w:r>
          </w:p>
        </w:tc>
      </w:tr>
      <w:tr>
        <w:tc>
          <w:tcPr/>
          <w:p>
            <w:pPr>
              <w:pStyle w:val="Compact"/>
              <w:spacing w:line="240" w:lineRule="auto" w:after="40"/>
              <w:ind w:firstLine="0"/>
              <w:jc w:val="left"/>
            </w:pPr>
            <w:r>
              <w:rPr>
                <w:rFonts w:ascii="Times New Roman" w:hAnsi="Times New Roman"/>
                <w:sz w:val="19"/>
              </w:rPr>
              <w:t xml:space="preserve">50–249 employees</w:t>
            </w:r>
          </w:p>
        </w:tc>
        <w:tc>
          <w:tcPr/>
          <w:p>
            <w:pPr>
              <w:pStyle w:val="Compact"/>
              <w:spacing w:line="240" w:lineRule="auto" w:after="40"/>
              <w:ind w:firstLine="0"/>
              <w:jc w:val="right"/>
            </w:pPr>
            <w:r>
              <w:rPr>
                <w:rFonts w:ascii="Times New Roman" w:hAnsi="Times New Roman"/>
                <w:sz w:val="19"/>
              </w:rPr>
              <w:t xml:space="preserve">14.4</w:t>
            </w:r>
          </w:p>
        </w:tc>
        <w:tc>
          <w:tcPr/>
          <w:p>
            <w:pPr>
              <w:pStyle w:val="Compact"/>
              <w:spacing w:line="240" w:lineRule="auto" w:after="40"/>
              <w:ind w:firstLine="0"/>
              <w:jc w:val="right"/>
            </w:pPr>
            <w:r>
              <w:rPr>
                <w:rFonts w:ascii="Times New Roman" w:hAnsi="Times New Roman"/>
                <w:sz w:val="19"/>
              </w:rPr>
              <w:t xml:space="preserve">14.8</w:t>
            </w:r>
          </w:p>
        </w:tc>
      </w:tr>
      <w:tr>
        <w:tc>
          <w:tcPr/>
          <w:p>
            <w:pPr>
              <w:pStyle w:val="Compact"/>
              <w:spacing w:line="240" w:lineRule="auto" w:after="40"/>
              <w:ind w:firstLine="0"/>
              <w:jc w:val="left"/>
            </w:pPr>
            <w:r>
              <w:rPr>
                <w:rFonts w:ascii="Times New Roman" w:hAnsi="Times New Roman"/>
                <w:sz w:val="19"/>
              </w:rPr>
              <w:t xml:space="preserve">250 or more employees</w:t>
            </w:r>
          </w:p>
        </w:tc>
        <w:tc>
          <w:tcPr/>
          <w:p>
            <w:pPr>
              <w:pStyle w:val="Compact"/>
              <w:spacing w:line="240" w:lineRule="auto" w:after="40"/>
              <w:ind w:firstLine="0"/>
              <w:jc w:val="right"/>
            </w:pPr>
            <w:r>
              <w:rPr>
                <w:rFonts w:ascii="Times New Roman" w:hAnsi="Times New Roman"/>
                <w:sz w:val="19"/>
              </w:rPr>
              <w:t xml:space="preserve">27.9</w:t>
            </w:r>
          </w:p>
        </w:tc>
        <w:tc>
          <w:tcPr/>
          <w:p>
            <w:pPr>
              <w:pStyle w:val="Compact"/>
              <w:spacing w:line="240" w:lineRule="auto" w:after="40"/>
              <w:ind w:firstLine="0"/>
              <w:jc w:val="right"/>
            </w:pPr>
            <w:r>
              <w:rPr>
                <w:rFonts w:ascii="Times New Roman" w:hAnsi="Times New Roman"/>
                <w:sz w:val="19"/>
              </w:rPr>
              <w:t xml:space="preserve">31.7</w:t>
            </w:r>
          </w:p>
        </w:tc>
      </w:tr>
      <w:tr>
        <w:tc>
          <w:tcPr/>
          <w:p>
            <w:pPr>
              <w:pStyle w:val="Compact"/>
              <w:spacing w:line="240" w:lineRule="auto" w:after="40"/>
              <w:ind w:firstLine="0"/>
              <w:jc w:val="left"/>
            </w:pPr>
            <w:r>
              <w:rPr>
                <w:rFonts w:ascii="Times New Roman" w:hAnsi="Times New Roman"/>
                <w:sz w:val="19"/>
              </w:rPr>
              <w:t xml:space="preserve">Information and communication (J)</w:t>
            </w:r>
          </w:p>
        </w:tc>
        <w:tc>
          <w:tcPr/>
          <w:p>
            <w:pPr>
              <w:pStyle w:val="Compact"/>
              <w:spacing w:line="240" w:lineRule="auto" w:after="40"/>
              <w:ind w:firstLine="0"/>
              <w:jc w:val="right"/>
            </w:pPr>
            <w:r>
              <w:rPr>
                <w:rFonts w:ascii="Times New Roman" w:hAnsi="Times New Roman"/>
                <w:sz w:val="19"/>
              </w:rPr>
              <w:t xml:space="preserve">35.5</w:t>
            </w:r>
          </w:p>
        </w:tc>
        <w:tc>
          <w:tcPr/>
          <w:p>
            <w:pPr>
              <w:pStyle w:val="Compact"/>
              <w:spacing w:line="240" w:lineRule="auto" w:after="40"/>
              <w:ind w:firstLine="0"/>
              <w:jc w:val="right"/>
            </w:pPr>
            <w:r>
              <w:rPr>
                <w:rFonts w:ascii="Times New Roman" w:hAnsi="Times New Roman"/>
                <w:sz w:val="19"/>
              </w:rPr>
              <w:t xml:space="preserve">42.2</w:t>
            </w:r>
          </w:p>
        </w:tc>
      </w:tr>
      <w:tr>
        <w:tc>
          <w:tcPr/>
          <w:p>
            <w:pPr>
              <w:pStyle w:val="Compact"/>
              <w:spacing w:line="240" w:lineRule="auto" w:after="40"/>
              <w:ind w:firstLine="0"/>
              <w:jc w:val="left"/>
            </w:pPr>
            <w:r>
              <w:rPr>
                <w:rFonts w:ascii="Times New Roman" w:hAnsi="Times New Roman"/>
                <w:sz w:val="19"/>
              </w:rPr>
              <w:t xml:space="preserve">Publishing, film, TV, music (J58–J60)</w:t>
            </w:r>
          </w:p>
        </w:tc>
        <w:tc>
          <w:tcPr/>
          <w:p>
            <w:pPr>
              <w:pStyle w:val="Compact"/>
              <w:spacing w:line="240" w:lineRule="auto" w:after="40"/>
              <w:ind w:firstLine="0"/>
              <w:jc w:val="right"/>
            </w:pPr>
            <w:r>
              <w:rPr>
                <w:rFonts w:ascii="Times New Roman" w:hAnsi="Times New Roman"/>
                <w:sz w:val="19"/>
              </w:rPr>
              <w:t xml:space="preserve">36.2</w:t>
            </w:r>
          </w:p>
        </w:tc>
        <w:tc>
          <w:tcPr/>
          <w:p>
            <w:pPr>
              <w:pStyle w:val="Compact"/>
              <w:spacing w:line="240" w:lineRule="auto" w:after="40"/>
              <w:ind w:firstLine="0"/>
              <w:jc w:val="right"/>
            </w:pPr>
            <w:r>
              <w:rPr>
                <w:rFonts w:ascii="Times New Roman" w:hAnsi="Times New Roman"/>
                <w:sz w:val="19"/>
              </w:rPr>
              <w:t xml:space="preserve">34.0</w:t>
            </w:r>
          </w:p>
        </w:tc>
      </w:tr>
      <w:tr>
        <w:tc>
          <w:tcPr/>
          <w:p>
            <w:pPr>
              <w:pStyle w:val="Compact"/>
              <w:spacing w:line="240" w:lineRule="auto" w:after="40"/>
              <w:ind w:firstLine="0"/>
              <w:jc w:val="left"/>
            </w:pPr>
            <w:r>
              <w:rPr>
                <w:rFonts w:ascii="Times New Roman" w:hAnsi="Times New Roman"/>
                <w:sz w:val="19"/>
              </w:rPr>
              <w:t xml:space="preserve">Professional, scientific, technical (M)</w:t>
            </w:r>
          </w:p>
        </w:tc>
        <w:tc>
          <w:tcPr/>
          <w:p>
            <w:pPr>
              <w:pStyle w:val="Compact"/>
              <w:spacing w:line="240" w:lineRule="auto" w:after="40"/>
              <w:ind w:firstLine="0"/>
              <w:jc w:val="right"/>
            </w:pPr>
            <w:r>
              <w:rPr>
                <w:rFonts w:ascii="Times New Roman" w:hAnsi="Times New Roman"/>
                <w:sz w:val="19"/>
              </w:rPr>
              <w:t xml:space="preserve">18.7</w:t>
            </w:r>
          </w:p>
        </w:tc>
        <w:tc>
          <w:tcPr/>
          <w:p>
            <w:pPr>
              <w:pStyle w:val="Compact"/>
              <w:spacing w:line="240" w:lineRule="auto" w:after="40"/>
              <w:ind w:firstLine="0"/>
              <w:jc w:val="right"/>
            </w:pPr>
            <w:r>
              <w:rPr>
                <w:rFonts w:ascii="Times New Roman" w:hAnsi="Times New Roman"/>
                <w:sz w:val="19"/>
              </w:rPr>
              <w:t xml:space="preserve">17.7</w:t>
            </w:r>
          </w:p>
        </w:tc>
      </w:tr>
      <w:tr>
        <w:tc>
          <w:tcPr/>
          <w:p>
            <w:pPr>
              <w:pStyle w:val="Compact"/>
              <w:spacing w:line="240" w:lineRule="auto" w:after="40"/>
              <w:ind w:firstLine="0"/>
              <w:jc w:val="left"/>
            </w:pPr>
            <w:r>
              <w:rPr>
                <w:rFonts w:ascii="Times New Roman" w:hAnsi="Times New Roman"/>
                <w:sz w:val="19"/>
              </w:rPr>
              <w:t xml:space="preserve">Construction (F)</w:t>
            </w:r>
          </w:p>
        </w:tc>
        <w:tc>
          <w:tcPr/>
          <w:p>
            <w:pPr>
              <w:pStyle w:val="Compact"/>
              <w:spacing w:line="240" w:lineRule="auto" w:after="40"/>
              <w:ind w:firstLine="0"/>
              <w:jc w:val="right"/>
            </w:pPr>
            <w:r>
              <w:rPr>
                <w:rFonts w:ascii="Times New Roman" w:hAnsi="Times New Roman"/>
                <w:sz w:val="19"/>
              </w:rPr>
              <w:t xml:space="preserve">4.5</w:t>
            </w:r>
          </w:p>
        </w:tc>
        <w:tc>
          <w:tcPr/>
          <w:p>
            <w:pPr>
              <w:pStyle w:val="Compact"/>
              <w:spacing w:line="240" w:lineRule="auto" w:after="40"/>
              <w:ind w:firstLine="0"/>
              <w:jc w:val="right"/>
            </w:pPr>
            <w:r>
              <w:rPr>
                <w:rFonts w:ascii="Times New Roman" w:hAnsi="Times New Roman"/>
                <w:sz w:val="19"/>
              </w:rPr>
              <w:t xml:space="preserve">3.2</w:t>
            </w:r>
          </w:p>
        </w:tc>
      </w:tr>
      <w:tr>
        <w:tc>
          <w:tcPr/>
          <w:p>
            <w:pPr>
              <w:pStyle w:val="Compact"/>
              <w:spacing w:line="240" w:lineRule="auto" w:after="40"/>
              <w:ind w:firstLine="0"/>
              <w:jc w:val="left"/>
            </w:pPr>
            <w:r>
              <w:rPr>
                <w:rFonts w:ascii="Times New Roman" w:hAnsi="Times New Roman"/>
                <w:sz w:val="19"/>
              </w:rPr>
              <w:t xml:space="preserve">Transportation and storage (H)</w:t>
            </w:r>
          </w:p>
        </w:tc>
        <w:tc>
          <w:tcPr/>
          <w:p>
            <w:pPr>
              <w:pStyle w:val="Compact"/>
              <w:spacing w:line="240" w:lineRule="auto" w:after="40"/>
              <w:ind w:firstLine="0"/>
              <w:jc w:val="right"/>
            </w:pPr>
            <w:r>
              <w:rPr>
                <w:rFonts w:ascii="Times New Roman" w:hAnsi="Times New Roman"/>
                <w:sz w:val="19"/>
              </w:rPr>
              <w:t xml:space="preserve">4.0</w:t>
            </w:r>
          </w:p>
        </w:tc>
        <w:tc>
          <w:tcPr/>
          <w:p>
            <w:pPr>
              <w:pStyle w:val="Compact"/>
              <w:spacing w:line="240" w:lineRule="auto" w:after="40"/>
              <w:ind w:firstLine="0"/>
              <w:jc w:val="right"/>
            </w:pPr>
            <w:r>
              <w:rPr>
                <w:rFonts w:ascii="Times New Roman" w:hAnsi="Times New Roman"/>
                <w:sz w:val="19"/>
              </w:rPr>
              <w:t xml:space="preserve">3.9</w:t>
            </w:r>
          </w:p>
        </w:tc>
      </w:tr>
    </w:tbl>
    <w:p>
      <w:pPr>
        <w:pStyle w:val="BodyText"/>
        <w:spacing w:line="240" w:lineRule="auto" w:after="120" w:before="0"/>
        <w:ind w:firstLine="0"/>
        <w:jc w:val="left"/>
      </w:pPr>
      <w:r>
        <w:rPr>
          <w:iCs/>
          <w:rFonts w:ascii="Times New Roman" w:hAnsi="Times New Roman" w:eastAsia="Times New Roman" w:cs="Times New Roman"/>
          <w:i/>
        </w:rPr>
        <w:t xml:space="preserve">Source.</w:t>
      </w:r>
      <w:r>
        <w:rPr>
          <w:rFonts w:ascii="Times New Roman" w:hAnsi="Times New Roman" w:eastAsia="Times New Roman" w:cs="Times New Roman"/>
        </w:rPr>
        <w:t xml:space="preserve"> </w:t>
      </w:r>
      <w:r>
        <w:rPr>
          <w:rFonts w:ascii="Times New Roman" w:hAnsi="Times New Roman" w:eastAsia="Times New Roman" w:cs="Times New Roman"/>
        </w:rPr>
        <w:t xml:space="preserve">Eurostat survey on ICT usage in enterprises, indicators E_AI_TPVSG and E_AI_TNLG. The visual-generation indicator exists only for 2025 and is interpreted as acquisition (</w:t>
      </w:r>
      <m:oMath>
        <m:sSup>
          <m:e>
            <m:r>
              <m:t>A</m:t>
            </m:r>
          </m:e>
          <m:sup>
            <m:r>
              <m:t>u</m:t>
            </m:r>
          </m:sup>
        </m:sSup>
      </m:oMath>
      <w:r>
        <w:rPr>
          <w:rFonts w:ascii="Times New Roman" w:hAnsi="Times New Roman" w:eastAsia="Times New Roman" w:cs="Times New Roman"/>
        </w:rPr>
        <w:t xml:space="preserve">), not assimilation.</w:t>
      </w:r>
    </w:p>
    <w:bookmarkEnd w:id="40"/>
    <w:bookmarkStart w:id="41" w:name="X3987abe33d6ec8a85609fe7383eac026929fb85"/>
    <w:p>
      <w:pPr>
        <w:pStyle w:val="Heading3"/>
      </w:pPr>
      <w:r>
        <w:rPr>
          <w:rFonts w:ascii="Times New Roman" w:hAnsi="Times New Roman" w:eastAsia="Times New Roman" w:cs="Times New Roman"/>
        </w:rPr>
        <w:t xml:space="preserve">6.2 Reported Barriers Are Complements, Not Capability</w:t>
      </w:r>
    </w:p>
    <w:p>
      <w:pPr>
        <w:pStyle w:val="FirstParagraph"/>
        <w:spacing w:line="480" w:lineRule="auto" w:after="0" w:before="0"/>
        <w:ind w:firstLine="720"/>
        <w:jc w:val="left"/>
      </w:pPr>
      <w:r>
        <w:rPr>
          <w:rFonts w:ascii="Times New Roman" w:hAnsi="Times New Roman" w:eastAsia="Times New Roman" w:cs="Times New Roman"/>
        </w:rPr>
        <w:t xml:space="preserve">Among enterprises that considered AI and did not adopt it, 70.3 percent cite lack of relevant expertise, 53.6 percent unclear legal consequences, and 52.7 percent data protection and privacy (Table 3). Difficulties with data availability or quality are cited by 43.5 percent, incompatibility with existing systems by 41.6 percent, costs by 38.4 percent, and the view that AI is not useful by 17.8 percent. The pattern is similar across size classes: expertise is cited by 65 to 71 percent of considerers and lack of usefulness by 10 to 19 percent in each of the three classes. This is consistent with H1: firms that stopped short of acquisition describe the obstacle as a missing asset rather than as a tool that fails the task.</w:t>
      </w:r>
    </w:p>
    <w:p>
      <w:pPr>
        <w:pStyle w:val="BodyText"/>
        <w:spacing w:line="240" w:lineRule="auto" w:after="120" w:before="0"/>
        <w:ind w:firstLine="0"/>
        <w:jc w:val="left"/>
      </w:pPr>
      <w:r>
        <w:rPr>
          <w:bCs/>
          <w:rFonts w:ascii="Times New Roman" w:hAnsi="Times New Roman" w:eastAsia="Times New Roman" w:cs="Times New Roman"/>
          <w:b/>
        </w:rPr>
        <w:t xml:space="preserve">Table 3. Reasons for not using AI among enterprises that considered it, EU27, 2025</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2640"/>
        <w:gridCol w:w="2640"/>
        <w:gridCol w:w="2640"/>
      </w:tblGrid>
      <w:tr>
        <w:trPr>
          <w:tblHeader w:val="true"/>
        </w:trPr>
        <w:tc>
          <w:tcPr>
            <w:tcBorders>
              <w:bottom w:val="single" w:sz="6" w:color="000000"/>
            </w:tcBorders>
          </w:tcPr>
          <w:p>
            <w:pPr>
              <w:pStyle w:val="Compact"/>
              <w:spacing w:line="240" w:lineRule="auto" w:after="40"/>
              <w:ind w:firstLine="0"/>
              <w:jc w:val="left"/>
            </w:pPr>
            <w:r>
              <w:rPr>
                <w:rFonts w:ascii="Times New Roman" w:hAnsi="Times New Roman"/>
                <w:b/>
                <w:sz w:val="19"/>
              </w:rPr>
              <w:t xml:space="preserve">Reason</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Percent</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Interpretation in the model</w:t>
            </w:r>
          </w:p>
        </w:tc>
      </w:tr>
      <w:tr>
        <w:tc>
          <w:tcPr/>
          <w:p>
            <w:pPr>
              <w:pStyle w:val="Compact"/>
              <w:spacing w:line="240" w:lineRule="auto" w:after="40"/>
              <w:ind w:firstLine="0"/>
              <w:jc w:val="left"/>
            </w:pPr>
            <w:r>
              <w:rPr>
                <w:rFonts w:ascii="Times New Roman" w:hAnsi="Times New Roman"/>
                <w:sz w:val="19"/>
              </w:rPr>
              <w:t xml:space="preserve">Lack of relevant expertise</w:t>
            </w:r>
          </w:p>
        </w:tc>
        <w:tc>
          <w:tcPr/>
          <w:p>
            <w:pPr>
              <w:pStyle w:val="Compact"/>
              <w:spacing w:line="240" w:lineRule="auto" w:after="40"/>
              <w:ind w:firstLine="0"/>
              <w:jc w:val="right"/>
            </w:pPr>
            <w:r>
              <w:rPr>
                <w:rFonts w:ascii="Times New Roman" w:hAnsi="Times New Roman"/>
                <w:sz w:val="19"/>
              </w:rPr>
              <w:t xml:space="preserve">70.3</w:t>
            </w:r>
          </w:p>
        </w:tc>
        <w:tc>
          <w:tcPr/>
          <w:p>
            <w:pPr>
              <w:pStyle w:val="Compact"/>
              <w:spacing w:line="240" w:lineRule="auto" w:after="40"/>
              <w:ind w:firstLine="0"/>
              <w:jc w:val="left"/>
            </w:pPr>
            <w:r>
              <w:rPr>
                <w:rFonts w:ascii="Times New Roman" w:hAnsi="Times New Roman"/>
                <w:sz w:val="19"/>
              </w:rPr>
              <w:t xml:space="preserve">Expertise (</w:t>
            </w:r>
            <m:oMath>
              <m:sSup>
                <m:e>
                  <m:r>
                    <m:t>K</m:t>
                  </m:r>
                </m:e>
                <m:sup>
                  <m:r>
                    <m:t>E</m:t>
                  </m:r>
                </m:sup>
              </m:sSup>
            </m:oMath>
            <w:r>
              <w:rPr>
                <w:rFonts w:ascii="Times New Roman" w:hAnsi="Times New Roman"/>
                <w:sz w:val="19"/>
              </w:rPr>
              <w:t xml:space="preserve">)</w:t>
            </w:r>
          </w:p>
        </w:tc>
      </w:tr>
      <w:tr>
        <w:tc>
          <w:tcPr/>
          <w:p>
            <w:pPr>
              <w:pStyle w:val="Compact"/>
              <w:spacing w:line="240" w:lineRule="auto" w:after="40"/>
              <w:ind w:firstLine="0"/>
              <w:jc w:val="left"/>
            </w:pPr>
            <w:r>
              <w:rPr>
                <w:rFonts w:ascii="Times New Roman" w:hAnsi="Times New Roman"/>
                <w:sz w:val="19"/>
              </w:rPr>
              <w:t xml:space="preserve">Unclear legal consequences</w:t>
            </w:r>
          </w:p>
        </w:tc>
        <w:tc>
          <w:tcPr/>
          <w:p>
            <w:pPr>
              <w:pStyle w:val="Compact"/>
              <w:spacing w:line="240" w:lineRule="auto" w:after="40"/>
              <w:ind w:firstLine="0"/>
              <w:jc w:val="right"/>
            </w:pPr>
            <w:r>
              <w:rPr>
                <w:rFonts w:ascii="Times New Roman" w:hAnsi="Times New Roman"/>
                <w:sz w:val="19"/>
              </w:rPr>
              <w:t xml:space="preserve">53.6</w:t>
            </w:r>
          </w:p>
        </w:tc>
        <w:tc>
          <w:tcPr/>
          <w:p>
            <w:pPr>
              <w:pStyle w:val="Compact"/>
              <w:spacing w:line="240" w:lineRule="auto" w:after="40"/>
              <w:ind w:firstLine="0"/>
              <w:jc w:val="left"/>
            </w:pPr>
            <w:r>
              <w:rPr>
                <w:rFonts w:ascii="Times New Roman" w:hAnsi="Times New Roman"/>
                <w:sz w:val="19"/>
              </w:rPr>
              <w:t xml:space="preserve">Compliance procedures (</w:t>
            </w:r>
            <m:oMath>
              <m:sSup>
                <m:e>
                  <m:r>
                    <m:t>K</m:t>
                  </m:r>
                </m:e>
                <m:sup>
                  <m:r>
                    <m:t>C</m:t>
                  </m:r>
                </m:sup>
              </m:sSup>
            </m:oMath>
            <w:r>
              <w:rPr>
                <w:rFonts w:ascii="Times New Roman" w:hAnsi="Times New Roman"/>
                <w:sz w:val="19"/>
              </w:rPr>
              <w:t xml:space="preserve">)</w:t>
            </w:r>
          </w:p>
        </w:tc>
      </w:tr>
      <w:tr>
        <w:tc>
          <w:tcPr/>
          <w:p>
            <w:pPr>
              <w:pStyle w:val="Compact"/>
              <w:spacing w:line="240" w:lineRule="auto" w:after="40"/>
              <w:ind w:firstLine="0"/>
              <w:jc w:val="left"/>
            </w:pPr>
            <w:r>
              <w:rPr>
                <w:rFonts w:ascii="Times New Roman" w:hAnsi="Times New Roman"/>
                <w:sz w:val="19"/>
              </w:rPr>
              <w:t xml:space="preserve">Data protection and privacy</w:t>
            </w:r>
          </w:p>
        </w:tc>
        <w:tc>
          <w:tcPr/>
          <w:p>
            <w:pPr>
              <w:pStyle w:val="Compact"/>
              <w:spacing w:line="240" w:lineRule="auto" w:after="40"/>
              <w:ind w:firstLine="0"/>
              <w:jc w:val="right"/>
            </w:pPr>
            <w:r>
              <w:rPr>
                <w:rFonts w:ascii="Times New Roman" w:hAnsi="Times New Roman"/>
                <w:sz w:val="19"/>
              </w:rPr>
              <w:t xml:space="preserve">52.7</w:t>
            </w:r>
          </w:p>
        </w:tc>
        <w:tc>
          <w:tcPr/>
          <w:p>
            <w:pPr>
              <w:pStyle w:val="Compact"/>
              <w:spacing w:line="240" w:lineRule="auto" w:after="40"/>
              <w:ind w:firstLine="0"/>
              <w:jc w:val="left"/>
            </w:pPr>
            <w:r>
              <w:rPr>
                <w:rFonts w:ascii="Times New Roman" w:hAnsi="Times New Roman"/>
                <w:sz w:val="19"/>
              </w:rPr>
              <w:t xml:space="preserve">Compliance procedures (</w:t>
            </w:r>
            <m:oMath>
              <m:sSup>
                <m:e>
                  <m:r>
                    <m:t>K</m:t>
                  </m:r>
                </m:e>
                <m:sup>
                  <m:r>
                    <m:t>C</m:t>
                  </m:r>
                </m:sup>
              </m:sSup>
            </m:oMath>
            <w:r>
              <w:rPr>
                <w:rFonts w:ascii="Times New Roman" w:hAnsi="Times New Roman"/>
                <w:sz w:val="19"/>
              </w:rPr>
              <w:t xml:space="preserve">)</w:t>
            </w:r>
          </w:p>
        </w:tc>
      </w:tr>
      <w:tr>
        <w:tc>
          <w:tcPr/>
          <w:p>
            <w:pPr>
              <w:pStyle w:val="Compact"/>
              <w:spacing w:line="240" w:lineRule="auto" w:after="40"/>
              <w:ind w:firstLine="0"/>
              <w:jc w:val="left"/>
            </w:pPr>
            <w:r>
              <w:rPr>
                <w:rFonts w:ascii="Times New Roman" w:hAnsi="Times New Roman"/>
                <w:sz w:val="19"/>
              </w:rPr>
              <w:t xml:space="preserve">Data availability or quality</w:t>
            </w:r>
          </w:p>
        </w:tc>
        <w:tc>
          <w:tcPr/>
          <w:p>
            <w:pPr>
              <w:pStyle w:val="Compact"/>
              <w:spacing w:line="240" w:lineRule="auto" w:after="40"/>
              <w:ind w:firstLine="0"/>
              <w:jc w:val="right"/>
            </w:pPr>
            <w:r>
              <w:rPr>
                <w:rFonts w:ascii="Times New Roman" w:hAnsi="Times New Roman"/>
                <w:sz w:val="19"/>
              </w:rPr>
              <w:t xml:space="preserve">43.5</w:t>
            </w:r>
          </w:p>
        </w:tc>
        <w:tc>
          <w:tcPr/>
          <w:p>
            <w:pPr>
              <w:pStyle w:val="Compact"/>
              <w:spacing w:line="240" w:lineRule="auto" w:after="40"/>
              <w:ind w:firstLine="0"/>
              <w:jc w:val="left"/>
            </w:pPr>
            <w:r>
              <w:rPr>
                <w:rFonts w:ascii="Times New Roman" w:hAnsi="Times New Roman"/>
                <w:sz w:val="19"/>
              </w:rPr>
              <w:t xml:space="preserve">Data complement</w:t>
            </w:r>
          </w:p>
        </w:tc>
      </w:tr>
      <w:tr>
        <w:tc>
          <w:tcPr/>
          <w:p>
            <w:pPr>
              <w:pStyle w:val="Compact"/>
              <w:spacing w:line="240" w:lineRule="auto" w:after="40"/>
              <w:ind w:firstLine="0"/>
              <w:jc w:val="left"/>
            </w:pPr>
            <w:r>
              <w:rPr>
                <w:rFonts w:ascii="Times New Roman" w:hAnsi="Times New Roman"/>
                <w:sz w:val="19"/>
              </w:rPr>
              <w:t xml:space="preserve">Incompatibility with existing systems</w:t>
            </w:r>
          </w:p>
        </w:tc>
        <w:tc>
          <w:tcPr/>
          <w:p>
            <w:pPr>
              <w:pStyle w:val="Compact"/>
              <w:spacing w:line="240" w:lineRule="auto" w:after="40"/>
              <w:ind w:firstLine="0"/>
              <w:jc w:val="right"/>
            </w:pPr>
            <w:r>
              <w:rPr>
                <w:rFonts w:ascii="Times New Roman" w:hAnsi="Times New Roman"/>
                <w:sz w:val="19"/>
              </w:rPr>
              <w:t xml:space="preserve">41.6</w:t>
            </w:r>
          </w:p>
        </w:tc>
        <w:tc>
          <w:tcPr/>
          <w:p>
            <w:pPr>
              <w:pStyle w:val="Compact"/>
              <w:spacing w:line="240" w:lineRule="auto" w:after="40"/>
              <w:ind w:firstLine="0"/>
              <w:jc w:val="left"/>
            </w:pPr>
            <w:r>
              <w:rPr>
                <w:rFonts w:ascii="Times New Roman" w:hAnsi="Times New Roman"/>
                <w:sz w:val="19"/>
              </w:rPr>
              <w:t xml:space="preserve">Technical complement</w:t>
            </w:r>
          </w:p>
        </w:tc>
      </w:tr>
      <w:tr>
        <w:tc>
          <w:tcPr/>
          <w:p>
            <w:pPr>
              <w:pStyle w:val="Compact"/>
              <w:spacing w:line="240" w:lineRule="auto" w:after="40"/>
              <w:ind w:firstLine="0"/>
              <w:jc w:val="left"/>
            </w:pPr>
            <w:r>
              <w:rPr>
                <w:rFonts w:ascii="Times New Roman" w:hAnsi="Times New Roman"/>
                <w:sz w:val="19"/>
              </w:rPr>
              <w:t xml:space="preserve">Costs seem too high</w:t>
            </w:r>
          </w:p>
        </w:tc>
        <w:tc>
          <w:tcPr/>
          <w:p>
            <w:pPr>
              <w:pStyle w:val="Compact"/>
              <w:spacing w:line="240" w:lineRule="auto" w:after="40"/>
              <w:ind w:firstLine="0"/>
              <w:jc w:val="right"/>
            </w:pPr>
            <w:r>
              <w:rPr>
                <w:rFonts w:ascii="Times New Roman" w:hAnsi="Times New Roman"/>
                <w:sz w:val="19"/>
              </w:rPr>
              <w:t xml:space="preserve">38.4</w:t>
            </w:r>
          </w:p>
        </w:tc>
        <w:tc>
          <w:tcPr/>
          <w:p>
            <w:pPr>
              <w:pStyle w:val="Compact"/>
              <w:spacing w:line="240" w:lineRule="auto" w:after="40"/>
              <w:ind w:firstLine="0"/>
              <w:jc w:val="left"/>
            </w:pPr>
            <w:r>
              <w:rPr>
                <w:rFonts w:ascii="Times New Roman" w:hAnsi="Times New Roman"/>
                <w:sz w:val="19"/>
              </w:rPr>
              <w:t xml:space="preserve">Fixed cost of complements or of the tool</w:t>
            </w:r>
          </w:p>
        </w:tc>
      </w:tr>
      <w:tr>
        <w:tc>
          <w:tcPr/>
          <w:p>
            <w:pPr>
              <w:pStyle w:val="Compact"/>
              <w:spacing w:line="240" w:lineRule="auto" w:after="40"/>
              <w:ind w:firstLine="0"/>
              <w:jc w:val="left"/>
            </w:pPr>
            <w:r>
              <w:rPr>
                <w:rFonts w:ascii="Times New Roman" w:hAnsi="Times New Roman"/>
                <w:sz w:val="19"/>
              </w:rPr>
              <w:t xml:space="preserve">Ethical considerations</w:t>
            </w:r>
          </w:p>
        </w:tc>
        <w:tc>
          <w:tcPr/>
          <w:p>
            <w:pPr>
              <w:pStyle w:val="Compact"/>
              <w:spacing w:line="240" w:lineRule="auto" w:after="40"/>
              <w:ind w:firstLine="0"/>
              <w:jc w:val="right"/>
            </w:pPr>
            <w:r>
              <w:rPr>
                <w:rFonts w:ascii="Times New Roman" w:hAnsi="Times New Roman"/>
                <w:sz w:val="19"/>
              </w:rPr>
              <w:t xml:space="preserve">24.6</w:t>
            </w:r>
          </w:p>
        </w:tc>
        <w:tc>
          <w:tcPr/>
          <w:p>
            <w:pPr>
              <w:pStyle w:val="Compact"/>
              <w:spacing w:line="240" w:lineRule="auto" w:after="40"/>
              <w:ind w:firstLine="0"/>
              <w:jc w:val="left"/>
            </w:pPr>
            <w:r>
              <w:rPr>
                <w:rFonts w:ascii="Times New Roman" w:hAnsi="Times New Roman"/>
                <w:sz w:val="19"/>
              </w:rPr>
              <w:t xml:space="preserve">Institutional complement</w:t>
            </w:r>
          </w:p>
        </w:tc>
      </w:tr>
      <w:tr>
        <w:tc>
          <w:tcPr/>
          <w:p>
            <w:pPr>
              <w:pStyle w:val="Compact"/>
              <w:spacing w:line="240" w:lineRule="auto" w:after="40"/>
              <w:ind w:firstLine="0"/>
              <w:jc w:val="left"/>
            </w:pPr>
            <w:r>
              <w:rPr>
                <w:rFonts w:ascii="Times New Roman" w:hAnsi="Times New Roman"/>
                <w:sz w:val="19"/>
              </w:rPr>
              <w:t xml:space="preserve">AI is not useful for the enterprise</w:t>
            </w:r>
          </w:p>
        </w:tc>
        <w:tc>
          <w:tcPr/>
          <w:p>
            <w:pPr>
              <w:pStyle w:val="Compact"/>
              <w:spacing w:line="240" w:lineRule="auto" w:after="40"/>
              <w:ind w:firstLine="0"/>
              <w:jc w:val="right"/>
            </w:pPr>
            <w:r>
              <w:rPr>
                <w:rFonts w:ascii="Times New Roman" w:hAnsi="Times New Roman"/>
                <w:sz w:val="19"/>
              </w:rPr>
              <w:t xml:space="preserve">17.8</w:t>
            </w:r>
          </w:p>
        </w:tc>
        <w:tc>
          <w:tcPr/>
          <w:p>
            <w:pPr>
              <w:pStyle w:val="Compact"/>
              <w:spacing w:line="240" w:lineRule="auto" w:after="40"/>
              <w:ind w:firstLine="0"/>
              <w:jc w:val="left"/>
            </w:pPr>
            <w:r>
              <w:rPr>
                <w:rFonts w:ascii="Times New Roman" w:hAnsi="Times New Roman"/>
                <w:sz w:val="19"/>
              </w:rPr>
              <w:t xml:space="preserve">Capability failure</w:t>
            </w:r>
          </w:p>
        </w:tc>
      </w:tr>
    </w:tbl>
    <w:p>
      <w:pPr>
        <w:pStyle w:val="BodyText"/>
        <w:spacing w:line="240" w:lineRule="auto" w:after="120" w:before="0"/>
        <w:ind w:firstLine="0"/>
        <w:jc w:val="left"/>
      </w:pPr>
      <w:r>
        <w:rPr>
          <w:iCs/>
          <w:rFonts w:ascii="Times New Roman" w:hAnsi="Times New Roman" w:eastAsia="Times New Roman" w:cs="Times New Roman"/>
          <w:i/>
        </w:rPr>
        <w:t xml:space="preserve">Source.</w:t>
      </w:r>
      <w:r>
        <w:rPr>
          <w:rFonts w:ascii="Times New Roman" w:hAnsi="Times New Roman" w:eastAsia="Times New Roman" w:cs="Times New Roman"/>
        </w:rPr>
        <w:t xml:space="preserve"> </w:t>
      </w:r>
      <w:r>
        <w:rPr>
          <w:rFonts w:ascii="Times New Roman" w:hAnsi="Times New Roman" w:eastAsia="Times New Roman" w:cs="Times New Roman"/>
        </w:rPr>
        <w:t xml:space="preserve">Eurostat 2025. Multiple answers allowed. Items refer to AI in general and are asked only of enterprises that considered AI.</w:t>
      </w:r>
    </w:p>
    <w:p>
      <w:pPr>
        <w:pStyle w:val="BodyText"/>
        <w:spacing w:line="480" w:lineRule="auto" w:after="0" w:before="0"/>
        <w:ind w:firstLine="720"/>
        <w:jc w:val="left"/>
      </w:pPr>
      <w:r>
        <w:rPr>
          <w:rFonts w:ascii="Times New Roman" w:hAnsi="Times New Roman" w:eastAsia="Times New Roman" w:cs="Times New Roman"/>
        </w:rPr>
        <w:t xml:space="preserve">Three limits govern how far this evidence reaches. First, the items refer to AI in general, so the share citing legal uncertainty may partly reflect text or decision tools. Second, firms that never considered AI are excluded, and they may include many for which the tool is genuinely not useful; the 17.8 percent figure is therefore a lower bound on capability-based non-adoption in the population. Third, the evidence concerns non-adopters and cannot show that the same barriers block assimilation among adopters, which is what H3 would test.</w:t>
      </w:r>
    </w:p>
    <w:p>
      <w:pPr>
        <w:pStyle w:val="BodyText"/>
        <w:spacing w:line="480" w:lineRule="auto" w:after="0" w:before="0"/>
        <w:ind w:firstLine="720"/>
        <w:jc w:val="left"/>
      </w:pPr>
      <w:r>
        <w:rPr>
          <w:rFonts w:ascii="Times New Roman" w:hAnsi="Times New Roman" w:eastAsia="Times New Roman" w:cs="Times New Roman"/>
        </w:rPr>
        <w:t xml:space="preserve">Cross-country patterns are descriptive. Across 23 countries, acquisition of visual generation is negatively correlated with the share of considerers citing costs (</w:t>
      </w:r>
      <m:oMath>
        <m:r>
          <m:t>r</m:t>
        </m:r>
        <m:r>
          <m:rPr>
            <m:sty m:val="p"/>
          </m:rPr>
          <m:t>=</m:t>
        </m:r>
        <m:r>
          <m:rPr>
            <m:sty m:val="p"/>
          </m:rPr>
          <m:t>−</m:t>
        </m:r>
        <m:r>
          <m:t>0.76</m:t>
        </m:r>
      </m:oMath>
      <w:r>
        <w:rPr>
          <w:rFonts w:ascii="Times New Roman" w:hAnsi="Times New Roman" w:eastAsia="Times New Roman" w:cs="Times New Roman"/>
        </w:rPr>
        <w:t xml:space="preserve">), weakly with unclear legal consequences (</w:t>
      </w:r>
      <m:oMath>
        <m:r>
          <m:t>r</m:t>
        </m:r>
        <m:r>
          <m:rPr>
            <m:sty m:val="p"/>
          </m:rPr>
          <m:t>=</m:t>
        </m:r>
        <m:r>
          <m:rPr>
            <m:sty m:val="p"/>
          </m:rPr>
          <m:t>−</m:t>
        </m:r>
        <m:r>
          <m:t>0.24</m:t>
        </m:r>
      </m:oMath>
      <w:r>
        <w:rPr>
          <w:rFonts w:ascii="Times New Roman" w:hAnsi="Times New Roman" w:eastAsia="Times New Roman" w:cs="Times New Roman"/>
        </w:rPr>
        <w:t xml:space="preserve">) and data protection (</w:t>
      </w:r>
      <m:oMath>
        <m:r>
          <m:t>r</m:t>
        </m:r>
        <m:r>
          <m:rPr>
            <m:sty m:val="p"/>
          </m:rPr>
          <m:t>=</m:t>
        </m:r>
        <m:r>
          <m:rPr>
            <m:sty m:val="p"/>
          </m:rPr>
          <m:t>−</m:t>
        </m:r>
        <m:r>
          <m:t>0.02</m:t>
        </m:r>
      </m:oMath>
      <w:r>
        <w:rPr>
          <w:rFonts w:ascii="Times New Roman" w:hAnsi="Times New Roman" w:eastAsia="Times New Roman" w:cs="Times New Roman"/>
        </w:rPr>
        <w:t xml:space="preserve">), and positively with missing expertise (</w:t>
      </w:r>
      <m:oMath>
        <m:r>
          <m:t>r</m:t>
        </m:r>
        <m:r>
          <m:rPr>
            <m:sty m:val="p"/>
          </m:rPr>
          <m:t>=</m:t>
        </m:r>
        <m:r>
          <m:t>0.46</m:t>
        </m:r>
      </m:oMath>
      <w:r>
        <w:rPr>
          <w:rFonts w:ascii="Times New Roman" w:hAnsi="Times New Roman" w:eastAsia="Times New Roman" w:cs="Times New Roman"/>
        </w:rPr>
        <w:t xml:space="preserve">), which would be expected if countries with more acquisition also have more considerers who have encountered the knowledge barrier. With 23 observations these correlations do not show that differences in legal concern explain differences in acquisition. Sector exposure to visual content creation, defined as the employment-weighted mean of one-digit occupation exposure (pooled O*NET task scores, with 2022 Labour Force Survey employment by occupation and NACE section as weights), correlates 0.76 across nine EU27 sectors with visual-generation acquisition, but also with text-generation acquisition (0.75), image recognition (0.74), and use of any AI (0.82). In 222 country-sector cells with country fixed effects, a standard deviation of exposure is associated with higher acquisition of every AI type (6.0 percentage points for visual generation; permutation</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-values 0.016 to 0.023). Exposure therefore identifies digitally intensive sectors rather than a specific propensity to acquire visual generators, which is a further reason not to read exposure gradients in hiring as effects of visual generation.</w:t>
      </w:r>
    </w:p>
    <w:bookmarkEnd w:id="41"/>
    <w:bookmarkEnd w:id="42"/>
    <w:bookmarkStart w:id="49" w:name="X0775f8330c9593e54d58f04a83b284a01583fa5"/>
    <w:p>
      <w:pPr>
        <w:pStyle w:val="Heading2"/>
      </w:pPr>
      <w:r>
        <w:rPr>
          <w:rFonts w:ascii="Times New Roman" w:hAnsi="Times New Roman" w:eastAsia="Times New Roman" w:cs="Times New Roman"/>
        </w:rPr>
        <w:t xml:space="preserve">7 Occupation-Level Hiring Through the Bound</w:t>
      </w:r>
    </w:p>
    <w:bookmarkStart w:id="43" w:name="exposure-gradients"/>
    <w:p>
      <w:pPr>
        <w:pStyle w:val="Heading3"/>
      </w:pPr>
      <w:r>
        <w:rPr>
          <w:rFonts w:ascii="Times New Roman" w:hAnsi="Times New Roman" w:eastAsia="Times New Roman" w:cs="Times New Roman"/>
        </w:rPr>
        <w:t xml:space="preserve">7.1 Exposure Gradients</w:t>
      </w:r>
    </w:p>
    <w:p>
      <w:pPr>
        <w:pStyle w:val="FirstParagraph"/>
        <w:spacing w:line="480" w:lineRule="auto" w:after="0" w:before="0"/>
        <w:ind w:firstLine="720"/>
        <w:jc w:val="left"/>
      </w:pPr>
      <w:r>
        <w:rPr>
          <w:rFonts w:ascii="Times New Roman" w:hAnsi="Times New Roman" w:eastAsia="Times New Roman" w:cs="Times New Roman"/>
        </w:rPr>
        <w:t xml:space="preserve">For each country-occupation cell in 16 European countries we regress the change in log online adverts relative to 2022 on standardized visual-creation exposure and standardized language-model exposure, separately for each year, with country fixed effects and standard errors clustered by ISCO occupation (Table 4). Randomization</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-values permute exposure across occupations. A standard deviation of exposure is associated with 2.2 percent fewer adverts in 2023 (standard error 0.7, randomization</w:t>
      </w:r>
      <w:r>
        <w:rPr>
          <w:rFonts w:ascii="Times New Roman" w:hAnsi="Times New Roman" w:eastAsia="Times New Roman" w:cs="Times New Roman"/>
        </w:rPr>
        <w:t xml:space="preserve"> </w:t>
      </w:r>
      <m:oMath>
        <m:r>
          <m:t>p</m:t>
        </m:r>
        <m:r>
          <m:rPr>
            <m:sty m:val="p"/>
          </m:rPr>
          <m:t>=</m:t>
        </m:r>
        <m:r>
          <m:t>0.012</m:t>
        </m:r>
      </m:oMath>
      <w:r>
        <w:rPr>
          <w:rFonts w:ascii="Times New Roman" w:hAnsi="Times New Roman" w:eastAsia="Times New Roman" w:cs="Times New Roman"/>
        </w:rPr>
        <w:t xml:space="preserve">) and 2.9 percent fewer in 2024 (standard error 1.8,</w:t>
      </w:r>
      <w:r>
        <w:rPr>
          <w:rFonts w:ascii="Times New Roman" w:hAnsi="Times New Roman" w:eastAsia="Times New Roman" w:cs="Times New Roman"/>
        </w:rPr>
        <w:t xml:space="preserve"> </w:t>
      </w:r>
      <m:oMath>
        <m:r>
          <m:t>p</m:t>
        </m:r>
        <m:r>
          <m:rPr>
            <m:sty m:val="p"/>
          </m:rPr>
          <m:t>=</m:t>
        </m:r>
        <m:r>
          <m:t>0.080</m:t>
        </m:r>
      </m:oMath>
      <w:r>
        <w:rPr>
          <w:rFonts w:ascii="Times New Roman" w:hAnsi="Times New Roman" w:eastAsia="Times New Roman" w:cs="Times New Roman"/>
        </w:rPr>
        <w:t xml:space="preserve">). Without the language control the estimates are</w:t>
      </w:r>
      <w:r>
        <w:rPr>
          <w:rFonts w:ascii="Times New Roman" w:hAnsi="Times New Roman" w:eastAsia="Times New Roman" w:cs="Times New Roman"/>
        </w:rPr>
        <w:t xml:space="preserve"> </w:t>
      </w:r>
      <m:oMath>
        <m:r>
          <m:rPr>
            <m:sty m:val="p"/>
          </m:rPr>
          <m:t>−</m:t>
        </m:r>
        <m:r>
          <m:t>3.4</m:t>
        </m:r>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r>
          <m:rPr>
            <m:sty m:val="p"/>
          </m:rPr>
          <m:t>−</m:t>
        </m:r>
        <m:r>
          <m:t>5.5</m:t>
        </m:r>
      </m:oMath>
      <w:r>
        <w:rPr>
          <w:rFonts w:ascii="Times New Roman" w:hAnsi="Times New Roman" w:eastAsia="Times New Roman" w:cs="Times New Roman"/>
        </w:rPr>
        <w:t xml:space="preserve"> </w:t>
      </w:r>
      <w:r>
        <w:rPr>
          <w:rFonts w:ascii="Times New Roman" w:hAnsi="Times New Roman" w:eastAsia="Times New Roman" w:cs="Times New Roman"/>
        </w:rPr>
        <w:t xml:space="preserve">percent, because exposure to visual content creation and exposure to language models are positively correlated across occupations (0.12).</w:t>
      </w:r>
    </w:p>
    <w:p>
      <w:pPr>
        <w:pStyle w:val="BodyText"/>
        <w:spacing w:line="240" w:lineRule="auto" w:after="120" w:before="0"/>
        <w:ind w:firstLine="0"/>
        <w:jc w:val="left"/>
      </w:pPr>
      <w:r>
        <w:rPr>
          <w:bCs/>
          <w:rFonts w:ascii="Times New Roman" w:hAnsi="Times New Roman" w:eastAsia="Times New Roman" w:cs="Times New Roman"/>
          <w:b/>
        </w:rPr>
        <w:t xml:space="preserve">Table 4. Europe: change in log adverts per standard deviation of visual-creation exposure, relative to 2022</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1320"/>
        <w:gridCol w:w="1320"/>
        <w:gridCol w:w="1320"/>
        <w:gridCol w:w="1320"/>
        <w:gridCol w:w="1320"/>
        <w:gridCol w:w="1320"/>
      </w:tblGrid>
      <w:tr>
        <w:trPr>
          <w:tblHeader w:val="true"/>
        </w:trPr>
        <w:tc>
          <w:tcPr>
            <w:tcBorders>
              <w:bottom w:val="single" w:sz="6" w:color="000000"/>
            </w:tcBorders>
          </w:tcPr>
          <w:p>
            <w:pPr>
              <w:pStyle w:val="Compact"/>
              <w:spacing w:line="240" w:lineRule="auto" w:after="40"/>
              <w:ind w:firstLine="0"/>
            </w:pP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2019</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2020</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2021</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2023</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2024</w:t>
            </w:r>
          </w:p>
        </w:tc>
      </w:tr>
      <w:tr>
        <w:tc>
          <w:tcPr/>
          <w:p>
            <w:pPr>
              <w:pStyle w:val="Compact"/>
              <w:spacing w:line="240" w:lineRule="auto" w:after="40"/>
              <w:ind w:firstLine="0"/>
              <w:jc w:val="left"/>
            </w:pPr>
            <w:r>
              <w:rPr>
                <w:rFonts w:ascii="Times New Roman" w:hAnsi="Times New Roman"/>
                <w:sz w:val="19"/>
              </w:rPr>
              <w:t xml:space="preserve">Preferred (country FE, language-model control)</w:t>
            </w:r>
          </w:p>
        </w:tc>
        <w:tc>
          <w:tcPr/>
          <w:p>
            <w:pPr>
              <w:pStyle w:val="Compact"/>
              <w:spacing w:line="240" w:lineRule="auto" w:after="40"/>
              <w:ind w:firstLine="0"/>
              <w:jc w:val="right"/>
            </w:pPr>
            <w:r>
              <w:rPr>
                <w:rFonts w:ascii="Times New Roman" w:hAnsi="Times New Roman"/>
                <w:sz w:val="19"/>
              </w:rPr>
              <w:t xml:space="preserve">+0.024 (0.015)</w:t>
            </w:r>
          </w:p>
        </w:tc>
        <w:tc>
          <w:tcPr/>
          <w:p>
            <w:pPr>
              <w:pStyle w:val="Compact"/>
              <w:spacing w:line="240" w:lineRule="auto" w:after="40"/>
              <w:ind w:firstLine="0"/>
              <w:jc w:val="right"/>
            </w:pPr>
            <w:r>
              <w:rPr>
                <w:rFonts w:ascii="Times New Roman" w:hAnsi="Times New Roman"/>
                <w:sz w:val="19"/>
              </w:rPr>
              <w:t xml:space="preserve">+0.010 (0.015)</w:t>
            </w:r>
          </w:p>
        </w:tc>
        <w:tc>
          <w:tcPr/>
          <w:p>
            <w:pPr>
              <w:pStyle w:val="Compact"/>
              <w:spacing w:line="240" w:lineRule="auto" w:after="40"/>
              <w:ind w:firstLine="0"/>
              <w:jc w:val="right"/>
            </w:pPr>
            <w:r>
              <w:rPr>
                <w:rFonts w:ascii="Times New Roman" w:hAnsi="Times New Roman"/>
                <w:sz w:val="19"/>
              </w:rPr>
              <w:t xml:space="preserve">+0.014 (0.009)</w:t>
            </w:r>
          </w:p>
        </w:tc>
        <w:tc>
          <w:tcPr/>
          <w:p>
            <w:pPr>
              <w:pStyle w:val="Compact"/>
              <w:spacing w:line="240" w:lineRule="auto" w:after="40"/>
              <w:ind w:firstLine="0"/>
              <w:jc w:val="right"/>
            </w:pPr>
            <w:r>
              <w:rPr>
                <w:rFonts w:ascii="Times New Roman" w:hAnsi="Times New Roman"/>
                <w:sz w:val="19"/>
              </w:rPr>
              <w:t xml:space="preserve">−0.022 (0.007)</w:t>
            </w:r>
          </w:p>
        </w:tc>
        <w:tc>
          <w:tcPr/>
          <w:p>
            <w:pPr>
              <w:pStyle w:val="Compact"/>
              <w:spacing w:line="240" w:lineRule="auto" w:after="40"/>
              <w:ind w:firstLine="0"/>
              <w:jc w:val="right"/>
            </w:pPr>
            <w:r>
              <w:rPr>
                <w:rFonts w:ascii="Times New Roman" w:hAnsi="Times New Roman"/>
                <w:sz w:val="19"/>
              </w:rPr>
              <w:t xml:space="preserve">−0.029 (0.018)</w:t>
            </w:r>
          </w:p>
        </w:tc>
      </w:tr>
      <w:tr>
        <w:tc>
          <w:tcPr/>
          <w:p>
            <w:pPr>
              <w:pStyle w:val="Compact"/>
              <w:spacing w:line="240" w:lineRule="auto" w:after="40"/>
              <w:ind w:firstLine="0"/>
              <w:jc w:val="left"/>
            </w:pPr>
            <w:r>
              <w:rPr>
                <w:rFonts w:ascii="Times New Roman" w:hAnsi="Times New Roman"/>
                <w:sz w:val="19"/>
              </w:rPr>
              <w:t xml:space="preserve">No language-model control</w:t>
            </w:r>
          </w:p>
        </w:tc>
        <w:tc>
          <w:tcPr/>
          <w:p>
            <w:pPr>
              <w:pStyle w:val="Compact"/>
              <w:spacing w:line="240" w:lineRule="auto" w:after="40"/>
              <w:ind w:firstLine="0"/>
              <w:jc w:val="right"/>
            </w:pPr>
            <w:r>
              <w:rPr>
                <w:rFonts w:ascii="Times New Roman" w:hAnsi="Times New Roman"/>
                <w:sz w:val="19"/>
              </w:rPr>
              <w:t xml:space="preserve">+0.014 (0.015)</w:t>
            </w:r>
          </w:p>
        </w:tc>
        <w:tc>
          <w:tcPr/>
          <w:p>
            <w:pPr>
              <w:pStyle w:val="Compact"/>
              <w:spacing w:line="240" w:lineRule="auto" w:after="40"/>
              <w:ind w:firstLine="0"/>
              <w:jc w:val="right"/>
            </w:pPr>
            <w:r>
              <w:rPr>
                <w:rFonts w:ascii="Times New Roman" w:hAnsi="Times New Roman"/>
                <w:sz w:val="19"/>
              </w:rPr>
              <w:t xml:space="preserve">+0.002 (0.015)</w:t>
            </w:r>
          </w:p>
        </w:tc>
        <w:tc>
          <w:tcPr/>
          <w:p>
            <w:pPr>
              <w:pStyle w:val="Compact"/>
              <w:spacing w:line="240" w:lineRule="auto" w:after="40"/>
              <w:ind w:firstLine="0"/>
              <w:jc w:val="right"/>
            </w:pPr>
            <w:r>
              <w:rPr>
                <w:rFonts w:ascii="Times New Roman" w:hAnsi="Times New Roman"/>
                <w:sz w:val="19"/>
              </w:rPr>
              <w:t xml:space="preserve">+0.011 (0.009)</w:t>
            </w:r>
          </w:p>
        </w:tc>
        <w:tc>
          <w:tcPr/>
          <w:p>
            <w:pPr>
              <w:pStyle w:val="Compact"/>
              <w:spacing w:line="240" w:lineRule="auto" w:after="40"/>
              <w:ind w:firstLine="0"/>
              <w:jc w:val="right"/>
            </w:pPr>
            <w:r>
              <w:rPr>
                <w:rFonts w:ascii="Times New Roman" w:hAnsi="Times New Roman"/>
                <w:sz w:val="19"/>
              </w:rPr>
              <w:t xml:space="preserve">−0.034 (0.008)</w:t>
            </w:r>
          </w:p>
        </w:tc>
        <w:tc>
          <w:tcPr/>
          <w:p>
            <w:pPr>
              <w:pStyle w:val="Compact"/>
              <w:spacing w:line="240" w:lineRule="auto" w:after="40"/>
              <w:ind w:firstLine="0"/>
              <w:jc w:val="right"/>
            </w:pPr>
            <w:r>
              <w:rPr>
                <w:rFonts w:ascii="Times New Roman" w:hAnsi="Times New Roman"/>
                <w:sz w:val="19"/>
              </w:rPr>
              <w:t xml:space="preserve">−0.055 (0.020)</w:t>
            </w:r>
          </w:p>
        </w:tc>
      </w:tr>
      <w:tr>
        <w:tc>
          <w:tcPr/>
          <w:p>
            <w:pPr>
              <w:pStyle w:val="Compact"/>
              <w:spacing w:line="240" w:lineRule="auto" w:after="40"/>
              <w:ind w:firstLine="0"/>
              <w:jc w:val="left"/>
            </w:pPr>
            <w:r>
              <w:rPr>
                <w:rFonts w:ascii="Times New Roman" w:hAnsi="Times New Roman"/>
                <w:sz w:val="19"/>
              </w:rPr>
              <w:t xml:space="preserve">Deviation from linear pre-trend (preferred)</w:t>
            </w:r>
          </w:p>
        </w:tc>
        <w:tc>
          <w:tcPr/>
          <w:p>
            <w:pPr>
              <w:pStyle w:val="Compact"/>
              <w:spacing w:line="240" w:lineRule="auto" w:after="40"/>
              <w:ind w:firstLine="0"/>
              <w:jc w:val="right"/>
            </w:pPr>
            <w:r>
              <w:rPr>
                <w:rFonts w:ascii="Times New Roman" w:hAnsi="Times New Roman"/>
                <w:sz w:val="19"/>
              </w:rPr>
              <w:t xml:space="preserve">—</w:t>
            </w:r>
          </w:p>
        </w:tc>
        <w:tc>
          <w:tcPr/>
          <w:p>
            <w:pPr>
              <w:pStyle w:val="Compact"/>
              <w:spacing w:line="240" w:lineRule="auto" w:after="40"/>
              <w:ind w:firstLine="0"/>
              <w:jc w:val="right"/>
            </w:pPr>
            <w:r>
              <w:rPr>
                <w:rFonts w:ascii="Times New Roman" w:hAnsi="Times New Roman"/>
                <w:sz w:val="19"/>
              </w:rPr>
              <w:t xml:space="preserve">—</w:t>
            </w:r>
          </w:p>
        </w:tc>
        <w:tc>
          <w:tcPr/>
          <w:p>
            <w:pPr>
              <w:pStyle w:val="Compact"/>
              <w:spacing w:line="240" w:lineRule="auto" w:after="40"/>
              <w:ind w:firstLine="0"/>
              <w:jc w:val="right"/>
            </w:pPr>
            <w:r>
              <w:rPr>
                <w:rFonts w:ascii="Times New Roman" w:hAnsi="Times New Roman"/>
                <w:sz w:val="19"/>
              </w:rPr>
              <w:t xml:space="preserve">—</w:t>
            </w:r>
          </w:p>
        </w:tc>
        <w:tc>
          <w:tcPr/>
          <w:p>
            <w:pPr>
              <w:pStyle w:val="Compact"/>
              <w:spacing w:line="240" w:lineRule="auto" w:after="40"/>
              <w:ind w:firstLine="0"/>
              <w:jc w:val="right"/>
            </w:pPr>
            <w:r>
              <w:rPr>
                <w:rFonts w:ascii="Times New Roman" w:hAnsi="Times New Roman"/>
                <w:sz w:val="19"/>
              </w:rPr>
              <w:t xml:space="preserve">−0.017 (0.012)</w:t>
            </w:r>
          </w:p>
        </w:tc>
        <w:tc>
          <w:tcPr/>
          <w:p>
            <w:pPr>
              <w:pStyle w:val="Compact"/>
              <w:spacing w:line="240" w:lineRule="auto" w:after="40"/>
              <w:ind w:firstLine="0"/>
              <w:jc w:val="right"/>
            </w:pPr>
            <w:r>
              <w:rPr>
                <w:rFonts w:ascii="Times New Roman" w:hAnsi="Times New Roman"/>
                <w:sz w:val="19"/>
              </w:rPr>
              <w:t xml:space="preserve">−0.017 (0.029)</w:t>
            </w:r>
          </w:p>
        </w:tc>
      </w:tr>
      <w:tr>
        <w:tc>
          <w:tcPr/>
          <w:p>
            <w:pPr>
              <w:pStyle w:val="Compact"/>
              <w:spacing w:line="240" w:lineRule="auto" w:after="40"/>
              <w:ind w:firstLine="0"/>
              <w:jc w:val="left"/>
            </w:pPr>
            <w:r>
              <w:rPr>
                <w:rFonts w:ascii="Times New Roman" w:hAnsi="Times New Roman"/>
                <w:sz w:val="19"/>
              </w:rPr>
              <w:t xml:space="preserve">Randomization</w:t>
            </w:r>
            <w:r>
              <w:rPr>
                <w:rFonts w:ascii="Times New Roman" w:hAnsi="Times New Roman"/>
                <w:sz w:val="19"/>
              </w:rPr>
              <w:t xml:space="preserve"> </w:t>
            </w:r>
            <m:oMath>
              <m:r>
                <m:t>p</m:t>
              </m:r>
            </m:oMath>
            <w:r>
              <w:rPr>
                <w:rFonts w:ascii="Times New Roman" w:hAnsi="Times New Roman"/>
                <w:sz w:val="19"/>
              </w:rPr>
              <w:t xml:space="preserve"> </w:t>
            </w:r>
            <w:r>
              <w:rPr>
                <w:rFonts w:ascii="Times New Roman" w:hAnsi="Times New Roman"/>
                <w:sz w:val="19"/>
              </w:rPr>
              <w:t xml:space="preserve">(preferred)</w:t>
            </w:r>
          </w:p>
        </w:tc>
        <w:tc>
          <w:tcPr/>
          <w:p>
            <w:pPr>
              <w:pStyle w:val="Compact"/>
              <w:spacing w:line="240" w:lineRule="auto" w:after="40"/>
              <w:ind w:firstLine="0"/>
              <w:jc w:val="right"/>
            </w:pPr>
            <w:r>
              <w:rPr>
                <w:rFonts w:ascii="Times New Roman" w:hAnsi="Times New Roman"/>
                <w:sz w:val="19"/>
              </w:rPr>
              <w:t xml:space="preserve">0.126</w:t>
            </w:r>
          </w:p>
        </w:tc>
        <w:tc>
          <w:tcPr/>
          <w:p>
            <w:pPr>
              <w:pStyle w:val="Compact"/>
              <w:spacing w:line="240" w:lineRule="auto" w:after="40"/>
              <w:ind w:firstLine="0"/>
              <w:jc w:val="right"/>
            </w:pPr>
            <w:r>
              <w:rPr>
                <w:rFonts w:ascii="Times New Roman" w:hAnsi="Times New Roman"/>
                <w:sz w:val="19"/>
              </w:rPr>
              <w:t xml:space="preserve">0.595</w:t>
            </w:r>
          </w:p>
        </w:tc>
        <w:tc>
          <w:tcPr/>
          <w:p>
            <w:pPr>
              <w:pStyle w:val="Compact"/>
              <w:spacing w:line="240" w:lineRule="auto" w:after="40"/>
              <w:ind w:firstLine="0"/>
              <w:jc w:val="right"/>
            </w:pPr>
            <w:r>
              <w:rPr>
                <w:rFonts w:ascii="Times New Roman" w:hAnsi="Times New Roman"/>
                <w:sz w:val="19"/>
              </w:rPr>
              <w:t xml:space="preserve">0.166</w:t>
            </w:r>
          </w:p>
        </w:tc>
        <w:tc>
          <w:tcPr/>
          <w:p>
            <w:pPr>
              <w:pStyle w:val="Compact"/>
              <w:spacing w:line="240" w:lineRule="auto" w:after="40"/>
              <w:ind w:firstLine="0"/>
              <w:jc w:val="right"/>
            </w:pPr>
            <w:r>
              <w:rPr>
                <w:rFonts w:ascii="Times New Roman" w:hAnsi="Times New Roman"/>
                <w:sz w:val="19"/>
              </w:rPr>
              <w:t xml:space="preserve">0.012</w:t>
            </w:r>
          </w:p>
        </w:tc>
        <w:tc>
          <w:tcPr/>
          <w:p>
            <w:pPr>
              <w:pStyle w:val="Compact"/>
              <w:spacing w:line="240" w:lineRule="auto" w:after="40"/>
              <w:ind w:firstLine="0"/>
              <w:jc w:val="right"/>
            </w:pPr>
            <w:r>
              <w:rPr>
                <w:rFonts w:ascii="Times New Roman" w:hAnsi="Times New Roman"/>
                <w:sz w:val="19"/>
              </w:rPr>
              <w:t xml:space="preserve">0.080</w:t>
            </w:r>
          </w:p>
        </w:tc>
      </w:tr>
      <w:tr>
        <w:tc>
          <w:tcPr/>
          <w:p>
            <w:pPr>
              <w:pStyle w:val="Compact"/>
              <w:spacing w:line="240" w:lineRule="auto" w:after="40"/>
              <w:ind w:firstLine="0"/>
              <w:jc w:val="left"/>
            </w:pPr>
            <w:r>
              <w:rPr>
                <w:rFonts w:ascii="Times New Roman" w:hAnsi="Times New Roman"/>
                <w:sz w:val="19"/>
              </w:rPr>
              <w:t xml:space="preserve">Minimum detectable effect (preferred)</w:t>
            </w:r>
          </w:p>
        </w:tc>
        <w:tc>
          <w:tcPr/>
          <w:p>
            <w:pPr>
              <w:pStyle w:val="Compact"/>
              <w:spacing w:line="240" w:lineRule="auto" w:after="40"/>
              <w:ind w:firstLine="0"/>
              <w:jc w:val="right"/>
            </w:pPr>
            <w:r>
              <w:rPr>
                <w:rFonts w:ascii="Times New Roman" w:hAnsi="Times New Roman"/>
                <w:sz w:val="19"/>
              </w:rPr>
              <w:t xml:space="preserve">0.041</w:t>
            </w:r>
          </w:p>
        </w:tc>
        <w:tc>
          <w:tcPr/>
          <w:p>
            <w:pPr>
              <w:pStyle w:val="Compact"/>
              <w:spacing w:line="240" w:lineRule="auto" w:after="40"/>
              <w:ind w:firstLine="0"/>
              <w:jc w:val="right"/>
            </w:pPr>
            <w:r>
              <w:rPr>
                <w:rFonts w:ascii="Times New Roman" w:hAnsi="Times New Roman"/>
                <w:sz w:val="19"/>
              </w:rPr>
              <w:t xml:space="preserve">0.042</w:t>
            </w:r>
          </w:p>
        </w:tc>
        <w:tc>
          <w:tcPr/>
          <w:p>
            <w:pPr>
              <w:pStyle w:val="Compact"/>
              <w:spacing w:line="240" w:lineRule="auto" w:after="40"/>
              <w:ind w:firstLine="0"/>
              <w:jc w:val="right"/>
            </w:pPr>
            <w:r>
              <w:rPr>
                <w:rFonts w:ascii="Times New Roman" w:hAnsi="Times New Roman"/>
                <w:sz w:val="19"/>
              </w:rPr>
              <w:t xml:space="preserve">0.025</w:t>
            </w:r>
          </w:p>
        </w:tc>
        <w:tc>
          <w:tcPr/>
          <w:p>
            <w:pPr>
              <w:pStyle w:val="Compact"/>
              <w:spacing w:line="240" w:lineRule="auto" w:after="40"/>
              <w:ind w:firstLine="0"/>
              <w:jc w:val="right"/>
            </w:pPr>
            <w:r>
              <w:rPr>
                <w:rFonts w:ascii="Times New Roman" w:hAnsi="Times New Roman"/>
                <w:sz w:val="19"/>
              </w:rPr>
              <w:t xml:space="preserve">0.019</w:t>
            </w:r>
          </w:p>
        </w:tc>
        <w:tc>
          <w:tcPr/>
          <w:p>
            <w:pPr>
              <w:pStyle w:val="Compact"/>
              <w:spacing w:line="240" w:lineRule="auto" w:after="40"/>
              <w:ind w:firstLine="0"/>
              <w:jc w:val="right"/>
            </w:pPr>
            <w:r>
              <w:rPr>
                <w:rFonts w:ascii="Times New Roman" w:hAnsi="Times New Roman"/>
                <w:sz w:val="19"/>
              </w:rPr>
              <w:t xml:space="preserve">0.050</w:t>
            </w:r>
          </w:p>
        </w:tc>
      </w:tr>
      <w:tr>
        <w:tc>
          <w:tcPr/>
          <w:p>
            <w:pPr>
              <w:pStyle w:val="Compact"/>
              <w:spacing w:line="240" w:lineRule="auto" w:after="40"/>
              <w:ind w:firstLine="0"/>
              <w:jc w:val="left"/>
            </w:pPr>
            <w:r>
              <w:rPr>
                <w:rFonts w:ascii="Times New Roman" w:hAnsi="Times New Roman"/>
                <w:sz w:val="19"/>
              </w:rPr>
              <w:t xml:space="preserve">Second scorer (preferred)</w:t>
            </w:r>
          </w:p>
        </w:tc>
        <w:tc>
          <w:tcPr/>
          <w:p>
            <w:pPr>
              <w:pStyle w:val="Compact"/>
              <w:spacing w:line="240" w:lineRule="auto" w:after="40"/>
              <w:ind w:firstLine="0"/>
              <w:jc w:val="right"/>
            </w:pPr>
            <w:r>
              <w:rPr>
                <w:rFonts w:ascii="Times New Roman" w:hAnsi="Times New Roman"/>
                <w:sz w:val="19"/>
              </w:rPr>
              <w:t xml:space="preserve">+0.023 (0.015)</w:t>
            </w:r>
          </w:p>
        </w:tc>
        <w:tc>
          <w:tcPr/>
          <w:p>
            <w:pPr>
              <w:pStyle w:val="Compact"/>
              <w:spacing w:line="240" w:lineRule="auto" w:after="40"/>
              <w:ind w:firstLine="0"/>
              <w:jc w:val="right"/>
            </w:pPr>
            <w:r>
              <w:rPr>
                <w:rFonts w:ascii="Times New Roman" w:hAnsi="Times New Roman"/>
                <w:sz w:val="19"/>
              </w:rPr>
              <w:t xml:space="preserve">+0.004 (0.015)</w:t>
            </w:r>
          </w:p>
        </w:tc>
        <w:tc>
          <w:tcPr/>
          <w:p>
            <w:pPr>
              <w:pStyle w:val="Compact"/>
              <w:spacing w:line="240" w:lineRule="auto" w:after="40"/>
              <w:ind w:firstLine="0"/>
              <w:jc w:val="right"/>
            </w:pPr>
            <w:r>
              <w:rPr>
                <w:rFonts w:ascii="Times New Roman" w:hAnsi="Times New Roman"/>
                <w:sz w:val="19"/>
              </w:rPr>
              <w:t xml:space="preserve">+0.011 (0.009)</w:t>
            </w:r>
          </w:p>
        </w:tc>
        <w:tc>
          <w:tcPr/>
          <w:p>
            <w:pPr>
              <w:pStyle w:val="Compact"/>
              <w:spacing w:line="240" w:lineRule="auto" w:after="40"/>
              <w:ind w:firstLine="0"/>
              <w:jc w:val="right"/>
            </w:pPr>
            <w:r>
              <w:rPr>
                <w:rFonts w:ascii="Times New Roman" w:hAnsi="Times New Roman"/>
                <w:sz w:val="19"/>
              </w:rPr>
              <w:t xml:space="preserve">−0.025 (0.007)</w:t>
            </w:r>
          </w:p>
        </w:tc>
        <w:tc>
          <w:tcPr/>
          <w:p>
            <w:pPr>
              <w:pStyle w:val="Compact"/>
              <w:spacing w:line="240" w:lineRule="auto" w:after="40"/>
              <w:ind w:firstLine="0"/>
              <w:jc w:val="right"/>
            </w:pPr>
            <w:r>
              <w:rPr>
                <w:rFonts w:ascii="Times New Roman" w:hAnsi="Times New Roman"/>
                <w:sz w:val="19"/>
              </w:rPr>
              <w:t xml:space="preserve">−0.032 (0.017)</w:t>
            </w:r>
          </w:p>
        </w:tc>
      </w:tr>
    </w:tbl>
    <w:p>
      <w:pPr>
        <w:pStyle w:val="BodyText"/>
        <w:spacing w:line="240" w:lineRule="auto" w:after="120" w:before="0"/>
        <w:ind w:firstLine="0"/>
        <w:jc w:val="left"/>
      </w:pPr>
      <w:r>
        <w:rPr>
          <w:iCs/>
          <w:rFonts w:ascii="Times New Roman" w:hAnsi="Times New Roman" w:eastAsia="Times New Roman" w:cs="Times New Roman"/>
          <w:i/>
        </w:rPr>
        <w:t xml:space="preserve">Notes.</w:t>
      </w:r>
      <w:r>
        <w:rPr>
          <w:rFonts w:ascii="Times New Roman" w:hAnsi="Times New Roman" w:eastAsia="Times New Roman" w:cs="Times New Roman"/>
        </w:rPr>
        <w:t xml:space="preserve"> </w:t>
      </w:r>
      <w:r>
        <w:rPr>
          <w:rFonts w:ascii="Times New Roman" w:hAnsi="Times New Roman" w:eastAsia="Times New Roman" w:cs="Times New Roman"/>
        </w:rPr>
        <w:t xml:space="preserve">604 country-occupation cells (96 occupations, 16 countries); separate regressions by year with country fixed effects; standard errors clustered by ISCO three-digit occupation in parentheses. Randomization</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-values come from 5,000 permutations of exposure across occupations. Minimum detectable effect = 2.8 × standard error (two-sided 5 percent test, 80 percent power). The deviation row fits a linear trend to the 2019–2021 coefficients and the 2022 base year (zero by construction) in a joint model with year-specific slopes, and reports the deviation of the 2023 and 2024 coefficients from its extrapolation; the fitted slope is</w:t>
      </w:r>
      <w:r>
        <w:rPr>
          <w:rFonts w:ascii="Times New Roman" w:hAnsi="Times New Roman" w:eastAsia="Times New Roman" w:cs="Times New Roman"/>
        </w:rPr>
        <w:t xml:space="preserve"> </w:t>
      </w:r>
      <m:oMath>
        <m:r>
          <m:rPr>
            <m:sty m:val="p"/>
          </m:rPr>
          <m:t>−</m:t>
        </m:r>
        <m:r>
          <m:t>0.0069</m:t>
        </m:r>
      </m:oMath>
      <w:r>
        <w:rPr>
          <w:rFonts w:ascii="Times New Roman" w:hAnsi="Times New Roman" w:eastAsia="Times New Roman" w:cs="Times New Roman"/>
        </w:rPr>
        <w:t xml:space="preserve"> </w:t>
      </w:r>
      <w:r>
        <w:rPr>
          <w:rFonts w:ascii="Times New Roman" w:hAnsi="Times New Roman" w:eastAsia="Times New Roman" w:cs="Times New Roman"/>
        </w:rPr>
        <w:t xml:space="preserve">per year (standard error 0.0056). The last row uses scores from a second model for both exposure measures.</w:t>
      </w:r>
    </w:p>
    <w:p>
      <w:pPr>
        <w:pStyle w:val="BodyText"/>
        <w:spacing w:line="480" w:lineRule="auto" w:after="0" w:before="0"/>
        <w:ind w:firstLine="720"/>
        <w:jc w:val="left"/>
      </w:pPr>
      <w:r>
        <w:rPr>
          <w:rFonts w:ascii="Times New Roman" w:hAnsi="Times New Roman" w:eastAsia="Times New Roman" w:cs="Times New Roman"/>
        </w:rPr>
        <w:t xml:space="preserve">The coefficients before 2022 are positive (+0.024, +0.010, and +0.014 for 2019, 2020, and 2021). Because the outcome is the change in adverts relative to 2022, a positive coefficient means that exposed occupations had more adverts in those years than in 2022, that is, they were already declining relative to others before generative tools were released. The trend is weak (</w:t>
      </w:r>
      <m:oMath>
        <m:r>
          <m:rPr>
            <m:sty m:val="p"/>
          </m:rPr>
          <m:t>−</m:t>
        </m:r>
        <m:r>
          <m:t>0.007</m:t>
        </m:r>
      </m:oMath>
      <w:r>
        <w:rPr>
          <w:rFonts w:ascii="Times New Roman" w:hAnsi="Times New Roman" w:eastAsia="Times New Roman" w:cs="Times New Roman"/>
        </w:rPr>
        <w:t xml:space="preserve"> </w:t>
      </w:r>
      <w:r>
        <w:rPr>
          <w:rFonts w:ascii="Times New Roman" w:hAnsi="Times New Roman" w:eastAsia="Times New Roman" w:cs="Times New Roman"/>
        </w:rPr>
        <w:t xml:space="preserve">per year, standard error 0.006) and rests on four points, but it runs in the same direction as the post-2022 coefficients. Relative to its extrapolation, the 2023 and 2024 coefficients are</w:t>
      </w:r>
      <w:r>
        <w:rPr>
          <w:rFonts w:ascii="Times New Roman" w:hAnsi="Times New Roman" w:eastAsia="Times New Roman" w:cs="Times New Roman"/>
        </w:rPr>
        <w:t xml:space="preserve"> </w:t>
      </w:r>
      <m:oMath>
        <m:r>
          <m:rPr>
            <m:sty m:val="p"/>
          </m:rPr>
          <m:t>−</m:t>
        </m:r>
        <m:r>
          <m:t>0.017</m:t>
        </m:r>
      </m:oMath>
      <w:r>
        <w:rPr>
          <w:rFonts w:ascii="Times New Roman" w:hAnsi="Times New Roman" w:eastAsia="Times New Roman" w:cs="Times New Roman"/>
        </w:rPr>
        <w:t xml:space="preserve"> </w:t>
      </w:r>
      <w:r>
        <w:rPr>
          <w:rFonts w:ascii="Times New Roman" w:hAnsi="Times New Roman" w:eastAsia="Times New Roman" w:cs="Times New Roman"/>
        </w:rPr>
        <w:t xml:space="preserve">(standard error 0.012) and</w:t>
      </w:r>
      <w:r>
        <w:rPr>
          <w:rFonts w:ascii="Times New Roman" w:hAnsi="Times New Roman" w:eastAsia="Times New Roman" w:cs="Times New Roman"/>
        </w:rPr>
        <w:t xml:space="preserve"> </w:t>
      </w:r>
      <m:oMath>
        <m:r>
          <m:rPr>
            <m:sty m:val="p"/>
          </m:rPr>
          <m:t>−</m:t>
        </m:r>
        <m:r>
          <m:t>0.017</m:t>
        </m:r>
      </m:oMath>
      <w:r>
        <w:rPr>
          <w:rFonts w:ascii="Times New Roman" w:hAnsi="Times New Roman" w:eastAsia="Times New Roman" w:cs="Times New Roman"/>
        </w:rPr>
        <w:t xml:space="preserve"> </w:t>
      </w:r>
      <w:r>
        <w:rPr>
          <w:rFonts w:ascii="Times New Roman" w:hAnsi="Times New Roman" w:eastAsia="Times New Roman" w:cs="Times New Roman"/>
        </w:rPr>
        <w:t xml:space="preserve">(0.029). The series has only two post-2022 years. In Canada, across 312 NOC unit groups with fixed effects for NOC two-digit groups and heteroskedasticity-robust standard errors, the coefficient is</w:t>
      </w:r>
      <w:r>
        <w:rPr>
          <w:rFonts w:ascii="Times New Roman" w:hAnsi="Times New Roman" w:eastAsia="Times New Roman" w:cs="Times New Roman"/>
        </w:rPr>
        <w:t xml:space="preserve"> </w:t>
      </w:r>
      <m:oMath>
        <m:r>
          <m:rPr>
            <m:sty m:val="p"/>
          </m:rPr>
          <m:t>−</m:t>
        </m:r>
        <m:r>
          <m:t>2.9</m:t>
        </m:r>
      </m:oMath>
      <w:r>
        <w:rPr>
          <w:rFonts w:ascii="Times New Roman" w:hAnsi="Times New Roman" w:eastAsia="Times New Roman" w:cs="Times New Roman"/>
        </w:rPr>
        <w:t xml:space="preserve"> </w:t>
      </w:r>
      <w:r>
        <w:rPr>
          <w:rFonts w:ascii="Times New Roman" w:hAnsi="Times New Roman" w:eastAsia="Times New Roman" w:cs="Times New Roman"/>
        </w:rPr>
        <w:t xml:space="preserve">percent in 2023 (standard error 1.3, randomization</w:t>
      </w:r>
      <w:r>
        <w:rPr>
          <w:rFonts w:ascii="Times New Roman" w:hAnsi="Times New Roman" w:eastAsia="Times New Roman" w:cs="Times New Roman"/>
        </w:rPr>
        <w:t xml:space="preserve"> </w:t>
      </w:r>
      <m:oMath>
        <m:r>
          <m:t>p</m:t>
        </m:r>
        <m:r>
          <m:rPr>
            <m:sty m:val="p"/>
          </m:rPr>
          <m:t>=</m:t>
        </m:r>
        <m:r>
          <m:t>0.13</m:t>
        </m:r>
      </m:oMath>
      <w:r>
        <w:rPr>
          <w:rFonts w:ascii="Times New Roman" w:hAnsi="Times New Roman" w:eastAsia="Times New Roman" w:cs="Times New Roman"/>
        </w:rPr>
        <w:t xml:space="preserve">) and indistinguishable from zero afterward (</w:t>
      </w:r>
      <m:oMath>
        <m:r>
          <m:rPr>
            <m:sty m:val="p"/>
          </m:rPr>
          <m:t>+</m:t>
        </m:r>
        <m:r>
          <m:t>1.4</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0.7</m:t>
        </m:r>
      </m:oMath>
      <w:r>
        <w:rPr>
          <w:rFonts w:ascii="Times New Roman" w:hAnsi="Times New Roman" w:eastAsia="Times New Roman" w:cs="Times New Roman"/>
        </w:rPr>
        <w:t xml:space="preserve">, and</w:t>
      </w:r>
      <w:r>
        <w:rPr>
          <w:rFonts w:ascii="Times New Roman" w:hAnsi="Times New Roman" w:eastAsia="Times New Roman" w:cs="Times New Roman"/>
        </w:rPr>
        <w:t xml:space="preserve"> </w:t>
      </w:r>
      <m:oMath>
        <m:r>
          <m:rPr>
            <m:sty m:val="p"/>
          </m:rPr>
          <m:t>−</m:t>
        </m:r>
        <m:r>
          <m:t>3.4</m:t>
        </m:r>
      </m:oMath>
      <w:r>
        <w:rPr>
          <w:rFonts w:ascii="Times New Roman" w:hAnsi="Times New Roman" w:eastAsia="Times New Roman" w:cs="Times New Roman"/>
        </w:rPr>
        <w:t xml:space="preserve"> </w:t>
      </w:r>
      <w:r>
        <w:rPr>
          <w:rFonts w:ascii="Times New Roman" w:hAnsi="Times New Roman" w:eastAsia="Times New Roman" w:cs="Times New Roman"/>
        </w:rPr>
        <w:t xml:space="preserve">percent in 2024, 2025, and the first half of 2026, with standard errors of 3.3, 2.2, and 4.3), in a market where total vacancies fell 47 percent between 2022 and 2025–2026.</w:t>
      </w:r>
    </w:p>
    <w:bookmarkEnd w:id="43"/>
    <w:bookmarkStart w:id="44" w:name="applying-the-bound"/>
    <w:p>
      <w:pPr>
        <w:pStyle w:val="Heading3"/>
      </w:pPr>
      <w:r>
        <w:rPr>
          <w:rFonts w:ascii="Times New Roman" w:hAnsi="Times New Roman" w:eastAsia="Times New Roman" w:cs="Times New Roman"/>
        </w:rPr>
        <w:t xml:space="preserve">7.2 Applying the Bound</w:t>
      </w:r>
    </w:p>
    <w:p>
      <w:pPr>
        <w:pStyle w:val="FirstParagraph"/>
        <w:spacing w:line="480" w:lineRule="auto" w:after="0" w:before="0"/>
        <w:ind w:firstLine="720"/>
        <w:jc w:val="left"/>
      </w:pPr>
      <w:r>
        <w:rPr>
          <w:rFonts w:ascii="Times New Roman" w:hAnsi="Times New Roman" w:eastAsia="Times New Roman" w:cs="Times New Roman"/>
        </w:rPr>
        <w:t xml:space="preserve">In the European exposure distribution the most exposed occupations are architects, planners, surveyors, and designers (ISCO 216, which includes graphic designers, 5.3 standard deviations above the mean) and creative and performing artists (ISCO 265, 4.4 standard deviations). We set</w:t>
      </w:r>
      <w:r>
        <w:rPr>
          <w:rFonts w:ascii="Times New Roman" w:hAnsi="Times New Roman" w:eastAsia="Times New Roman" w:cs="Times New Roman"/>
        </w:rPr>
        <w:t xml:space="preserve"> </w:t>
      </w:r>
      <m:oMath>
        <m:r>
          <m:t>k</m:t>
        </m:r>
        <m:r>
          <m:rPr>
            <m:sty m:val="p"/>
          </m:rPr>
          <m:t>=</m:t>
        </m:r>
        <m:r>
          <m:t>5.3</m:t>
        </m:r>
      </m:oMath>
      <w:r>
        <w:rPr>
          <w:rFonts w:ascii="Times New Roman" w:hAnsi="Times New Roman" w:eastAsia="Times New Roman" w:cs="Times New Roman"/>
        </w:rPr>
        <w:t xml:space="preserve">, the larger value and therefore the one more favorable to detection. Table 5 reports the coefficient per standard deviation that complete assimilation would produce under equation (5) for a range of acquisition rates and substitution effects, alongside the minimum detectable effect and the observed coefficients.</w:t>
      </w:r>
    </w:p>
    <w:p>
      <w:pPr>
        <w:pStyle w:val="BodyText"/>
        <w:spacing w:line="240" w:lineRule="auto" w:after="120" w:before="0"/>
        <w:ind w:firstLine="0"/>
        <w:jc w:val="left"/>
      </w:pPr>
      <w:r>
        <w:rPr>
          <w:bCs/>
          <w:rFonts w:ascii="Times New Roman" w:hAnsi="Times New Roman" w:eastAsia="Times New Roman" w:cs="Times New Roman"/>
          <w:b/>
        </w:rPr>
        <w:t xml:space="preserve">Table 5. Coefficient per standard deviation implied by complete assimilation (</w:t>
      </w:r>
      <m:oMath>
        <m:sSup>
          <m:e>
            <m:r>
              <m:t>A</m:t>
            </m:r>
          </m:e>
          <m:sup>
            <m:r>
              <m:t>a</m:t>
            </m:r>
          </m:sup>
        </m:sSup>
        <m:r>
          <m:rPr>
            <m:sty m:val="p"/>
          </m:rPr>
          <m:t>=</m:t>
        </m:r>
        <m:sSup>
          <m:e>
            <m:r>
              <m:t>A</m:t>
            </m:r>
          </m:e>
          <m:sup>
            <m:r>
              <m:t>u</m:t>
            </m:r>
          </m:sup>
        </m:sSup>
      </m:oMath>
      <w:r>
        <w:rPr>
          <w:bCs/>
          <w:rFonts w:ascii="Times New Roman" w:hAnsi="Times New Roman" w:eastAsia="Times New Roman" w:cs="Times New Roman"/>
          <w:b/>
        </w:rPr>
        <w:t xml:space="preserve">), Europe,</w:t>
      </w:r>
      <w:r>
        <w:rPr>
          <w:bCs/>
          <w:rFonts w:ascii="Times New Roman" w:hAnsi="Times New Roman" w:eastAsia="Times New Roman" w:cs="Times New Roman"/>
          <w:b/>
        </w:rPr>
        <w:t xml:space="preserve"> </w:t>
      </w:r>
      <m:oMath>
        <m:r>
          <m:t>k</m:t>
        </m:r>
        <m:r>
          <m:rPr>
            <m:sty m:val="p"/>
          </m:rPr>
          <m:t>=</m:t>
        </m:r>
        <m:r>
          <m:t>5.3</m:t>
        </m:r>
      </m:oMath>
    </w:p>
    <w:p>
      <w:pPr>
        <w:pStyle w:val="BodyText"/>
        <w:spacing w:line="240" w:lineRule="auto" w:after="120" w:before="0"/>
        <w:ind w:firstLine="0"/>
        <w:jc w:val="left"/>
      </w:pPr>
      <w:r>
        <w:rPr>
          <w:iCs/>
          <w:rFonts w:ascii="Times New Roman" w:hAnsi="Times New Roman" w:eastAsia="Times New Roman" w:cs="Times New Roman"/>
          <w:i/>
        </w:rPr>
        <w:t xml:space="preserve">Panel A. Implied coefficients</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1980"/>
        <w:gridCol w:w="1980"/>
        <w:gridCol w:w="1980"/>
        <w:gridCol w:w="1980"/>
      </w:tblGrid>
      <w:tr>
        <w:trPr>
          <w:tblHeader w:val="true"/>
        </w:trPr>
        <w:tc>
          <w:tcPr>
            <w:tcBorders>
              <w:bottom w:val="single" w:sz="6" w:color="000000"/>
            </w:tcBorders>
          </w:tcPr>
          <w:p>
            <w:pPr>
              <w:pStyle w:val="Compact"/>
              <w:spacing w:line="240" w:lineRule="auto" w:after="40"/>
              <w:ind w:firstLine="0"/>
              <w:jc w:val="left"/>
            </w:pPr>
            <w:r>
              <w:rPr>
                <w:rFonts w:ascii="Times New Roman" w:hAnsi="Times New Roman"/>
                <w:b/>
                <w:sz w:val="19"/>
              </w:rPr>
              <w:t xml:space="preserve">Acquisition rate</w:t>
            </w:r>
            <w:r>
              <w:rPr>
                <w:rFonts w:ascii="Times New Roman" w:hAnsi="Times New Roman"/>
                <w:b/>
                <w:sz w:val="19"/>
              </w:rPr>
              <w:t xml:space="preserve"> </w:t>
            </w:r>
            <m:oMath>
              <m:sSup>
                <m:e>
                  <m:r>
                    <m:t>A</m:t>
                  </m:r>
                </m:e>
                <m:sup>
                  <m:r>
                    <m:t>u</m:t>
                  </m:r>
                </m:sup>
              </m:sSup>
            </m:oMath>
          </w:p>
        </w:tc>
        <w:tc>
          <w:tcPr>
            <w:tcBorders>
              <w:bottom w:val="single" w:sz="6" w:color="000000"/>
            </w:tcBorders>
          </w:tcPr>
          <w:p>
            <w:pPr>
              <w:pStyle w:val="Compact"/>
              <w:spacing w:line="240" w:lineRule="auto" w:after="40"/>
              <w:ind w:firstLine="0"/>
              <w:jc w:val="right"/>
            </w:pPr>
            <m:oMath>
              <m:r>
                <m:t>β</m:t>
              </m:r>
              <m:r>
                <m:rPr>
                  <m:sty m:val="p"/>
                </m:rPr>
                <m:t>=</m:t>
              </m:r>
              <m:r>
                <m:rPr>
                  <m:sty m:val="p"/>
                </m:rPr>
                <m:t>−</m:t>
              </m:r>
              <m:r>
                <m:t>0.19</m:t>
              </m:r>
            </m:oMath>
            <w:r>
              <w:rPr>
                <w:rFonts w:ascii="Times New Roman" w:hAnsi="Times New Roman"/>
                <w:b/>
                <w:sz w:val="19"/>
              </w:rPr>
              <w:t xml:space="preserve"> </w:t>
            </w:r>
            <w:r>
              <w:rPr>
                <w:rFonts w:ascii="Times New Roman" w:hAnsi="Times New Roman"/>
                <w:b/>
                <w:sz w:val="19"/>
              </w:rPr>
              <w:t xml:space="preserve">(platform)</w:t>
            </w:r>
          </w:p>
        </w:tc>
        <w:tc>
          <w:tcPr>
            <w:tcBorders>
              <w:bottom w:val="single" w:sz="6" w:color="000000"/>
            </w:tcBorders>
          </w:tcPr>
          <w:p>
            <w:pPr>
              <w:pStyle w:val="Compact"/>
              <w:spacing w:line="240" w:lineRule="auto" w:after="40"/>
              <w:ind w:firstLine="0"/>
              <w:jc w:val="right"/>
            </w:pPr>
            <m:oMath>
              <m:r>
                <m:t>β</m:t>
              </m:r>
              <m:r>
                <m:rPr>
                  <m:sty m:val="p"/>
                </m:rPr>
                <m:t>=</m:t>
              </m:r>
              <m:r>
                <m:rPr>
                  <m:sty m:val="p"/>
                </m:rPr>
                <m:t>−</m:t>
              </m:r>
              <m:r>
                <m:t>0.50</m:t>
              </m:r>
            </m:oMath>
            <w:r>
              <w:rPr>
                <w:rFonts w:ascii="Times New Roman" w:hAnsi="Times New Roman"/>
                <w:b/>
                <w:sz w:val="19"/>
              </w:rPr>
              <w:t xml:space="preserve"> </w:t>
            </w:r>
            <w:r>
              <w:rPr>
                <w:rFonts w:ascii="Times New Roman" w:hAnsi="Times New Roman"/>
                <w:b/>
                <w:sz w:val="19"/>
              </w:rPr>
              <w:t xml:space="preserve">(aggressive)</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Implied log change, most exposed occupation (</w:t>
            </w:r>
            <m:oMath>
              <m:r>
                <m:t>β</m:t>
              </m:r>
              <m:r>
                <m:rPr>
                  <m:sty m:val="p"/>
                </m:rPr>
                <m:t>=</m:t>
              </m:r>
              <m:r>
                <m:rPr>
                  <m:sty m:val="p"/>
                </m:rPr>
                <m:t>−</m:t>
              </m:r>
              <m:r>
                <m:t>0.50</m:t>
              </m:r>
            </m:oMath>
            <w:r>
              <w:rPr>
                <w:rFonts w:ascii="Times New Roman" w:hAnsi="Times New Roman"/>
                <w:b/>
                <w:sz w:val="19"/>
              </w:rPr>
              <w:t xml:space="preserve">)</w:t>
            </w:r>
          </w:p>
        </w:tc>
      </w:tr>
      <w:tr>
        <w:tc>
          <w:tcPr/>
          <w:p>
            <w:pPr>
              <w:pStyle w:val="Compact"/>
              <w:spacing w:line="240" w:lineRule="auto" w:after="40"/>
              <w:ind w:firstLine="0"/>
              <w:jc w:val="left"/>
            </w:pPr>
            <w:r>
              <w:rPr>
                <w:rFonts w:ascii="Times New Roman" w:hAnsi="Times New Roman"/>
                <w:sz w:val="19"/>
              </w:rPr>
              <w:t xml:space="preserve">9.6% (EU, all firms)</w:t>
            </w:r>
          </w:p>
        </w:tc>
        <w:tc>
          <w:tcPr/>
          <w:p>
            <w:pPr>
              <w:pStyle w:val="Compact"/>
              <w:spacing w:line="240" w:lineRule="auto" w:after="40"/>
              <w:ind w:firstLine="0"/>
              <w:jc w:val="right"/>
            </w:pPr>
            <w:r>
              <w:rPr>
                <w:rFonts w:ascii="Times New Roman" w:hAnsi="Times New Roman"/>
                <w:sz w:val="19"/>
              </w:rPr>
              <w:t xml:space="preserve">−0.003</w:t>
            </w:r>
          </w:p>
        </w:tc>
        <w:tc>
          <w:tcPr/>
          <w:p>
            <w:pPr>
              <w:pStyle w:val="Compact"/>
              <w:spacing w:line="240" w:lineRule="auto" w:after="40"/>
              <w:ind w:firstLine="0"/>
              <w:jc w:val="right"/>
            </w:pPr>
            <w:r>
              <w:rPr>
                <w:rFonts w:ascii="Times New Roman" w:hAnsi="Times New Roman"/>
                <w:sz w:val="19"/>
              </w:rPr>
              <w:t xml:space="preserve">−0.009</w:t>
            </w:r>
          </w:p>
        </w:tc>
        <w:tc>
          <w:tcPr/>
          <w:p>
            <w:pPr>
              <w:pStyle w:val="Compact"/>
              <w:spacing w:line="240" w:lineRule="auto" w:after="40"/>
              <w:ind w:firstLine="0"/>
              <w:jc w:val="right"/>
            </w:pPr>
            <w:r>
              <w:rPr>
                <w:rFonts w:ascii="Times New Roman" w:hAnsi="Times New Roman"/>
                <w:sz w:val="19"/>
              </w:rPr>
              <w:t xml:space="preserve">−0.048</w:t>
            </w:r>
          </w:p>
        </w:tc>
      </w:tr>
      <w:tr>
        <w:tc>
          <w:tcPr/>
          <w:p>
            <w:pPr>
              <w:pStyle w:val="Compact"/>
              <w:spacing w:line="240" w:lineRule="auto" w:after="40"/>
              <w:ind w:firstLine="0"/>
              <w:jc w:val="left"/>
            </w:pPr>
            <w:r>
              <w:rPr>
                <w:rFonts w:ascii="Times New Roman" w:hAnsi="Times New Roman"/>
                <w:sz w:val="19"/>
              </w:rPr>
              <w:t xml:space="preserve">36.2% (publishing, film, broadcasting)</w:t>
            </w:r>
          </w:p>
        </w:tc>
        <w:tc>
          <w:tcPr/>
          <w:p>
            <w:pPr>
              <w:pStyle w:val="Compact"/>
              <w:spacing w:line="240" w:lineRule="auto" w:after="40"/>
              <w:ind w:firstLine="0"/>
              <w:jc w:val="right"/>
            </w:pPr>
            <w:r>
              <w:rPr>
                <w:rFonts w:ascii="Times New Roman" w:hAnsi="Times New Roman"/>
                <w:sz w:val="19"/>
              </w:rPr>
              <w:t xml:space="preserve">−0.013</w:t>
            </w:r>
          </w:p>
        </w:tc>
        <w:tc>
          <w:tcPr/>
          <w:p>
            <w:pPr>
              <w:pStyle w:val="Compact"/>
              <w:spacing w:line="240" w:lineRule="auto" w:after="40"/>
              <w:ind w:firstLine="0"/>
              <w:jc w:val="right"/>
            </w:pPr>
            <w:r>
              <w:rPr>
                <w:rFonts w:ascii="Times New Roman" w:hAnsi="Times New Roman"/>
                <w:sz w:val="19"/>
              </w:rPr>
              <w:t xml:space="preserve">−0.034</w:t>
            </w:r>
          </w:p>
        </w:tc>
        <w:tc>
          <w:tcPr/>
          <w:p>
            <w:pPr>
              <w:pStyle w:val="Compact"/>
              <w:spacing w:line="240" w:lineRule="auto" w:after="40"/>
              <w:ind w:firstLine="0"/>
              <w:jc w:val="right"/>
            </w:pPr>
            <w:r>
              <w:rPr>
                <w:rFonts w:ascii="Times New Roman" w:hAnsi="Times New Roman"/>
                <w:sz w:val="19"/>
              </w:rPr>
              <w:t xml:space="preserve">−0.181</w:t>
            </w:r>
          </w:p>
        </w:tc>
      </w:tr>
      <w:tr>
        <w:tc>
          <w:tcPr/>
          <w:p>
            <w:pPr>
              <w:pStyle w:val="Compact"/>
              <w:spacing w:line="240" w:lineRule="auto" w:after="40"/>
              <w:ind w:firstLine="0"/>
              <w:jc w:val="left"/>
            </w:pPr>
            <w:r>
              <w:rPr>
                <w:rFonts w:ascii="Times New Roman" w:hAnsi="Times New Roman"/>
                <w:sz w:val="19"/>
              </w:rPr>
              <w:t xml:space="preserve">2.1% (text generation 2023, proxy for early acquisition)</w:t>
            </w:r>
          </w:p>
        </w:tc>
        <w:tc>
          <w:tcPr/>
          <w:p>
            <w:pPr>
              <w:pStyle w:val="Compact"/>
              <w:spacing w:line="240" w:lineRule="auto" w:after="40"/>
              <w:ind w:firstLine="0"/>
              <w:jc w:val="right"/>
            </w:pPr>
            <w:r>
              <w:rPr>
                <w:rFonts w:ascii="Times New Roman" w:hAnsi="Times New Roman"/>
                <w:sz w:val="19"/>
              </w:rPr>
              <w:t xml:space="preserve">−0.001</w:t>
            </w:r>
          </w:p>
        </w:tc>
        <w:tc>
          <w:tcPr/>
          <w:p>
            <w:pPr>
              <w:pStyle w:val="Compact"/>
              <w:spacing w:line="240" w:lineRule="auto" w:after="40"/>
              <w:ind w:firstLine="0"/>
              <w:jc w:val="right"/>
            </w:pPr>
            <w:r>
              <w:rPr>
                <w:rFonts w:ascii="Times New Roman" w:hAnsi="Times New Roman"/>
                <w:sz w:val="19"/>
              </w:rPr>
              <w:t xml:space="preserve">−0.002</w:t>
            </w:r>
          </w:p>
        </w:tc>
        <w:tc>
          <w:tcPr/>
          <w:p>
            <w:pPr>
              <w:pStyle w:val="Compact"/>
              <w:spacing w:line="240" w:lineRule="auto" w:after="40"/>
              <w:ind w:firstLine="0"/>
              <w:jc w:val="right"/>
            </w:pPr>
            <w:r>
              <w:rPr>
                <w:rFonts w:ascii="Times New Roman" w:hAnsi="Times New Roman"/>
                <w:sz w:val="19"/>
              </w:rPr>
              <w:t xml:space="preserve">−0.011</w:t>
            </w:r>
          </w:p>
        </w:tc>
      </w:tr>
    </w:tbl>
    <w:p>
      <w:pPr>
        <w:pStyle w:val="BodyText"/>
        <w:spacing w:line="240" w:lineRule="auto" w:after="120" w:before="0"/>
        <w:ind w:firstLine="0"/>
        <w:jc w:val="left"/>
      </w:pPr>
      <w:r>
        <w:rPr>
          <w:iCs/>
          <w:rFonts w:ascii="Times New Roman" w:hAnsi="Times New Roman" w:eastAsia="Times New Roman" w:cs="Times New Roman"/>
          <w:i/>
        </w:rPr>
        <w:t xml:space="preserve">Panel B. Observed coefficients and detectability</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1320"/>
        <w:gridCol w:w="1320"/>
        <w:gridCol w:w="1320"/>
        <w:gridCol w:w="1320"/>
        <w:gridCol w:w="1320"/>
        <w:gridCol w:w="1320"/>
      </w:tblGrid>
      <w:tr>
        <w:trPr>
          <w:tblHeader w:val="true"/>
        </w:trPr>
        <w:tc>
          <w:tcPr>
            <w:tcBorders>
              <w:bottom w:val="single" w:sz="6" w:color="000000"/>
            </w:tcBorders>
          </w:tcPr>
          <w:p>
            <w:pPr>
              <w:pStyle w:val="Compact"/>
              <w:spacing w:line="240" w:lineRule="auto" w:after="40"/>
              <w:ind w:firstLine="0"/>
              <w:jc w:val="left"/>
            </w:pPr>
            <w:r>
              <w:rPr>
                <w:rFonts w:ascii="Times New Roman" w:hAnsi="Times New Roman"/>
                <w:b/>
                <w:sz w:val="19"/>
              </w:rPr>
              <w:t xml:space="preserve">Year</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Observed, preferred (SE)</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Observed, no language-model control</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Minimum detectable effect</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MDE</w:t>
            </w:r>
            <w:r>
              <w:rPr>
                <w:rFonts w:ascii="Times New Roman" w:hAnsi="Times New Roman"/>
                <w:b/>
                <w:sz w:val="19"/>
              </w:rPr>
              <w:t xml:space="preserve"> </w:t>
            </w:r>
            <m:oMath>
              <m:r>
                <m:rPr>
                  <m:sty m:val="p"/>
                </m:rPr>
                <m:t>×</m:t>
              </m:r>
              <m:r>
                <m:t>k</m:t>
              </m:r>
            </m:oMath>
            <w:r>
              <w:rPr>
                <w:rFonts w:ascii="Times New Roman" w:hAnsi="Times New Roman"/>
                <w:b/>
                <w:sz w:val="19"/>
              </w:rPr>
              <w:t xml:space="preserve"> </w:t>
            </w:r>
            <w:r>
              <w:rPr>
                <w:rFonts w:ascii="Times New Roman" w:hAnsi="Times New Roman"/>
                <w:b/>
                <w:sz w:val="19"/>
              </w:rPr>
              <w:t xml:space="preserve">(log change)</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Observed</w:t>
            </w:r>
            <w:r>
              <w:rPr>
                <w:rFonts w:ascii="Times New Roman" w:hAnsi="Times New Roman"/>
                <w:b/>
                <w:sz w:val="19"/>
              </w:rPr>
              <w:t xml:space="preserve"> </w:t>
            </w:r>
            <m:oMath>
              <m:r>
                <m:rPr>
                  <m:sty m:val="p"/>
                </m:rPr>
                <m:t>×</m:t>
              </m:r>
              <m:r>
                <m:t>k</m:t>
              </m:r>
            </m:oMath>
            <w:r>
              <w:rPr>
                <w:rFonts w:ascii="Times New Roman" w:hAnsi="Times New Roman"/>
                <w:b/>
                <w:sz w:val="19"/>
              </w:rPr>
              <w:t xml:space="preserve">, preferred</w:t>
            </w:r>
          </w:p>
        </w:tc>
      </w:tr>
      <w:tr>
        <w:tc>
          <w:tcPr/>
          <w:p>
            <w:pPr>
              <w:pStyle w:val="Compact"/>
              <w:spacing w:line="240" w:lineRule="auto" w:after="40"/>
              <w:ind w:firstLine="0"/>
              <w:jc w:val="left"/>
            </w:pPr>
            <w:r>
              <w:rPr>
                <w:rFonts w:ascii="Times New Roman" w:hAnsi="Times New Roman"/>
                <w:sz w:val="19"/>
              </w:rPr>
              <w:t xml:space="preserve">2023</w:t>
            </w:r>
          </w:p>
        </w:tc>
        <w:tc>
          <w:tcPr/>
          <w:p>
            <w:pPr>
              <w:pStyle w:val="Compact"/>
              <w:spacing w:line="240" w:lineRule="auto" w:after="40"/>
              <w:ind w:firstLine="0"/>
              <w:jc w:val="right"/>
            </w:pPr>
            <w:r>
              <w:rPr>
                <w:rFonts w:ascii="Times New Roman" w:hAnsi="Times New Roman"/>
                <w:sz w:val="19"/>
              </w:rPr>
              <w:t xml:space="preserve">−0.022 (0.007)</w:t>
            </w:r>
          </w:p>
        </w:tc>
        <w:tc>
          <w:tcPr/>
          <w:p>
            <w:pPr>
              <w:pStyle w:val="Compact"/>
              <w:spacing w:line="240" w:lineRule="auto" w:after="40"/>
              <w:ind w:firstLine="0"/>
              <w:jc w:val="right"/>
            </w:pPr>
            <w:r>
              <w:rPr>
                <w:rFonts w:ascii="Times New Roman" w:hAnsi="Times New Roman"/>
                <w:sz w:val="19"/>
              </w:rPr>
              <w:t xml:space="preserve">−0.034</w:t>
            </w:r>
          </w:p>
        </w:tc>
        <w:tc>
          <w:tcPr/>
          <w:p>
            <w:pPr>
              <w:pStyle w:val="Compact"/>
              <w:spacing w:line="240" w:lineRule="auto" w:after="40"/>
              <w:ind w:firstLine="0"/>
              <w:jc w:val="right"/>
            </w:pPr>
            <w:r>
              <w:rPr>
                <w:rFonts w:ascii="Times New Roman" w:hAnsi="Times New Roman"/>
                <w:sz w:val="19"/>
              </w:rPr>
              <w:t xml:space="preserve">0.019</w:t>
            </w:r>
          </w:p>
        </w:tc>
        <w:tc>
          <w:tcPr/>
          <w:p>
            <w:pPr>
              <w:pStyle w:val="Compact"/>
              <w:spacing w:line="240" w:lineRule="auto" w:after="40"/>
              <w:ind w:firstLine="0"/>
              <w:jc w:val="right"/>
            </w:pPr>
            <w:r>
              <w:rPr>
                <w:rFonts w:ascii="Times New Roman" w:hAnsi="Times New Roman"/>
                <w:sz w:val="19"/>
              </w:rPr>
              <w:t xml:space="preserve">0.10</w:t>
            </w:r>
          </w:p>
        </w:tc>
        <w:tc>
          <w:tcPr/>
          <w:p>
            <w:pPr>
              <w:pStyle w:val="Compact"/>
              <w:spacing w:line="240" w:lineRule="auto" w:after="40"/>
              <w:ind w:firstLine="0"/>
              <w:jc w:val="right"/>
            </w:pPr>
            <w:r>
              <w:rPr>
                <w:rFonts w:ascii="Times New Roman" w:hAnsi="Times New Roman"/>
                <w:sz w:val="19"/>
              </w:rPr>
              <w:t xml:space="preserve">−0.12</w:t>
            </w:r>
          </w:p>
        </w:tc>
      </w:tr>
      <w:tr>
        <w:tc>
          <w:tcPr/>
          <w:p>
            <w:pPr>
              <w:pStyle w:val="Compact"/>
              <w:spacing w:line="240" w:lineRule="auto" w:after="40"/>
              <w:ind w:firstLine="0"/>
              <w:jc w:val="left"/>
            </w:pPr>
            <w:r>
              <w:rPr>
                <w:rFonts w:ascii="Times New Roman" w:hAnsi="Times New Roman"/>
                <w:sz w:val="19"/>
              </w:rPr>
              <w:t xml:space="preserve">2024</w:t>
            </w:r>
          </w:p>
        </w:tc>
        <w:tc>
          <w:tcPr/>
          <w:p>
            <w:pPr>
              <w:pStyle w:val="Compact"/>
              <w:spacing w:line="240" w:lineRule="auto" w:after="40"/>
              <w:ind w:firstLine="0"/>
              <w:jc w:val="right"/>
            </w:pPr>
            <w:r>
              <w:rPr>
                <w:rFonts w:ascii="Times New Roman" w:hAnsi="Times New Roman"/>
                <w:sz w:val="19"/>
              </w:rPr>
              <w:t xml:space="preserve">−0.029 (0.018)</w:t>
            </w:r>
          </w:p>
        </w:tc>
        <w:tc>
          <w:tcPr/>
          <w:p>
            <w:pPr>
              <w:pStyle w:val="Compact"/>
              <w:spacing w:line="240" w:lineRule="auto" w:after="40"/>
              <w:ind w:firstLine="0"/>
              <w:jc w:val="right"/>
            </w:pPr>
            <w:r>
              <w:rPr>
                <w:rFonts w:ascii="Times New Roman" w:hAnsi="Times New Roman"/>
                <w:sz w:val="19"/>
              </w:rPr>
              <w:t xml:space="preserve">−0.055</w:t>
            </w:r>
          </w:p>
        </w:tc>
        <w:tc>
          <w:tcPr/>
          <w:p>
            <w:pPr>
              <w:pStyle w:val="Compact"/>
              <w:spacing w:line="240" w:lineRule="auto" w:after="40"/>
              <w:ind w:firstLine="0"/>
              <w:jc w:val="right"/>
            </w:pPr>
            <w:r>
              <w:rPr>
                <w:rFonts w:ascii="Times New Roman" w:hAnsi="Times New Roman"/>
                <w:sz w:val="19"/>
              </w:rPr>
              <w:t xml:space="preserve">0.050</w:t>
            </w:r>
          </w:p>
        </w:tc>
        <w:tc>
          <w:tcPr/>
          <w:p>
            <w:pPr>
              <w:pStyle w:val="Compact"/>
              <w:spacing w:line="240" w:lineRule="auto" w:after="40"/>
              <w:ind w:firstLine="0"/>
              <w:jc w:val="right"/>
            </w:pPr>
            <w:r>
              <w:rPr>
                <w:rFonts w:ascii="Times New Roman" w:hAnsi="Times New Roman"/>
                <w:sz w:val="19"/>
              </w:rPr>
              <w:t xml:space="preserve">0.27</w:t>
            </w:r>
          </w:p>
        </w:tc>
        <w:tc>
          <w:tcPr/>
          <w:p>
            <w:pPr>
              <w:pStyle w:val="Compact"/>
              <w:spacing w:line="240" w:lineRule="auto" w:after="40"/>
              <w:ind w:firstLine="0"/>
              <w:jc w:val="right"/>
            </w:pPr>
            <w:r>
              <w:rPr>
                <w:rFonts w:ascii="Times New Roman" w:hAnsi="Times New Roman"/>
                <w:sz w:val="19"/>
              </w:rPr>
              <w:t xml:space="preserve">−0.15</w:t>
            </w:r>
          </w:p>
        </w:tc>
      </w:tr>
    </w:tbl>
    <w:p>
      <w:pPr>
        <w:pStyle w:val="BodyText"/>
        <w:spacing w:line="240" w:lineRule="auto" w:after="120" w:before="0"/>
        <w:ind w:firstLine="0"/>
        <w:jc w:val="left"/>
      </w:pPr>
      <w:r>
        <w:rPr>
          <w:iCs/>
          <w:rFonts w:ascii="Times New Roman" w:hAnsi="Times New Roman" w:eastAsia="Times New Roman" w:cs="Times New Roman"/>
          <w:i/>
        </w:rPr>
        <w:t xml:space="preserve">Notes.</w:t>
      </w:r>
      <w:r>
        <w:rPr>
          <w:rFonts w:ascii="Times New Roman" w:hAnsi="Times New Roman" w:eastAsia="Times New Roman" w:cs="Times New Roman"/>
        </w:rPr>
        <w:t xml:space="preserve"> </w:t>
      </w:r>
      <m:oMath>
        <m:sSup>
          <m:e>
            <m:r>
              <m:t>γ</m:t>
            </m:r>
          </m:e>
          <m:sup>
            <m:r>
              <m:rPr>
                <m:sty m:val="p"/>
              </m:rPr>
              <m:t>*</m:t>
            </m:r>
          </m:sup>
        </m:sSup>
        <m:r>
          <m:rPr>
            <m:sty m:val="p"/>
          </m:rPr>
          <m:t>=</m:t>
        </m:r>
        <m:sSup>
          <m:e>
            <m:r>
              <m:t>A</m:t>
            </m:r>
          </m:e>
          <m:sup>
            <m:r>
              <m:t>u</m:t>
            </m:r>
          </m:sup>
        </m:sSup>
        <m:r>
          <m:rPr>
            <m:sty m:val="p"/>
          </m:rPr>
          <m:t>⋅</m:t>
        </m:r>
        <m:r>
          <m:t>β</m:t>
        </m:r>
        <m:r>
          <m:rPr>
            <m:sty m:val="p"/>
          </m:rPr>
          <m:t>/</m:t>
        </m:r>
        <m:r>
          <m:t>k</m:t>
        </m:r>
      </m:oMath>
      <w:r>
        <w:rPr>
          <w:rFonts w:ascii="Times New Roman" w:hAnsi="Times New Roman" w:eastAsia="Times New Roman" w:cs="Times New Roman"/>
        </w:rPr>
        <w:t xml:space="preserve">. The upper bound</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maximizes the implied response; any assimilation gap makes it smaller. Acquisition rates: Eurostat 2025 (all enterprises; publishing, film, television, and music) and Eurostat 2023 text generation as a proxy for early acquisition. The last column of Panel A and the last two columns of Panel B express the coefficients on the scale of the most exposed occupation. The no-language-control estimate multiplied by</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is</w:t>
      </w:r>
      <w:r>
        <w:rPr>
          <w:rFonts w:ascii="Times New Roman" w:hAnsi="Times New Roman" w:eastAsia="Times New Roman" w:cs="Times New Roman"/>
        </w:rPr>
        <w:t xml:space="preserve"> </w:t>
      </w:r>
      <m:oMath>
        <m:r>
          <m:rPr>
            <m:sty m:val="p"/>
          </m:rPr>
          <m:t>−</m:t>
        </m:r>
        <m:r>
          <m:t>0.29</m:t>
        </m:r>
      </m:oMath>
      <w:r>
        <w:rPr>
          <w:rFonts w:ascii="Times New Roman" w:hAnsi="Times New Roman" w:eastAsia="Times New Roman" w:cs="Times New Roman"/>
        </w:rPr>
        <w:t xml:space="preserve"> </w:t>
      </w:r>
      <w:r>
        <w:rPr>
          <w:rFonts w:ascii="Times New Roman" w:hAnsi="Times New Roman" w:eastAsia="Times New Roman" w:cs="Times New Roman"/>
        </w:rPr>
        <w:t xml:space="preserve">for 2024.</w:t>
      </w:r>
    </w:p>
    <w:p>
      <w:pPr>
        <w:pStyle w:val="BodyText"/>
        <w:spacing w:line="480" w:lineRule="auto" w:after="0" w:before="0"/>
        <w:ind w:firstLine="720"/>
        <w:jc w:val="left"/>
      </w:pPr>
      <w:r>
        <w:rPr>
          <w:rFonts w:ascii="Times New Roman" w:hAnsi="Times New Roman" w:eastAsia="Times New Roman" w:cs="Times New Roman"/>
        </w:rPr>
        <w:t xml:space="preserve">Two results follow. First, every complete-assimilation scenario for 2024 implies a coefficient below the minimum detectable effect of 0.050. The largest,</w:t>
      </w:r>
      <w:r>
        <w:rPr>
          <w:rFonts w:ascii="Times New Roman" w:hAnsi="Times New Roman" w:eastAsia="Times New Roman" w:cs="Times New Roman"/>
        </w:rPr>
        <w:t xml:space="preserve"> </w:t>
      </w:r>
      <m:oMath>
        <m:r>
          <m:rPr>
            <m:sty m:val="p"/>
          </m:rPr>
          <m:t>−</m:t>
        </m:r>
        <m:r>
          <m:t>0.034</m:t>
        </m:r>
      </m:oMath>
      <w:r>
        <w:rPr>
          <w:rFonts w:ascii="Times New Roman" w:hAnsi="Times New Roman" w:eastAsia="Times New Roman" w:cs="Times New Roman"/>
        </w:rPr>
        <w:t xml:space="preserve">, requires a 39 percent fall among assimilating employers in a sector where 36 percent have acquired the tool, and assimilation by all of them. Under rule (i), the 2024 European estimate is uninformative about whether acquisition has been assimilated. The preferred estimate of</w:t>
      </w:r>
      <w:r>
        <w:rPr>
          <w:rFonts w:ascii="Times New Roman" w:hAnsi="Times New Roman" w:eastAsia="Times New Roman" w:cs="Times New Roman"/>
        </w:rPr>
        <w:t xml:space="preserve"> </w:t>
      </w:r>
      <m:oMath>
        <m:r>
          <m:rPr>
            <m:sty m:val="p"/>
          </m:rPr>
          <m:t>−</m:t>
        </m:r>
        <m:r>
          <m:t>0.029</m:t>
        </m:r>
      </m:oMath>
      <w:r>
        <w:rPr>
          <w:rFonts w:ascii="Times New Roman" w:hAnsi="Times New Roman" w:eastAsia="Times New Roman" w:cs="Times New Roman"/>
        </w:rPr>
        <w:t xml:space="preserve"> </w:t>
      </w:r>
      <w:r>
        <w:rPr>
          <w:rFonts w:ascii="Times New Roman" w:hAnsi="Times New Roman" w:eastAsia="Times New Roman" w:cs="Times New Roman"/>
        </w:rPr>
        <w:t xml:space="preserve">is larger in magnitude than the economy-wide scenarios (</w:t>
      </w:r>
      <m:oMath>
        <m:r>
          <m:rPr>
            <m:sty m:val="p"/>
          </m:rPr>
          <m:t>−</m:t>
        </m:r>
        <m:r>
          <m:t>0.003</m:t>
        </m:r>
      </m:oMath>
      <w:r>
        <w:rPr>
          <w:rFonts w:ascii="Times New Roman" w:hAnsi="Times New Roman" w:eastAsia="Times New Roman" w:cs="Times New Roman"/>
        </w:rPr>
        <w:t xml:space="preserve"> </w:t>
      </w:r>
      <w:r>
        <w:rPr>
          <w:rFonts w:ascii="Times New Roman" w:hAnsi="Times New Roman" w:eastAsia="Times New Roman" w:cs="Times New Roman"/>
        </w:rPr>
        <w:t xml:space="preserve">to</w:t>
      </w:r>
      <w:r>
        <w:rPr>
          <w:rFonts w:ascii="Times New Roman" w:hAnsi="Times New Roman" w:eastAsia="Times New Roman" w:cs="Times New Roman"/>
        </w:rPr>
        <w:t xml:space="preserve"> </w:t>
      </w:r>
      <m:oMath>
        <m:r>
          <m:rPr>
            <m:sty m:val="p"/>
          </m:rPr>
          <m:t>−</m:t>
        </m:r>
        <m:r>
          <m:t>0.009</m:t>
        </m:r>
      </m:oMath>
      <w:r>
        <w:rPr>
          <w:rFonts w:ascii="Times New Roman" w:hAnsi="Times New Roman" w:eastAsia="Times New Roman" w:cs="Times New Roman"/>
        </w:rPr>
        <w:t xml:space="preserve">), but its 95 percent confidence interval (</w:t>
      </w:r>
      <m:oMath>
        <m:r>
          <m:rPr>
            <m:sty m:val="p"/>
          </m:rPr>
          <m:t>−</m:t>
        </m:r>
        <m:r>
          <m:t>0.064</m:t>
        </m:r>
      </m:oMath>
      <w:r>
        <w:rPr>
          <w:rFonts w:ascii="Times New Roman" w:hAnsi="Times New Roman" w:eastAsia="Times New Roman" w:cs="Times New Roman"/>
        </w:rPr>
        <w:t xml:space="preserve"> </w:t>
      </w:r>
      <w:r>
        <w:rPr>
          <w:rFonts w:ascii="Times New Roman" w:hAnsi="Times New Roman" w:eastAsia="Times New Roman" w:cs="Times New Roman"/>
        </w:rPr>
        <w:t xml:space="preserve">to</w:t>
      </w:r>
      <w:r>
        <w:rPr>
          <w:rFonts w:ascii="Times New Roman" w:hAnsi="Times New Roman" w:eastAsia="Times New Roman" w:cs="Times New Roman"/>
        </w:rPr>
        <w:t xml:space="preserve"> </w:t>
      </w:r>
      <m:oMath>
        <m:r>
          <m:rPr>
            <m:sty m:val="p"/>
          </m:rPr>
          <m:t>+</m:t>
        </m:r>
        <m:r>
          <m:t>0.006</m:t>
        </m:r>
      </m:oMath>
      <w:r>
        <w:rPr>
          <w:rFonts w:ascii="Times New Roman" w:hAnsi="Times New Roman" w:eastAsia="Times New Roman" w:cs="Times New Roman"/>
        </w:rPr>
        <w:t xml:space="preserve">) contains zero and every scenario in Table 5, so it supports neither the gap nor substitution. The estimate without the language control (</w:t>
      </w:r>
      <m:oMath>
        <m:r>
          <m:rPr>
            <m:sty m:val="p"/>
          </m:rPr>
          <m:t>−</m:t>
        </m:r>
        <m:r>
          <m:t>0.055</m:t>
        </m:r>
      </m:oMath>
      <w:r>
        <w:rPr>
          <w:rFonts w:ascii="Times New Roman" w:hAnsi="Times New Roman" w:eastAsia="Times New Roman" w:cs="Times New Roman"/>
        </w:rPr>
        <w:t xml:space="preserve">) is larger than any scenario, but it is not significantly larger than</w:t>
      </w:r>
      <w:r>
        <w:rPr>
          <w:rFonts w:ascii="Times New Roman" w:hAnsi="Times New Roman" w:eastAsia="Times New Roman" w:cs="Times New Roman"/>
        </w:rPr>
        <w:t xml:space="preserve"> </w:t>
      </w:r>
      <m:oMath>
        <m:sSup>
          <m:e>
            <m:r>
              <m:t>γ</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t>0.034</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z</m:t>
        </m:r>
        <m:r>
          <m:rPr>
            <m:sty m:val="p"/>
          </m:rPr>
          <m:t>≈</m:t>
        </m:r>
        <m:r>
          <m:t>1.1</m:t>
        </m:r>
      </m:oMath>
      <w:r>
        <w:rPr>
          <w:rFonts w:ascii="Times New Roman" w:hAnsi="Times New Roman" w:eastAsia="Times New Roman" w:cs="Times New Roman"/>
        </w:rPr>
        <w:t xml:space="preserve">) and, as the difference between the specifications shows, partly reflects exposure to language models.</w:t>
      </w:r>
    </w:p>
    <w:p>
      <w:pPr>
        <w:pStyle w:val="BodyText"/>
        <w:spacing w:line="480" w:lineRule="auto" w:after="0" w:before="0"/>
        <w:ind w:firstLine="720"/>
        <w:jc w:val="left"/>
      </w:pPr>
      <w:r>
        <w:rPr>
          <w:rFonts w:ascii="Times New Roman" w:hAnsi="Times New Roman" w:eastAsia="Times New Roman" w:cs="Times New Roman"/>
        </w:rPr>
        <w:t xml:space="preserve">Second, the 2023 estimate has more power (minimum detectable effect 0.019). Text-generation acquisition stood at 2.1 percent in 2023. If acquisition of visual generators was similarly low, complete assimilation with</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implies a coefficient of about</w:t>
      </w:r>
      <w:r>
        <w:rPr>
          <w:rFonts w:ascii="Times New Roman" w:hAnsi="Times New Roman" w:eastAsia="Times New Roman" w:cs="Times New Roman"/>
        </w:rPr>
        <w:t xml:space="preserve"> </w:t>
      </w:r>
      <m:oMath>
        <m:r>
          <m:rPr>
            <m:sty m:val="p"/>
          </m:rPr>
          <m:t>−</m:t>
        </m:r>
        <m:r>
          <m:t>0.002</m:t>
        </m:r>
      </m:oMath>
      <w:r>
        <w:rPr>
          <w:rFonts w:ascii="Times New Roman" w:hAnsi="Times New Roman" w:eastAsia="Times New Roman" w:cs="Times New Roman"/>
        </w:rPr>
        <w:t xml:space="preserve">, and the observed</w:t>
      </w:r>
      <w:r>
        <w:rPr>
          <w:rFonts w:ascii="Times New Roman" w:hAnsi="Times New Roman" w:eastAsia="Times New Roman" w:cs="Times New Roman"/>
        </w:rPr>
        <w:t xml:space="preserve"> </w:t>
      </w:r>
      <m:oMath>
        <m:r>
          <m:rPr>
            <m:sty m:val="p"/>
          </m:rPr>
          <m:t>−</m:t>
        </m:r>
        <m:r>
          <m:t>0.022</m:t>
        </m:r>
      </m:oMath>
      <w:r>
        <w:rPr>
          <w:rFonts w:ascii="Times New Roman" w:hAnsi="Times New Roman" w:eastAsia="Times New Roman" w:cs="Times New Roman"/>
        </w:rPr>
        <w:t xml:space="preserve"> </w:t>
      </w:r>
      <w:r>
        <w:rPr>
          <w:rFonts w:ascii="Times New Roman" w:hAnsi="Times New Roman" w:eastAsia="Times New Roman" w:cs="Times New Roman"/>
        </w:rPr>
        <w:t xml:space="preserve">differs from it significantly (</w:t>
      </w:r>
      <m:oMath>
        <m:r>
          <m:t>z</m:t>
        </m:r>
        <m:r>
          <m:rPr>
            <m:sty m:val="p"/>
          </m:rPr>
          <m:t>=</m:t>
        </m:r>
        <m:r>
          <m:t>2.9</m:t>
        </m:r>
      </m:oMath>
      <w:r>
        <w:rPr>
          <w:rFonts w:ascii="Times New Roman" w:hAnsi="Times New Roman" w:eastAsia="Times New Roman" w:cs="Times New Roman"/>
        </w:rPr>
        <w:t xml:space="preserve">); if acquisition had already reached its 2025 level, the implied coefficient would be</w:t>
      </w:r>
      <w:r>
        <w:rPr>
          <w:rFonts w:ascii="Times New Roman" w:hAnsi="Times New Roman" w:eastAsia="Times New Roman" w:cs="Times New Roman"/>
        </w:rPr>
        <w:t xml:space="preserve"> </w:t>
      </w:r>
      <m:oMath>
        <m:r>
          <m:rPr>
            <m:sty m:val="p"/>
          </m:rPr>
          <m:t>−</m:t>
        </m:r>
        <m:r>
          <m:t>0.009</m:t>
        </m:r>
      </m:oMath>
      <w:r>
        <w:rPr>
          <w:rFonts w:ascii="Times New Roman" w:hAnsi="Times New Roman" w:eastAsia="Times New Roman" w:cs="Times New Roman"/>
        </w:rPr>
        <w:t xml:space="preserve"> </w:t>
      </w:r>
      <w:r>
        <w:rPr>
          <w:rFonts w:ascii="Times New Roman" w:hAnsi="Times New Roman" w:eastAsia="Times New Roman" w:cs="Times New Roman"/>
        </w:rPr>
        <w:t xml:space="preserve">and the difference would be borderline (</w:t>
      </w:r>
      <m:oMath>
        <m:r>
          <m:t>z</m:t>
        </m:r>
        <m:r>
          <m:rPr>
            <m:sty m:val="p"/>
          </m:rPr>
          <m:t>≈</m:t>
        </m:r>
        <m:r>
          <m:t>1.9</m:t>
        </m:r>
      </m:oMath>
      <w:r>
        <w:rPr>
          <w:rFonts w:ascii="Times New Roman" w:hAnsi="Times New Roman" w:eastAsia="Times New Roman" w:cs="Times New Roman"/>
        </w:rPr>
        <w:t xml:space="preserve">). The 2023 gradient therefore cannot be dismissed as too small to matter, but neither can it be attributed to generative visual AI. Exposed occupations were already declining relative to others before 2022 (the 2019 coefficient is</w:t>
      </w:r>
      <w:r>
        <w:rPr>
          <w:rFonts w:ascii="Times New Roman" w:hAnsi="Times New Roman" w:eastAsia="Times New Roman" w:cs="Times New Roman"/>
        </w:rPr>
        <w:t xml:space="preserve"> </w:t>
      </w:r>
      <m:oMath>
        <m:r>
          <m:rPr>
            <m:sty m:val="p"/>
          </m:rPr>
          <m:t>+</m:t>
        </m:r>
        <m:r>
          <m:t>0.024</m:t>
        </m:r>
      </m:oMath>
      <w:r>
        <w:rPr>
          <w:rFonts w:ascii="Times New Roman" w:hAnsi="Times New Roman" w:eastAsia="Times New Roman" w:cs="Times New Roman"/>
        </w:rPr>
        <w:t xml:space="preserve">), and relative to the extrapolated trend the 2023 gradient is</w:t>
      </w:r>
      <w:r>
        <w:rPr>
          <w:rFonts w:ascii="Times New Roman" w:hAnsi="Times New Roman" w:eastAsia="Times New Roman" w:cs="Times New Roman"/>
        </w:rPr>
        <w:t xml:space="preserve"> </w:t>
      </w:r>
      <m:oMath>
        <m:r>
          <m:rPr>
            <m:sty m:val="p"/>
          </m:rPr>
          <m:t>−</m:t>
        </m:r>
        <m:r>
          <m:t>0.017</m:t>
        </m:r>
      </m:oMath>
      <w:r>
        <w:rPr>
          <w:rFonts w:ascii="Times New Roman" w:hAnsi="Times New Roman" w:eastAsia="Times New Roman" w:cs="Times New Roman"/>
        </w:rPr>
        <w:t xml:space="preserve"> </w:t>
      </w:r>
      <w:r>
        <w:rPr>
          <w:rFonts w:ascii="Times New Roman" w:hAnsi="Times New Roman" w:eastAsia="Times New Roman" w:cs="Times New Roman"/>
        </w:rPr>
        <w:t xml:space="preserve">(standard error 0.012), a difference we cannot distinguish from zero. The trend is itself imprecise, so we cannot rule out that part of the 2023 gradient reflects the technology. Under rule (iii) we classify the gradient as not attributable to generative visual AI on these data.</w:t>
      </w:r>
    </w:p>
    <w:p>
      <w:pPr>
        <w:pStyle w:val="BodyText"/>
        <w:spacing w:line="480" w:lineRule="auto" w:after="0" w:before="0"/>
        <w:ind w:firstLine="720"/>
        <w:jc w:val="left"/>
      </w:pPr>
      <w:r>
        <w:rPr>
          <w:rFonts w:ascii="Times New Roman" w:hAnsi="Times New Roman" w:eastAsia="Times New Roman" w:cs="Times New Roman"/>
        </w:rPr>
        <w:t xml:space="preserve">The Canadian series has standard errors of 0.013 to 0.043 per standard deviation after 2022, so its minimum detectable effect is about 0.04 to 0.12 per standard deviation. For the most exposed unit group, 7.1 standard deviations above the mean, this corresponds to a log change of about 0.25 to 0.85. The Canadian series is therefore uninformative about assimilation at any plausible acquisition rate, and its first-year coefficient, which does not persist, leads to the same classification.</w:t>
      </w:r>
    </w:p>
    <w:bookmarkEnd w:id="44"/>
    <w:bookmarkStart w:id="45" w:name="employment-where-acquisition-is-highest"/>
    <w:p>
      <w:pPr>
        <w:pStyle w:val="Heading3"/>
      </w:pPr>
      <w:r>
        <w:rPr>
          <w:rFonts w:ascii="Times New Roman" w:hAnsi="Times New Roman" w:eastAsia="Times New Roman" w:cs="Times New Roman"/>
        </w:rPr>
        <w:t xml:space="preserve">7.3 Employment Where Acquisition Is Highest</w:t>
      </w:r>
    </w:p>
    <w:p>
      <w:pPr>
        <w:pStyle w:val="FirstParagraph"/>
        <w:spacing w:line="480" w:lineRule="auto" w:after="0" w:before="0"/>
        <w:ind w:firstLine="720"/>
        <w:jc w:val="left"/>
      </w:pPr>
      <w:r>
        <w:rPr>
          <w:rFonts w:ascii="Times New Roman" w:hAnsi="Times New Roman" w:eastAsia="Times New Roman" w:cs="Times New Roman"/>
        </w:rPr>
        <w:t xml:space="preserve">European Labour Force Survey employment in motion picture and video production (NACE 59), advertising and market research (73), and other professional, scientific, and technical activities including design and photography (74) rose between 2019–2021 and 2023–2025 by 0.13, 0.11, and 0.15 log points, against a median of 0.04 across 89 industries; these three creative industries gained 0.09 log points relative to other industries (randomization</w:t>
      </w:r>
      <w:r>
        <w:rPr>
          <w:rFonts w:ascii="Times New Roman" w:hAnsi="Times New Roman" w:eastAsia="Times New Roman" w:cs="Times New Roman"/>
        </w:rPr>
        <w:t xml:space="preserve"> </w:t>
      </w:r>
      <m:oMath>
        <m:r>
          <m:t>p</m:t>
        </m:r>
        <m:r>
          <m:rPr>
            <m:sty m:val="p"/>
          </m:rPr>
          <m:t>=</m:t>
        </m:r>
        <m:r>
          <m:t>0.18</m:t>
        </m:r>
      </m:oMath>
      <w:r>
        <w:rPr>
          <w:rFonts w:ascii="Times New Roman" w:hAnsi="Times New Roman" w:eastAsia="Times New Roman" w:cs="Times New Roman"/>
        </w:rPr>
        <w:t xml:space="preserve">). In the United States, Indeed postings in arts and entertainment, media and communications, and marketing fell by 0.44, 0.63, and 0.62 log points between 2022 and 2023–2025, against a median of</w:t>
      </w:r>
      <w:r>
        <w:rPr>
          <w:rFonts w:ascii="Times New Roman" w:hAnsi="Times New Roman" w:eastAsia="Times New Roman" w:cs="Times New Roman"/>
        </w:rPr>
        <w:t xml:space="preserve"> </w:t>
      </w:r>
      <m:oMath>
        <m:r>
          <m:rPr>
            <m:sty m:val="p"/>
          </m:rPr>
          <m:t>−</m:t>
        </m:r>
        <m:r>
          <m:t>0.27</m:t>
        </m:r>
      </m:oMath>
      <w:r>
        <w:rPr>
          <w:rFonts w:ascii="Times New Roman" w:hAnsi="Times New Roman" w:eastAsia="Times New Roman" w:cs="Times New Roman"/>
        </w:rPr>
        <w:t xml:space="preserve"> </w:t>
      </w:r>
      <w:r>
        <w:rPr>
          <w:rFonts w:ascii="Times New Roman" w:hAnsi="Times New Roman" w:eastAsia="Times New Roman" w:cs="Times New Roman"/>
        </w:rPr>
        <w:t xml:space="preserve">across 47 sectors, but postings for software development and for data and analytics fell by 0.96 and 0.86, and four of the five sectors had risen by more than the median sector between 2020 and 2022 (descriptive only). The finest public occupation-by-industry cross-tabulation (one-digit occupations by industry section) shows professionals’ employment growing by 0.26 log points in information and communication, 0.17 in professional and technical activities, and 0.14 in arts and entertainment, against a median of 0.19 across 21 sections; these groups are dominated by occupations other than visual production, and two-digit occupation data (legal, social, and cultural professionals, +0.09, against a median of 0.02 across two-digit occupations) are too coarse to isolate designers or artists. Neither series isolates visual generation, and both are consistent with every account in Table 1 other than large and rapid net substitution.</w:t>
      </w:r>
    </w:p>
    <w:bookmarkEnd w:id="45"/>
    <w:bookmarkStart w:id="46" w:name="acquisition-interaction-in-europe"/>
    <w:p>
      <w:pPr>
        <w:pStyle w:val="Heading3"/>
      </w:pPr>
      <w:r>
        <w:rPr>
          <w:rFonts w:ascii="Times New Roman" w:hAnsi="Times New Roman" w:eastAsia="Times New Roman" w:cs="Times New Roman"/>
        </w:rPr>
        <w:t xml:space="preserve">7.4 Acquisition Interaction in Europe</w:t>
      </w:r>
    </w:p>
    <w:p>
      <w:pPr>
        <w:pStyle w:val="FirstParagraph"/>
        <w:spacing w:line="480" w:lineRule="auto" w:after="0" w:before="0"/>
        <w:ind w:firstLine="720"/>
        <w:jc w:val="left"/>
      </w:pPr>
      <w:r>
        <w:rPr>
          <w:rFonts w:ascii="Times New Roman" w:hAnsi="Times New Roman" w:eastAsia="Times New Roman" w:cs="Times New Roman"/>
        </w:rPr>
        <w:t xml:space="preserve">A European dose-response test interacts occupational exposure with country-level acquisition of picture, video, or audio generation in 2025 (Eurostat, 2026), which is available for all 16 countries in the sample; language-model exposure and its interaction enter as controls. Complete assimilation predicts a steeper exposure gradient where acquisition is higher, whereas the gap and offsetting-scale accounts predict no such interaction. The interaction coefficient per standard deviation of acquisition (4.8 percentage points) is</w:t>
      </w:r>
      <w:r>
        <w:rPr>
          <w:rFonts w:ascii="Times New Roman" w:hAnsi="Times New Roman" w:eastAsia="Times New Roman" w:cs="Times New Roman"/>
        </w:rPr>
        <w:t xml:space="preserve"> </w:t>
      </w:r>
      <m:oMath>
        <m:r>
          <m:rPr>
            <m:sty m:val="p"/>
          </m:rPr>
          <m:t>+</m:t>
        </m:r>
        <m:r>
          <m:t>0.002</m:t>
        </m:r>
      </m:oMath>
      <w:r>
        <w:rPr>
          <w:rFonts w:ascii="Times New Roman" w:hAnsi="Times New Roman" w:eastAsia="Times New Roman" w:cs="Times New Roman"/>
        </w:rPr>
        <w:t xml:space="preserve"> </w:t>
      </w:r>
      <w:r>
        <w:rPr>
          <w:rFonts w:ascii="Times New Roman" w:hAnsi="Times New Roman" w:eastAsia="Times New Roman" w:cs="Times New Roman"/>
        </w:rPr>
        <w:t xml:space="preserve">(standard error 0.006) in 2023 and</w:t>
      </w:r>
      <w:r>
        <w:rPr>
          <w:rFonts w:ascii="Times New Roman" w:hAnsi="Times New Roman" w:eastAsia="Times New Roman" w:cs="Times New Roman"/>
        </w:rPr>
        <w:t xml:space="preserve"> </w:t>
      </w:r>
      <m:oMath>
        <m:r>
          <m:rPr>
            <m:sty m:val="p"/>
          </m:rPr>
          <m:t>−</m:t>
        </m:r>
        <m:r>
          <m:t>0.021</m:t>
        </m:r>
      </m:oMath>
      <w:r>
        <w:rPr>
          <w:rFonts w:ascii="Times New Roman" w:hAnsi="Times New Roman" w:eastAsia="Times New Roman" w:cs="Times New Roman"/>
        </w:rPr>
        <w:t xml:space="preserve"> </w:t>
      </w:r>
      <w:r>
        <w:rPr>
          <w:rFonts w:ascii="Times New Roman" w:hAnsi="Times New Roman" w:eastAsia="Times New Roman" w:cs="Times New Roman"/>
        </w:rPr>
        <w:t xml:space="preserve">(0.018) in 2024; permutation</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-values across countries are 0.85 and 0.36. In 2021, before the base year, it is</w:t>
      </w:r>
      <w:r>
        <w:rPr>
          <w:rFonts w:ascii="Times New Roman" w:hAnsi="Times New Roman" w:eastAsia="Times New Roman" w:cs="Times New Roman"/>
        </w:rPr>
        <w:t xml:space="preserve"> </w:t>
      </w:r>
      <m:oMath>
        <m:r>
          <m:rPr>
            <m:sty m:val="p"/>
          </m:rPr>
          <m:t>−</m:t>
        </m:r>
        <m:r>
          <m:t>0.002</m:t>
        </m:r>
      </m:oMath>
      <w:r>
        <w:rPr>
          <w:rFonts w:ascii="Times New Roman" w:hAnsi="Times New Roman" w:eastAsia="Times New Roman" w:cs="Times New Roman"/>
        </w:rPr>
        <w:t xml:space="preserve"> </w:t>
      </w:r>
      <w:r>
        <w:rPr>
          <w:rFonts w:ascii="Times New Roman" w:hAnsi="Times New Roman" w:eastAsia="Times New Roman" w:cs="Times New Roman"/>
        </w:rPr>
        <w:t xml:space="preserve">(0.008;</w:t>
      </w:r>
      <w:r>
        <w:rPr>
          <w:rFonts w:ascii="Times New Roman" w:hAnsi="Times New Roman" w:eastAsia="Times New Roman" w:cs="Times New Roman"/>
        </w:rPr>
        <w:t xml:space="preserve"> </w:t>
      </w:r>
      <m:oMath>
        <m:r>
          <m:t>p</m:t>
        </m:r>
        <m:r>
          <m:rPr>
            <m:sty m:val="p"/>
          </m:rPr>
          <m:t>=</m:t>
        </m:r>
        <m:r>
          <m:t>0.83</m:t>
        </m:r>
      </m:oMath>
      <w:r>
        <w:rPr>
          <w:rFonts w:ascii="Times New Roman" w:hAnsi="Times New Roman" w:eastAsia="Times New Roman" w:cs="Times New Roman"/>
        </w:rPr>
        <w:t xml:space="preserve">). Complete assimilation with</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predicts an interaction of only about</w:t>
      </w:r>
      <w:r>
        <w:rPr>
          <w:rFonts w:ascii="Times New Roman" w:hAnsi="Times New Roman" w:eastAsia="Times New Roman" w:cs="Times New Roman"/>
        </w:rPr>
        <w:t xml:space="preserve"> </w:t>
      </w:r>
      <m:oMath>
        <m:r>
          <m:rPr>
            <m:sty m:val="p"/>
          </m:rPr>
          <m:t>−</m:t>
        </m:r>
        <m:r>
          <m:t>0.005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t>0.5</m:t>
        </m:r>
        <m:r>
          <m:rPr>
            <m:sty m:val="p"/>
          </m:rPr>
          <m:t>×</m:t>
        </m:r>
        <m:r>
          <m:t>0.048</m:t>
        </m:r>
        <m:r>
          <m:rPr>
            <m:sty m:val="p"/>
          </m:rPr>
          <m:t>/</m:t>
        </m:r>
        <m:r>
          <m:t>5.3</m:t>
        </m:r>
      </m:oMath>
      <w:r>
        <w:rPr>
          <w:rFonts w:ascii="Times New Roman" w:hAnsi="Times New Roman" w:eastAsia="Times New Roman" w:cs="Times New Roman"/>
        </w:rPr>
        <w:t xml:space="preserve">), far smaller than the 2024 standard error, so the test cannot discriminate among the accounts. Acquisition is measured in 2025, after the outcomes. We report the test because it is the only one here that uses variation in acquisition directly. It becomes informative only with more countries, more post-2022 years, and acquisition measured before the outcome. The detectability result does not depend on it, because that result depends only on acquisition rates, reference effect sizes, and standard errors.</w:t>
      </w:r>
    </w:p>
    <w:bookmarkEnd w:id="46"/>
    <w:bookmarkStart w:id="47" w:name="sector-level-acquisition-and-employment"/>
    <w:p>
      <w:pPr>
        <w:pStyle w:val="Heading3"/>
      </w:pPr>
      <w:r>
        <w:rPr>
          <w:rFonts w:ascii="Times New Roman" w:hAnsi="Times New Roman" w:eastAsia="Times New Roman" w:cs="Times New Roman"/>
        </w:rPr>
        <w:t xml:space="preserve">7.5 Sector-Level Acquisition and Employment</w:t>
      </w:r>
    </w:p>
    <w:p>
      <w:pPr>
        <w:pStyle w:val="FirstParagraph"/>
        <w:spacing w:line="480" w:lineRule="auto" w:after="0" w:before="0"/>
        <w:ind w:firstLine="720"/>
        <w:jc w:val="left"/>
      </w:pPr>
      <w:r>
        <w:rPr>
          <w:rFonts w:ascii="Times New Roman" w:hAnsi="Times New Roman" w:eastAsia="Times New Roman" w:cs="Times New Roman"/>
        </w:rPr>
        <w:t xml:space="preserve">Firm-level links between use and hiring are not public, so we use sectors as the nearest proxy. In 258 country-sector cells (30 countries, 9 NACE sections), sectors with higher acquisition of picture, video, or audio generation in 2025 had higher employment growth between 2019–2021 and 2023–2025: 0.051 log points per standard deviation of acquisition (10.6 percentage points), with country fixed effects (heteroskedasticity-robust standard error 0.009). The same relationship holds before the technology: for 2016–2018 to 2019–2021 the coefficient is 0.049 (0.006), and the difference between the two periods is 0.002 (0.010). Acquisition is not a separate signal here, because it correlates 0.92 with acquisition of text generation and 0.95 with use of any AI across cells; adding the text-generation control leaves a post-minus-pre difference of 0.041 (0.030), which is imprecise because of this collinearity. Complete assimilation with</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would imply a coefficient of about</w:t>
      </w:r>
      <w:r>
        <w:rPr>
          <w:rFonts w:ascii="Times New Roman" w:hAnsi="Times New Roman" w:eastAsia="Times New Roman" w:cs="Times New Roman"/>
        </w:rPr>
        <w:t xml:space="preserve"> </w:t>
      </w:r>
      <m:oMath>
        <m:r>
          <m:rPr>
            <m:sty m:val="p"/>
          </m:rPr>
          <m:t>−</m:t>
        </m:r>
        <m:r>
          <m:t>0.053</m:t>
        </m:r>
      </m:oMath>
      <w:r>
        <w:rPr>
          <w:rFonts w:ascii="Times New Roman" w:hAnsi="Times New Roman" w:eastAsia="Times New Roman" w:cs="Times New Roman"/>
        </w:rPr>
        <w:t xml:space="preserve"> </w:t>
      </w:r>
      <w:r>
        <w:rPr>
          <w:rFonts w:ascii="Times New Roman" w:hAnsi="Times New Roman" w:eastAsia="Times New Roman" w:cs="Times New Roman"/>
        </w:rPr>
        <w:t xml:space="preserve">times</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the share of sector employment in visual-production occupations, per standard deviation of acquisition. Because</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is well below one, the implied effect is far smaller than the standard errors. Sector-level data therefore show that acquisition marks growing, digitally intensive sectors, not that it displaces labor, and they cannot reveal the assimilation margin; this is the limit that firm-level data would remove.</w:t>
      </w:r>
    </w:p>
    <w:bookmarkEnd w:id="47"/>
    <w:bookmarkStart w:id="48" w:name="evidence-from-job-advert-text"/>
    <w:p>
      <w:pPr>
        <w:pStyle w:val="Heading3"/>
      </w:pPr>
      <w:r>
        <w:rPr>
          <w:rFonts w:ascii="Times New Roman" w:hAnsi="Times New Roman" w:eastAsia="Times New Roman" w:cs="Times New Roman"/>
        </w:rPr>
        <w:t xml:space="preserve">7.6 Evidence from Job-Advert Text</w:t>
      </w:r>
    </w:p>
    <w:p>
      <w:pPr>
        <w:pStyle w:val="FirstParagraph"/>
        <w:spacing w:line="480" w:lineRule="auto" w:after="0" w:before="0"/>
        <w:ind w:firstLine="720"/>
        <w:jc w:val="left"/>
      </w:pPr>
      <w:r>
        <w:rPr>
          <w:rFonts w:ascii="Times New Roman" w:hAnsi="Times New Roman" w:eastAsia="Times New Roman" w:cs="Times New Roman"/>
        </w:rPr>
        <w:t xml:space="preserve">Occupation-level counts cannot show what employers ask of the people they hire. Advert text can, at least for skills. We use the schema.org JobPosting markup that Common Crawl collected and Web Data Commons published for three crawls (December 2022, 2023, and 2024). They contain 4.8, 4.6, and 4.0 million postings with a named hiring organization, from about 590,000, 560,000, and 550,000 organizations. The postings are not restricted to the European Union. We identify visual-production roles in two steps: a multilingual keyword filter on posting titles, then classification of the unique candidate titles by a language model (Claude Haiku 5.5; prompts are in the replication repository). We then grade the postings that mention generative AI tools by whether the tools are absent, mentioned as a preferred skill or as company context, or required as a skill or core duty of the role.</w:t>
      </w:r>
    </w:p>
    <w:p>
      <w:pPr>
        <w:pStyle w:val="BodyText"/>
        <w:spacing w:line="480" w:lineRule="auto" w:after="0" w:before="0"/>
        <w:ind w:firstLine="720"/>
        <w:jc w:val="left"/>
      </w:pPr>
      <w:r>
        <w:rPr>
          <w:rFonts w:ascii="Times New Roman" w:hAnsi="Times New Roman" w:eastAsia="Times New Roman" w:cs="Times New Roman"/>
        </w:rPr>
        <w:t xml:space="preserve">The counts are small but move fast. Visual-production postings number 30,728, 28,138, and 24,478 in the three crawls. Postings that mention generative AI tools rise from 11 in 2022 to 176 in 2023 and 721 in 2024, and postings that require such tools rise from none to 24 and 50. In 2024, then, about 3 percent of visual-production postings mention generative AI tools and about 0.2 percent require them. As a check on keyword recall, 8 of 1,224 randomly drawn visual-role postings without a keyword hit were graded as mentioning such tools, so the counts are close to, but below, the true values. At the same time, 9.6 percent of EU enterprises report using generative visual AI (Section 6.1). The two figures come from different populations and measure different things, because a posting reveals demanded skills, not reassigned tasks. They are nevertheless consistent with the gap that our theory describes: acquisition is widespread, while the demand for the skills that would accompany reassignment of visual tasks is still marginal.</w:t>
      </w:r>
    </w:p>
    <w:p>
      <w:pPr>
        <w:pStyle w:val="BodyText"/>
        <w:spacing w:line="480" w:lineRule="auto" w:after="0" w:before="0"/>
        <w:ind w:firstLine="720"/>
        <w:jc w:val="left"/>
      </w:pPr>
      <w:r>
        <w:rPr>
          <w:rFonts w:ascii="Times New Roman" w:hAnsi="Times New Roman" w:eastAsia="Times New Roman" w:cs="Times New Roman"/>
        </w:rPr>
        <w:t xml:space="preserve">We also tried to use the postings to test H3 and report the attempt because it fails instructively. We call an employer an acquirer if generative AI tools appear in any of its postings other than visual-production roles, and we treat compliance, legal, privacy, and AI-governance roles, as well as creative or design leadership roles, as indicators of complementary assets. Among 844 acquirers that posted visual-production roles in 2024, the presence of such complement postings does not raise the probability that visual postings mention AI tools (logit coefficient</w:t>
      </w:r>
      <w:r>
        <w:rPr>
          <w:rFonts w:ascii="Times New Roman" w:hAnsi="Times New Roman" w:eastAsia="Times New Roman" w:cs="Times New Roman"/>
        </w:rPr>
        <w:t xml:space="preserve"> </w:t>
      </w:r>
      <m:oMath>
        <m:r>
          <m:rPr>
            <m:sty m:val="p"/>
          </m:rPr>
          <m:t>−</m:t>
        </m:r>
        <m:r>
          <m:t>0.20</m:t>
        </m:r>
      </m:oMath>
      <w:r>
        <w:rPr>
          <w:rFonts w:ascii="Times New Roman" w:hAnsi="Times New Roman" w:eastAsia="Times New Roman" w:cs="Times New Roman"/>
        </w:rPr>
        <w:t xml:space="preserve">, standard error 0.31). Among the 3,388 employers that posted visual-production roles in 2022 and had at least three postings in both 2022 and 2024, the interaction of acquirer status and complements on the change in the share of visual postings is</w:t>
      </w:r>
      <w:r>
        <w:rPr>
          <w:rFonts w:ascii="Times New Roman" w:hAnsi="Times New Roman" w:eastAsia="Times New Roman" w:cs="Times New Roman"/>
        </w:rPr>
        <w:t xml:space="preserve"> </w:t>
      </w:r>
      <m:oMath>
        <m:r>
          <m:rPr>
            <m:sty m:val="p"/>
          </m:rPr>
          <m:t>−</m:t>
        </m:r>
        <m:r>
          <m:t>1.9</m:t>
        </m:r>
      </m:oMath>
      <w:r>
        <w:rPr>
          <w:rFonts w:ascii="Times New Roman" w:hAnsi="Times New Roman" w:eastAsia="Times New Roman" w:cs="Times New Roman"/>
        </w:rPr>
        <w:t xml:space="preserve"> </w:t>
      </w:r>
      <w:r>
        <w:rPr>
          <w:rFonts w:ascii="Times New Roman" w:hAnsi="Times New Roman" w:eastAsia="Times New Roman" w:cs="Times New Roman"/>
        </w:rPr>
        <w:t xml:space="preserve">percentage points (standard error 1.0), the sign H3 predicts. But the same interaction is</w:t>
      </w:r>
      <w:r>
        <w:rPr>
          <w:rFonts w:ascii="Times New Roman" w:hAnsi="Times New Roman" w:eastAsia="Times New Roman" w:cs="Times New Roman"/>
        </w:rPr>
        <w:t xml:space="preserve"> </w:t>
      </w:r>
      <m:oMath>
        <m:r>
          <m:rPr>
            <m:sty m:val="p"/>
          </m:rPr>
          <m:t>−</m:t>
        </m:r>
        <m:r>
          <m:t>2.4</m:t>
        </m:r>
      </m:oMath>
      <w:r>
        <w:rPr>
          <w:rFonts w:ascii="Times New Roman" w:hAnsi="Times New Roman" w:eastAsia="Times New Roman" w:cs="Times New Roman"/>
        </w:rPr>
        <w:t xml:space="preserve"> </w:t>
      </w:r>
      <w:r>
        <w:rPr>
          <w:rFonts w:ascii="Times New Roman" w:hAnsi="Times New Roman" w:eastAsia="Times New Roman" w:cs="Times New Roman"/>
        </w:rPr>
        <w:t xml:space="preserve">points (0.9) for the change from 2022 to 2023, before generative tools were widely acquired, so it cannot be a consequence of acquisition. Restricting the sample to employers with at least ten postings in both years shrinks the 2022–2024 interaction to</w:t>
      </w:r>
      <w:r>
        <w:rPr>
          <w:rFonts w:ascii="Times New Roman" w:hAnsi="Times New Roman" w:eastAsia="Times New Roman" w:cs="Times New Roman"/>
        </w:rPr>
        <w:t xml:space="preserve"> </w:t>
      </w:r>
      <m:oMath>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points (0.7).</w:t>
      </w:r>
    </w:p>
    <w:p>
      <w:pPr>
        <w:pStyle w:val="BodyText"/>
        <w:spacing w:line="480" w:lineRule="auto" w:after="0" w:before="0"/>
        <w:ind w:firstLine="720"/>
        <w:jc w:val="left"/>
      </w:pPr>
      <w:r>
        <w:rPr>
          <w:rFonts w:ascii="Times New Roman" w:hAnsi="Times New Roman" w:eastAsia="Times New Roman" w:cs="Times New Roman"/>
        </w:rPr>
        <w:t xml:space="preserve">These data do not identify the mechanism, for reasons that bear on any use of advert text. A crawl records the stock of postings that were live and crawled at one time, not hires, and crawl coverage differs across years. Employers are matched by name. Acquirer status and complements are inferred from keywords and titles, and the cells with both are small. The evidence supports the descriptive point above and nothing stronger. A test of H3 needs the firm-level measures of use, complements, reassignment, and hiring described in Section 9.</w:t>
      </w:r>
    </w:p>
    <w:bookmarkEnd w:id="48"/>
    <w:bookmarkEnd w:id="49"/>
    <w:bookmarkStart w:id="50" w:name="X2061958f846d060753ea4141165ee0cf5000e1a"/>
    <w:p>
      <w:pPr>
        <w:pStyle w:val="Heading2"/>
      </w:pPr>
      <w:r>
        <w:rPr>
          <w:rFonts w:ascii="Times New Roman" w:hAnsi="Times New Roman" w:eastAsia="Times New Roman" w:cs="Times New Roman"/>
        </w:rPr>
        <w:t xml:space="preserve">8 When Will Occupation-Level Data Become Informative?</w:t>
      </w:r>
    </w:p>
    <w:p>
      <w:pPr>
        <w:pStyle w:val="FirstParagraph"/>
        <w:spacing w:line="480" w:lineRule="auto" w:after="0" w:before="0"/>
        <w:ind w:firstLine="720"/>
        <w:jc w:val="left"/>
      </w:pPr>
      <w:r>
        <w:rPr>
          <w:rFonts w:ascii="Times New Roman" w:hAnsi="Times New Roman" w:eastAsia="Times New Roman" w:cs="Times New Roman"/>
        </w:rPr>
        <w:t xml:space="preserve">Equation (5) also tells us when the European design would gain the power to detect complete assimilation. Holding the 2024 standard error fixed, detection for an occupation at</w:t>
      </w:r>
      <w:r>
        <w:rPr>
          <w:rFonts w:ascii="Times New Roman" w:hAnsi="Times New Roman" w:eastAsia="Times New Roman" w:cs="Times New Roman"/>
        </w:rPr>
        <w:t xml:space="preserve"> </w:t>
      </w:r>
      <m:oMath>
        <m:r>
          <m:t>k</m:t>
        </m:r>
        <m:r>
          <m:rPr>
            <m:sty m:val="p"/>
          </m:rPr>
          <m:t>=</m:t>
        </m:r>
        <m:r>
          <m:t>5.3</m:t>
        </m:r>
      </m:oMath>
      <w:r>
        <w:rPr>
          <w:rFonts w:ascii="Times New Roman" w:hAnsi="Times New Roman" w:eastAsia="Times New Roman" w:cs="Times New Roman"/>
        </w:rPr>
        <w:t xml:space="preserve"> </w:t>
      </w:r>
      <w:r>
        <w:rPr>
          <w:rFonts w:ascii="Times New Roman" w:hAnsi="Times New Roman" w:eastAsia="Times New Roman" w:cs="Times New Roman"/>
        </w:rPr>
        <w:t xml:space="preserve">requires</w:t>
      </w:r>
      <w:r>
        <w:rPr>
          <w:rFonts w:ascii="Times New Roman" w:hAnsi="Times New Roman" w:eastAsia="Times New Roman" w:cs="Times New Roman"/>
        </w:rPr>
        <w:t xml:space="preserve"> </w:t>
      </w:r>
      <m:oMath>
        <m:d>
          <m:dPr>
            <m:begChr m:val="|"/>
            <m:endChr m:val="|"/>
            <m:sepChr m:val=""/>
            <m:grow/>
          </m:dPr>
          <m:e>
            <m:sSup>
              <m:e>
                <m:r>
                  <m:t>A</m:t>
                </m:r>
              </m:e>
              <m:sup>
                <m:r>
                  <m:t>a</m:t>
                </m:r>
              </m:sup>
            </m:sSup>
            <m:r>
              <m:rPr>
                <m:sty m:val="p"/>
              </m:rPr>
              <m:t>⋅</m:t>
            </m:r>
            <m:r>
              <m:t>β</m:t>
            </m:r>
          </m:e>
        </m:d>
        <m:r>
          <m:rPr>
            <m:sty m:val="p"/>
          </m:rPr>
          <m:t>≥</m:t>
        </m:r>
        <m:r>
          <m:t>0.27</m:t>
        </m:r>
      </m:oMath>
      <w:r>
        <w:rPr>
          <w:rFonts w:ascii="Times New Roman" w:hAnsi="Times New Roman" w:eastAsia="Times New Roman" w:cs="Times New Roman"/>
        </w:rPr>
        <w:t xml:space="preserve">. With</w:t>
      </w:r>
      <w:r>
        <w:rPr>
          <w:rFonts w:ascii="Times New Roman" w:hAnsi="Times New Roman" w:eastAsia="Times New Roman" w:cs="Times New Roman"/>
        </w:rPr>
        <w:t xml:space="preserve"> </w:t>
      </w:r>
      <m:oMath>
        <m:r>
          <m:t>β</m:t>
        </m:r>
        <m:r>
          <m:rPr>
            <m:sty m:val="p"/>
          </m:rPr>
          <m:t>=</m:t>
        </m:r>
        <m:r>
          <m:rPr>
            <m:sty m:val="p"/>
          </m:rPr>
          <m:t>−</m:t>
        </m:r>
        <m:r>
          <m:t>0.19</m:t>
        </m:r>
      </m:oMath>
      <w:r>
        <w:rPr>
          <w:rFonts w:ascii="Times New Roman" w:hAnsi="Times New Roman" w:eastAsia="Times New Roman" w:cs="Times New Roman"/>
        </w:rPr>
        <w:t xml:space="preserve"> </w:t>
      </w:r>
      <w:r>
        <w:rPr>
          <w:rFonts w:ascii="Times New Roman" w:hAnsi="Times New Roman" w:eastAsia="Times New Roman" w:cs="Times New Roman"/>
        </w:rPr>
        <w:t xml:space="preserve">this cannot occur even at full assimilation. With</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it requires</w:t>
      </w:r>
      <w:r>
        <w:rPr>
          <w:rFonts w:ascii="Times New Roman" w:hAnsi="Times New Roman" w:eastAsia="Times New Roman" w:cs="Times New Roman"/>
        </w:rPr>
        <w:t xml:space="preserve"> </w:t>
      </w:r>
      <m:oMath>
        <m:sSup>
          <m:e>
            <m:r>
              <m:t>A</m:t>
            </m:r>
          </m:e>
          <m:sup>
            <m:r>
              <m:t>a</m:t>
            </m:r>
          </m:sup>
        </m:sSup>
        <m:r>
          <m:rPr>
            <m:sty m:val="p"/>
          </m:rPr>
          <m:t>≥</m:t>
        </m:r>
        <m:r>
          <m:t>0.53</m:t>
        </m:r>
      </m:oMath>
      <w:r>
        <w:rPr>
          <w:rFonts w:ascii="Times New Roman" w:hAnsi="Times New Roman" w:eastAsia="Times New Roman" w:cs="Times New Roman"/>
        </w:rPr>
        <w:t xml:space="preserve">; with</w:t>
      </w:r>
      <w:r>
        <w:rPr>
          <w:rFonts w:ascii="Times New Roman" w:hAnsi="Times New Roman" w:eastAsia="Times New Roman" w:cs="Times New Roman"/>
        </w:rPr>
        <w:t xml:space="preserve"> </w:t>
      </w:r>
      <m:oMath>
        <m:r>
          <m:t>β</m:t>
        </m:r>
        <m:r>
          <m:rPr>
            <m:sty m:val="p"/>
          </m:rPr>
          <m:t>=</m:t>
        </m:r>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(a 55 percent fall among assimilators),</w:t>
      </w:r>
      <w:r>
        <w:rPr>
          <w:rFonts w:ascii="Times New Roman" w:hAnsi="Times New Roman" w:eastAsia="Times New Roman" w:cs="Times New Roman"/>
        </w:rPr>
        <w:t xml:space="preserve"> </w:t>
      </w:r>
      <m:oMath>
        <m:sSup>
          <m:e>
            <m:r>
              <m:t>A</m:t>
            </m:r>
          </m:e>
          <m:sup>
            <m:r>
              <m:t>a</m:t>
            </m:r>
          </m:sup>
        </m:sSup>
        <m:r>
          <m:rPr>
            <m:sty m:val="p"/>
          </m:rPr>
          <m:t>≥</m:t>
        </m:r>
        <m:r>
          <m:t>0.33</m:t>
        </m:r>
      </m:oMath>
      <w:r>
        <w:rPr>
          <w:rFonts w:ascii="Times New Roman" w:hAnsi="Times New Roman" w:eastAsia="Times New Roman" w:cs="Times New Roman"/>
        </w:rPr>
        <w:t xml:space="preserve">. Table 6 reports the first year in which acquisition would reach these shares if its log-odds rose at the 2023–2025 pace of text-generation AI (about 0.75 per year) or at two-thirds or one-third of that pace. Because</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these are the earliest possible detection dates; any persistent assimilation gap pushes them later. The standard error will change as post-2022 years accumulate, so the dates are conditional on the precision of the current design.</w:t>
      </w:r>
    </w:p>
    <w:p>
      <w:pPr>
        <w:pStyle w:val="BodyText"/>
        <w:spacing w:line="240" w:lineRule="auto" w:after="120" w:before="0"/>
        <w:ind w:firstLine="0"/>
        <w:jc w:val="left"/>
      </w:pPr>
      <w:r>
        <w:rPr>
          <w:bCs/>
          <w:rFonts w:ascii="Times New Roman" w:hAnsi="Times New Roman" w:eastAsia="Times New Roman" w:cs="Times New Roman"/>
          <w:b/>
        </w:rPr>
        <w:t xml:space="preserve">Table 6. Earliest year in which complete assimilation would become detectable, European design</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1584"/>
        <w:gridCol w:w="1584"/>
        <w:gridCol w:w="1584"/>
        <w:gridCol w:w="1584"/>
        <w:gridCol w:w="1584"/>
      </w:tblGrid>
      <w:tr>
        <w:trPr>
          <w:tblHeader w:val="true"/>
        </w:trPr>
        <w:tc>
          <w:tcPr>
            <w:tcBorders>
              <w:bottom w:val="single" w:sz="6" w:color="000000"/>
            </w:tcBorders>
          </w:tcPr>
          <w:p>
            <w:pPr>
              <w:pStyle w:val="Compact"/>
              <w:spacing w:line="240" w:lineRule="auto" w:after="40"/>
              <w:ind w:firstLine="0"/>
              <w:jc w:val="left"/>
            </w:pPr>
            <m:oMath>
              <m:r>
                <m:t>β</m:t>
              </m:r>
            </m:oMath>
            <w:r>
              <w:rPr>
                <w:rFonts w:ascii="Times New Roman" w:hAnsi="Times New Roman"/>
                <w:b/>
                <w:sz w:val="19"/>
              </w:rPr>
              <w:t xml:space="preserve"> </w:t>
            </w:r>
            <w:r>
              <w:rPr>
                <w:rFonts w:ascii="Times New Roman" w:hAnsi="Times New Roman"/>
                <w:b/>
                <w:sz w:val="19"/>
              </w:rPr>
              <w:t xml:space="preserve">among assimilators</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Required</w:t>
            </w:r>
            <w:r>
              <w:rPr>
                <w:rFonts w:ascii="Times New Roman" w:hAnsi="Times New Roman"/>
                <w:b/>
                <w:sz w:val="19"/>
              </w:rPr>
              <w:t xml:space="preserve"> </w:t>
            </w:r>
            <m:oMath>
              <m:sSup>
                <m:e>
                  <m:r>
                    <m:t>A</m:t>
                  </m:r>
                </m:e>
                <m:sup>
                  <m:r>
                    <m:t>a</m:t>
                  </m:r>
                </m:sup>
              </m:sSup>
            </m:oMath>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Fast (all / media)</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Medium (all / media)</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Slow (all / media)</w:t>
            </w:r>
          </w:p>
        </w:tc>
      </w:tr>
      <w:tr>
        <w:tc>
          <w:tcPr/>
          <w:p>
            <w:pPr>
              <w:pStyle w:val="Compact"/>
              <w:spacing w:line="240" w:lineRule="auto" w:after="40"/>
              <w:ind w:firstLine="0"/>
              <w:jc w:val="left"/>
            </w:pPr>
            <w:r>
              <w:rPr>
                <w:rFonts w:ascii="Times New Roman" w:hAnsi="Times New Roman"/>
                <w:sz w:val="19"/>
              </w:rPr>
              <w:t xml:space="preserve">−0.19 (−17%)</w:t>
            </w:r>
          </w:p>
        </w:tc>
        <w:tc>
          <w:tcPr/>
          <w:p>
            <w:pPr>
              <w:pStyle w:val="Compact"/>
              <w:spacing w:line="240" w:lineRule="auto" w:after="40"/>
              <w:ind w:firstLine="0"/>
              <w:jc w:val="right"/>
            </w:pPr>
            <w:r>
              <w:rPr>
                <w:rFonts w:ascii="Times New Roman" w:hAnsi="Times New Roman"/>
                <w:sz w:val="19"/>
              </w:rPr>
              <w:t xml:space="preserve">above 100%</w:t>
            </w:r>
          </w:p>
        </w:tc>
        <w:tc>
          <w:tcPr/>
          <w:p>
            <w:pPr>
              <w:pStyle w:val="Compact"/>
              <w:spacing w:line="240" w:lineRule="auto" w:after="40"/>
              <w:ind w:firstLine="0"/>
              <w:jc w:val="left"/>
            </w:pPr>
            <w:r>
              <w:rPr>
                <w:rFonts w:ascii="Times New Roman" w:hAnsi="Times New Roman"/>
                <w:sz w:val="19"/>
              </w:rPr>
              <w:t xml:space="preserve">never</w:t>
            </w:r>
          </w:p>
        </w:tc>
        <w:tc>
          <w:tcPr/>
          <w:p>
            <w:pPr>
              <w:pStyle w:val="Compact"/>
              <w:spacing w:line="240" w:lineRule="auto" w:after="40"/>
              <w:ind w:firstLine="0"/>
              <w:jc w:val="left"/>
            </w:pPr>
            <w:r>
              <w:rPr>
                <w:rFonts w:ascii="Times New Roman" w:hAnsi="Times New Roman"/>
                <w:sz w:val="19"/>
              </w:rPr>
              <w:t xml:space="preserve">never</w:t>
            </w:r>
          </w:p>
        </w:tc>
        <w:tc>
          <w:tcPr/>
          <w:p>
            <w:pPr>
              <w:pStyle w:val="Compact"/>
              <w:spacing w:line="240" w:lineRule="auto" w:after="40"/>
              <w:ind w:firstLine="0"/>
              <w:jc w:val="left"/>
            </w:pPr>
            <w:r>
              <w:rPr>
                <w:rFonts w:ascii="Times New Roman" w:hAnsi="Times New Roman"/>
                <w:sz w:val="19"/>
              </w:rPr>
              <w:t xml:space="preserve">never</w:t>
            </w:r>
          </w:p>
        </w:tc>
      </w:tr>
      <w:tr>
        <w:tc>
          <w:tcPr/>
          <w:p>
            <w:pPr>
              <w:pStyle w:val="Compact"/>
              <w:spacing w:line="240" w:lineRule="auto" w:after="40"/>
              <w:ind w:firstLine="0"/>
              <w:jc w:val="left"/>
            </w:pPr>
            <w:r>
              <w:rPr>
                <w:rFonts w:ascii="Times New Roman" w:hAnsi="Times New Roman"/>
                <w:sz w:val="19"/>
              </w:rPr>
              <w:t xml:space="preserve">−0.50 (−39%)</w:t>
            </w:r>
          </w:p>
        </w:tc>
        <w:tc>
          <w:tcPr/>
          <w:p>
            <w:pPr>
              <w:pStyle w:val="Compact"/>
              <w:spacing w:line="240" w:lineRule="auto" w:after="40"/>
              <w:ind w:firstLine="0"/>
              <w:jc w:val="right"/>
            </w:pPr>
            <w:r>
              <w:rPr>
                <w:rFonts w:ascii="Times New Roman" w:hAnsi="Times New Roman"/>
                <w:sz w:val="19"/>
              </w:rPr>
              <w:t xml:space="preserve">53%</w:t>
            </w:r>
          </w:p>
        </w:tc>
        <w:tc>
          <w:tcPr/>
          <w:p>
            <w:pPr>
              <w:pStyle w:val="Compact"/>
              <w:spacing w:line="240" w:lineRule="auto" w:after="40"/>
              <w:ind w:firstLine="0"/>
              <w:jc w:val="left"/>
            </w:pPr>
            <w:r>
              <w:rPr>
                <w:rFonts w:ascii="Times New Roman" w:hAnsi="Times New Roman"/>
                <w:sz w:val="19"/>
              </w:rPr>
              <w:t xml:space="preserve">2029 / 2026</w:t>
            </w:r>
          </w:p>
        </w:tc>
        <w:tc>
          <w:tcPr/>
          <w:p>
            <w:pPr>
              <w:pStyle w:val="Compact"/>
              <w:spacing w:line="240" w:lineRule="auto" w:after="40"/>
              <w:ind w:firstLine="0"/>
              <w:jc w:val="left"/>
            </w:pPr>
            <w:r>
              <w:rPr>
                <w:rFonts w:ascii="Times New Roman" w:hAnsi="Times New Roman"/>
                <w:sz w:val="19"/>
              </w:rPr>
              <w:t xml:space="preserve">2030 / 2027</w:t>
            </w:r>
          </w:p>
        </w:tc>
        <w:tc>
          <w:tcPr/>
          <w:p>
            <w:pPr>
              <w:pStyle w:val="Compact"/>
              <w:spacing w:line="240" w:lineRule="auto" w:after="40"/>
              <w:ind w:firstLine="0"/>
              <w:jc w:val="left"/>
            </w:pPr>
            <w:r>
              <w:rPr>
                <w:rFonts w:ascii="Times New Roman" w:hAnsi="Times New Roman"/>
                <w:sz w:val="19"/>
              </w:rPr>
              <w:t xml:space="preserve">2035 / 2028</w:t>
            </w:r>
          </w:p>
        </w:tc>
      </w:tr>
      <w:tr>
        <w:tc>
          <w:tcPr/>
          <w:p>
            <w:pPr>
              <w:pStyle w:val="Compact"/>
              <w:spacing w:line="240" w:lineRule="auto" w:after="40"/>
              <w:ind w:firstLine="0"/>
              <w:jc w:val="left"/>
            </w:pPr>
            <w:r>
              <w:rPr>
                <w:rFonts w:ascii="Times New Roman" w:hAnsi="Times New Roman"/>
                <w:sz w:val="19"/>
              </w:rPr>
              <w:t xml:space="preserve">−0.80 (−55%)</w:t>
            </w:r>
          </w:p>
        </w:tc>
        <w:tc>
          <w:tcPr/>
          <w:p>
            <w:pPr>
              <w:pStyle w:val="Compact"/>
              <w:spacing w:line="240" w:lineRule="auto" w:after="40"/>
              <w:ind w:firstLine="0"/>
              <w:jc w:val="right"/>
            </w:pPr>
            <w:r>
              <w:rPr>
                <w:rFonts w:ascii="Times New Roman" w:hAnsi="Times New Roman"/>
                <w:sz w:val="19"/>
              </w:rPr>
              <w:t xml:space="preserve">33%</w:t>
            </w:r>
          </w:p>
        </w:tc>
        <w:tc>
          <w:tcPr/>
          <w:p>
            <w:pPr>
              <w:pStyle w:val="Compact"/>
              <w:spacing w:line="240" w:lineRule="auto" w:after="40"/>
              <w:ind w:firstLine="0"/>
              <w:jc w:val="left"/>
            </w:pPr>
            <w:r>
              <w:rPr>
                <w:rFonts w:ascii="Times New Roman" w:hAnsi="Times New Roman"/>
                <w:sz w:val="19"/>
              </w:rPr>
              <w:t xml:space="preserve">2028 / 2025</w:t>
            </w:r>
          </w:p>
        </w:tc>
        <w:tc>
          <w:tcPr/>
          <w:p>
            <w:pPr>
              <w:pStyle w:val="Compact"/>
              <w:spacing w:line="240" w:lineRule="auto" w:after="40"/>
              <w:ind w:firstLine="0"/>
              <w:jc w:val="left"/>
            </w:pPr>
            <w:r>
              <w:rPr>
                <w:rFonts w:ascii="Times New Roman" w:hAnsi="Times New Roman"/>
                <w:sz w:val="19"/>
              </w:rPr>
              <w:t xml:space="preserve">2029 / 2025</w:t>
            </w:r>
          </w:p>
        </w:tc>
        <w:tc>
          <w:tcPr/>
          <w:p>
            <w:pPr>
              <w:pStyle w:val="Compact"/>
              <w:spacing w:line="240" w:lineRule="auto" w:after="40"/>
              <w:ind w:firstLine="0"/>
              <w:jc w:val="left"/>
            </w:pPr>
            <w:r>
              <w:rPr>
                <w:rFonts w:ascii="Times New Roman" w:hAnsi="Times New Roman"/>
                <w:sz w:val="19"/>
              </w:rPr>
              <w:t xml:space="preserve">2032 / 2025</w:t>
            </w:r>
          </w:p>
        </w:tc>
      </w:tr>
    </w:tbl>
    <w:p>
      <w:pPr>
        <w:pStyle w:val="BodyText"/>
        <w:spacing w:line="240" w:lineRule="auto" w:after="120" w:before="0"/>
        <w:ind w:firstLine="0"/>
        <w:jc w:val="left"/>
      </w:pPr>
      <w:r>
        <w:rPr>
          <w:iCs/>
          <w:rFonts w:ascii="Times New Roman" w:hAnsi="Times New Roman" w:eastAsia="Times New Roman" w:cs="Times New Roman"/>
          <w:i/>
        </w:rPr>
        <w:t xml:space="preserve">Notes.</w:t>
      </w:r>
      <w:r>
        <w:rPr>
          <w:rFonts w:ascii="Times New Roman" w:hAnsi="Times New Roman" w:eastAsia="Times New Roman" w:cs="Times New Roman"/>
        </w:rPr>
        <w:t xml:space="preserve"> </w:t>
      </w:r>
      <w:r>
        <w:rPr>
          <w:rFonts w:ascii="Times New Roman" w:hAnsi="Times New Roman" w:eastAsia="Times New Roman" w:cs="Times New Roman"/>
        </w:rPr>
        <w:t xml:space="preserve">Paths start in 2025 at 9.6 percent (all firms) or 36.2 percent (publishing, film, and broadcasting) with log-odds slopes of 0.75 (fast), 0.50 (medium), and 0.25 (slow) per year. Detection threshold:</w:t>
      </w:r>
      <w:r>
        <w:rPr>
          <w:rFonts w:ascii="Times New Roman" w:hAnsi="Times New Roman" w:eastAsia="Times New Roman" w:cs="Times New Roman"/>
        </w:rPr>
        <w:t xml:space="preserve"> </w:t>
      </w:r>
      <m:oMath>
        <m:r>
          <m:t>2.8</m:t>
        </m:r>
        <m:r>
          <m:rPr>
            <m:sty m:val="p"/>
          </m:rPr>
          <m:t>×</m:t>
        </m:r>
        <m:r>
          <m:t>0.018</m:t>
        </m:r>
        <m:r>
          <m:rPr>
            <m:sty m:val="p"/>
          </m:rPr>
          <m:t>×</m:t>
        </m:r>
        <m:r>
          <m:t>5.3</m:t>
        </m:r>
        <m:r>
          <m:rPr>
            <m:sty m:val="p"/>
          </m:rPr>
          <m:t>≈</m:t>
        </m:r>
        <m:r>
          <m:t>0.27</m:t>
        </m:r>
      </m:oMath>
      <w:r>
        <w:rPr>
          <w:rFonts w:ascii="Times New Roman" w:hAnsi="Times New Roman" w:eastAsia="Times New Roman" w:cs="Times New Roman"/>
        </w:rPr>
        <w:t xml:space="preserve">. Each entry is the first year in which the required share is reached. Dates assume</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and are lower bounds; entries that fall close to a threshold can shift by a year with the rounding of the standard error.</w:t>
      </w:r>
    </w:p>
    <w:p>
      <w:pPr>
        <w:pStyle w:val="BodyText"/>
        <w:spacing w:line="480" w:lineRule="auto" w:after="0" w:before="0"/>
        <w:ind w:firstLine="720"/>
        <w:jc w:val="left"/>
      </w:pPr>
      <w:r>
        <w:rPr>
          <w:rFonts w:ascii="Times New Roman" w:hAnsi="Times New Roman" w:eastAsia="Times New Roman" w:cs="Times New Roman"/>
        </w:rPr>
        <w:t xml:space="preserve">The table is not a forecast of displacement. Its purpose is to show that, for substitution effects of the size observed on platforms, aggregate occupational data will remain uninformative for the foreseeable future, and that even large effects require assimilation to reach most employers before they can be seen. The media entries for</w:t>
      </w:r>
      <w:r>
        <w:rPr>
          <w:rFonts w:ascii="Times New Roman" w:hAnsi="Times New Roman" w:eastAsia="Times New Roman" w:cs="Times New Roman"/>
        </w:rPr>
        <w:t xml:space="preserve"> </w:t>
      </w:r>
      <m:oMath>
        <m:r>
          <m:t>β</m:t>
        </m:r>
        <m:r>
          <m:rPr>
            <m:sty m:val="p"/>
          </m:rPr>
          <m:t>=</m:t>
        </m:r>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are already within reach in 2025, because that sector’s acquisition rate exceeds the required share. They show that only very large effects concentrated in high-acquisition sectors could already be detectable, and even these assume that every acquiring employer has assimilated the tool. Questions about generative-AI assimilation in standing occupations will have to be answered with firm-level data.</w:t>
      </w:r>
    </w:p>
    <w:bookmarkEnd w:id="50"/>
    <w:bookmarkStart w:id="51" w:name="X2117a87807dfa3e48e566d104cf7001f8a6fdcc"/>
    <w:p>
      <w:pPr>
        <w:pStyle w:val="Heading2"/>
      </w:pPr>
      <w:r>
        <w:rPr>
          <w:rFonts w:ascii="Times New Roman" w:hAnsi="Times New Roman" w:eastAsia="Times New Roman" w:cs="Times New Roman"/>
        </w:rPr>
        <w:t xml:space="preserve">9 A Research Design for H3: What Firm-Level Data Would Need to Show</w:t>
      </w:r>
    </w:p>
    <w:p>
      <w:pPr>
        <w:pStyle w:val="FirstParagraph"/>
        <w:spacing w:line="480" w:lineRule="auto" w:after="0" w:before="0"/>
        <w:ind w:firstLine="720"/>
        <w:jc w:val="left"/>
      </w:pPr>
      <w:r>
        <w:rPr>
          <w:rFonts w:ascii="Times New Roman" w:hAnsi="Times New Roman" w:eastAsia="Times New Roman" w:cs="Times New Roman"/>
        </w:rPr>
        <w:t xml:space="preserve">This section is a proposal. We do not have the firm-level data that H3 requires and do not claim to test it. Its purpose is to state the design precisely enough that the claims in Section 3.8 can be refuted.</w:t>
      </w:r>
    </w:p>
    <w:p>
      <w:pPr>
        <w:pStyle w:val="BodyText"/>
        <w:spacing w:line="480" w:lineRule="auto" w:after="0" w:before="0"/>
        <w:ind w:firstLine="720"/>
        <w:jc w:val="left"/>
      </w:pPr>
      <w:r>
        <w:rPr>
          <w:rFonts w:ascii="Times New Roman" w:hAnsi="Times New Roman" w:eastAsia="Times New Roman" w:cs="Times New Roman"/>
        </w:rPr>
        <w:t xml:space="preserve">The accounts in Table 1 differ in what they predict for firms that report use. A design that discriminates among them needs four linked measures at the firm level: reported use of visual generators, the stock of complementary assets, task reassignment for visual production, and hiring for visual occupations. Several data sources could provide them. Eurostat ICT-usage microdata can be linked to employer-employee registers in some member states through national statistical offices. Online job advertisements that carry employer identifiers can record both hiring for visual occupations and requests for generative-AI skills, in the spirit of the firm-level AI indicators built from workforce data by Babina et al. (2024). And a purpose-built survey of acquiring firms can measure the three assets and the share of visual tasks reassigned. Advert text alone is not enough, as the pilot in Section 7.6 shows: it documents demanded skills but, without hires and without independent measures of complements, it does not identify the mechanism.</w:t>
      </w:r>
    </w:p>
    <w:p>
      <w:pPr>
        <w:pStyle w:val="BodyText"/>
        <w:spacing w:line="480" w:lineRule="auto" w:after="0" w:before="0"/>
        <w:ind w:firstLine="720"/>
        <w:jc w:val="left"/>
      </w:pPr>
      <w:r>
        <w:rPr>
          <w:rFonts w:ascii="Times New Roman" w:hAnsi="Times New Roman" w:eastAsia="Times New Roman" w:cs="Times New Roman"/>
        </w:rPr>
        <w:t xml:space="preserve">The closest existing evidence comes from Denmark. Humlum and Vestergaard (2025) link representative surveys on chatbot use, employer policies, and reported time savings to administrative earnings and hours. They find that most employers encourage use and run training, that these employer investments raise adoption and perceived benefits, and that adopters’ earnings and hours show precise zeros, with confidence intervals ruling out effects larger than 1 percent, alongside average reported time savings of about 3 percent. Their design supplies what our theory calls complements (employer encouragement and training) and a measure of use. Its outcomes are the earnings and hours of adopters, not task reassignment and hiring in visual occupations, and the data are not public.</w:t>
      </w:r>
    </w:p>
    <w:p>
      <w:pPr>
        <w:pStyle w:val="BodyText"/>
        <w:spacing w:line="480" w:lineRule="auto" w:after="0" w:before="0"/>
        <w:ind w:firstLine="720"/>
        <w:jc w:val="left"/>
      </w:pPr>
      <w:r>
        <w:rPr>
          <w:bCs/>
          <w:rFonts w:ascii="Times New Roman" w:hAnsi="Times New Roman" w:eastAsia="Times New Roman" w:cs="Times New Roman"/>
          <w:b/>
        </w:rPr>
        <w:t xml:space="preserve">Unit and sampling.</w:t>
      </w:r>
      <w:r>
        <w:rPr>
          <w:rFonts w:ascii="Times New Roman" w:hAnsi="Times New Roman" w:eastAsia="Times New Roman" w:cs="Times New Roman"/>
        </w:rPr>
        <w:t xml:space="preserve"> </w:t>
      </w:r>
      <w:r>
        <w:rPr>
          <w:rFonts w:ascii="Times New Roman" w:hAnsi="Times New Roman" w:eastAsia="Times New Roman" w:cs="Times New Roman"/>
        </w:rPr>
        <w:t xml:space="preserve">The unit is the task within the firm. A survey of firms that report using generative visual tools would list the visual tasks the firm performs (for example, producing advertising images, editing product photographs, drafting video storyboards) and ask about each one. Because only about 10 percent of firms are acquirers overall, and 36 percent in publishing, film, and broadcasting, the sample should be drawn from sectors with high acquisition and screened for acquirers. As an illustration of scale, detecting a difference in task-reassignment rates of 10 versus 25 percent between firms with low and high review capacity needs about 96 firms per group at a 5 percent significance level and 80 percent power, and 10 versus 20 percent needs about 195 per group, before any adjustment for clustering of tasks within firms. Screening roughly 550 firms in a high-acquisition sector would yield about 200 acquirers.</w:t>
      </w:r>
    </w:p>
    <w:p>
      <w:pPr>
        <w:pStyle w:val="BodyText"/>
        <w:spacing w:line="480" w:lineRule="auto" w:after="0" w:before="0"/>
        <w:ind w:firstLine="720"/>
        <w:jc w:val="left"/>
      </w:pPr>
      <w:r>
        <w:rPr>
          <w:bCs/>
          <w:rFonts w:ascii="Times New Roman" w:hAnsi="Times New Roman" w:eastAsia="Times New Roman" w:cs="Times New Roman"/>
          <w:b/>
        </w:rPr>
        <w:t xml:space="preserve">Measures.</w:t>
      </w:r>
      <w:r>
        <w:rPr>
          <w:rFonts w:ascii="Times New Roman" w:hAnsi="Times New Roman" w:eastAsia="Times New Roman" w:cs="Times New Roman"/>
        </w:rPr>
        <w:t xml:space="preserve"> </w:t>
      </w:r>
      <w:r>
        <w:rPr>
          <w:rFonts w:ascii="Times New Roman" w:hAnsi="Times New Roman" w:eastAsia="Times New Roman" w:cs="Times New Roman"/>
        </w:rPr>
        <w:t xml:space="preserve">Table 7 lists the constructs. Complementary assets are measured as three separate stocks so that the account can be refuted if one of them matters and the others do not.</w:t>
      </w:r>
    </w:p>
    <w:p>
      <w:pPr>
        <w:pStyle w:val="BodyText"/>
        <w:spacing w:line="240" w:lineRule="auto" w:after="120" w:before="0"/>
        <w:ind w:firstLine="0"/>
        <w:jc w:val="left"/>
      </w:pPr>
      <w:r>
        <w:rPr>
          <w:bCs/>
          <w:rFonts w:ascii="Times New Roman" w:hAnsi="Times New Roman" w:eastAsia="Times New Roman" w:cs="Times New Roman"/>
          <w:b/>
        </w:rPr>
        <w:t xml:space="preserve">Table 7. Constructs for the proposed firm-level test</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2640"/>
        <w:gridCol w:w="2640"/>
        <w:gridCol w:w="2640"/>
      </w:tblGrid>
      <w:tr>
        <w:trPr>
          <w:tblHeader w:val="true"/>
        </w:trPr>
        <w:tc>
          <w:tcPr>
            <w:tcBorders>
              <w:bottom w:val="single" w:sz="6" w:color="000000"/>
            </w:tcBorders>
          </w:tcPr>
          <w:p>
            <w:pPr>
              <w:pStyle w:val="Compact"/>
              <w:spacing w:line="240" w:lineRule="auto" w:after="40"/>
              <w:ind w:firstLine="0"/>
              <w:jc w:val="left"/>
            </w:pPr>
            <w:r>
              <w:rPr>
                <w:rFonts w:ascii="Times New Roman" w:hAnsi="Times New Roman"/>
                <w:b/>
                <w:sz w:val="19"/>
              </w:rPr>
              <w:t xml:space="preserve">Construct</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Item (illustrative)</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Scale</w:t>
            </w:r>
          </w:p>
        </w:tc>
      </w:tr>
      <w:tr>
        <w:tc>
          <w:tcPr/>
          <w:p>
            <w:pPr>
              <w:pStyle w:val="Compact"/>
              <w:spacing w:line="240" w:lineRule="auto" w:after="40"/>
              <w:ind w:firstLine="0"/>
              <w:jc w:val="left"/>
            </w:pPr>
            <w:r>
              <w:rPr>
                <w:rFonts w:ascii="Times New Roman" w:hAnsi="Times New Roman"/>
                <w:sz w:val="19"/>
              </w:rPr>
              <w:t xml:space="preserve">Acquisition</w:t>
            </w:r>
          </w:p>
        </w:tc>
        <w:tc>
          <w:tcPr/>
          <w:p>
            <w:pPr>
              <w:pStyle w:val="Compact"/>
              <w:spacing w:line="240" w:lineRule="auto" w:after="40"/>
              <w:ind w:firstLine="0"/>
              <w:jc w:val="left"/>
            </w:pPr>
            <w:r>
              <w:rPr>
                <w:rFonts w:ascii="Times New Roman" w:hAnsi="Times New Roman"/>
                <w:sz w:val="19"/>
              </w:rPr>
              <w:t xml:space="preserve">Has the firm used a tool that generates images, video, or audio in the past 12 months?</w:t>
            </w:r>
          </w:p>
        </w:tc>
        <w:tc>
          <w:tcPr/>
          <w:p>
            <w:pPr>
              <w:pStyle w:val="Compact"/>
              <w:spacing w:line="240" w:lineRule="auto" w:after="40"/>
              <w:ind w:firstLine="0"/>
              <w:jc w:val="left"/>
            </w:pPr>
            <w:r>
              <w:rPr>
                <w:rFonts w:ascii="Times New Roman" w:hAnsi="Times New Roman"/>
                <w:sz w:val="19"/>
              </w:rPr>
              <w:t xml:space="preserve">Yes/No</w:t>
            </w:r>
          </w:p>
        </w:tc>
      </w:tr>
      <w:tr>
        <w:tc>
          <w:tcPr/>
          <w:p>
            <w:pPr>
              <w:pStyle w:val="Compact"/>
              <w:spacing w:line="240" w:lineRule="auto" w:after="40"/>
              <w:ind w:firstLine="0"/>
              <w:jc w:val="left"/>
            </w:pPr>
            <w:r>
              <w:rPr>
                <w:rFonts w:ascii="Times New Roman" w:hAnsi="Times New Roman"/>
                <w:sz w:val="19"/>
              </w:rPr>
              <w:t xml:space="preserve">Task reassignment</w:t>
            </w:r>
          </w:p>
        </w:tc>
        <w:tc>
          <w:tcPr/>
          <w:p>
            <w:pPr>
              <w:pStyle w:val="Compact"/>
              <w:spacing w:line="240" w:lineRule="auto" w:after="40"/>
              <w:ind w:firstLine="0"/>
              <w:jc w:val="left"/>
            </w:pPr>
            <w:r>
              <w:rPr>
                <w:rFonts w:ascii="Times New Roman" w:hAnsi="Times New Roman"/>
                <w:sz w:val="19"/>
              </w:rPr>
              <w:t xml:space="preserve">For each listed visual task, what share of output in the past 12 months was generated by the tool and used after review, with no human production?</w:t>
            </w:r>
          </w:p>
        </w:tc>
        <w:tc>
          <w:tcPr/>
          <w:p>
            <w:pPr>
              <w:pStyle w:val="Compact"/>
              <w:spacing w:line="240" w:lineRule="auto" w:after="40"/>
              <w:ind w:firstLine="0"/>
              <w:jc w:val="left"/>
            </w:pPr>
            <w:r>
              <w:rPr>
                <w:rFonts w:ascii="Times New Roman" w:hAnsi="Times New Roman"/>
                <w:sz w:val="19"/>
              </w:rPr>
              <w:t xml:space="preserve">0–100% by task</w:t>
            </w:r>
          </w:p>
        </w:tc>
      </w:tr>
      <w:tr>
        <w:tc>
          <w:tcPr/>
          <w:p>
            <w:pPr>
              <w:pStyle w:val="Compact"/>
              <w:spacing w:line="240" w:lineRule="auto" w:after="40"/>
              <w:ind w:firstLine="0"/>
              <w:jc w:val="left"/>
            </w:pPr>
            <w:r>
              <w:rPr>
                <w:rFonts w:ascii="Times New Roman" w:hAnsi="Times New Roman"/>
                <w:sz w:val="19"/>
              </w:rPr>
              <w:t xml:space="preserve">Expertise</w:t>
            </w:r>
          </w:p>
        </w:tc>
        <w:tc>
          <w:tcPr/>
          <w:p>
            <w:pPr>
              <w:pStyle w:val="Compact"/>
              <w:spacing w:line="240" w:lineRule="auto" w:after="40"/>
              <w:ind w:firstLine="0"/>
              <w:jc w:val="left"/>
            </w:pPr>
            <w:r>
              <w:rPr>
                <w:rFonts w:ascii="Times New Roman" w:hAnsi="Times New Roman"/>
                <w:sz w:val="19"/>
              </w:rPr>
              <w:t xml:space="preserve">Does the firm employ staff able to judge whether generated visual output meets brand and quality standards? How many, and with what training?</w:t>
            </w:r>
          </w:p>
        </w:tc>
        <w:tc>
          <w:tcPr/>
          <w:p>
            <w:pPr>
              <w:pStyle w:val="Compact"/>
              <w:spacing w:line="240" w:lineRule="auto" w:after="40"/>
              <w:ind w:firstLine="0"/>
              <w:jc w:val="left"/>
            </w:pPr>
            <w:r>
              <w:rPr>
                <w:rFonts w:ascii="Times New Roman" w:hAnsi="Times New Roman"/>
                <w:sz w:val="19"/>
              </w:rPr>
              <w:t xml:space="preserve">Count; categories</w:t>
            </w:r>
          </w:p>
        </w:tc>
      </w:tr>
      <w:tr>
        <w:tc>
          <w:tcPr/>
          <w:p>
            <w:pPr>
              <w:pStyle w:val="Compact"/>
              <w:spacing w:line="240" w:lineRule="auto" w:after="40"/>
              <w:ind w:firstLine="0"/>
              <w:jc w:val="left"/>
            </w:pPr>
            <w:r>
              <w:rPr>
                <w:rFonts w:ascii="Times New Roman" w:hAnsi="Times New Roman"/>
                <w:sz w:val="19"/>
              </w:rPr>
              <w:t xml:space="preserve">Review capacity</w:t>
            </w:r>
          </w:p>
        </w:tc>
        <w:tc>
          <w:tcPr/>
          <w:p>
            <w:pPr>
              <w:pStyle w:val="Compact"/>
              <w:spacing w:line="240" w:lineRule="auto" w:after="40"/>
              <w:ind w:firstLine="0"/>
              <w:jc w:val="left"/>
            </w:pPr>
            <w:r>
              <w:rPr>
                <w:rFonts w:ascii="Times New Roman" w:hAnsi="Times New Roman"/>
                <w:sz w:val="19"/>
              </w:rPr>
              <w:t xml:space="preserve">Hours per week allocated to reviewing generated output; existence of a defined review step before publication</w:t>
            </w:r>
          </w:p>
        </w:tc>
        <w:tc>
          <w:tcPr/>
          <w:p>
            <w:pPr>
              <w:pStyle w:val="Compact"/>
              <w:spacing w:line="240" w:lineRule="auto" w:after="40"/>
              <w:ind w:firstLine="0"/>
              <w:jc w:val="left"/>
            </w:pPr>
            <w:r>
              <w:rPr>
                <w:rFonts w:ascii="Times New Roman" w:hAnsi="Times New Roman"/>
                <w:sz w:val="19"/>
              </w:rPr>
              <w:t xml:space="preserve">Hours; Yes/No</w:t>
            </w:r>
          </w:p>
        </w:tc>
      </w:tr>
      <w:tr>
        <w:tc>
          <w:tcPr/>
          <w:p>
            <w:pPr>
              <w:pStyle w:val="Compact"/>
              <w:spacing w:line="240" w:lineRule="auto" w:after="40"/>
              <w:ind w:firstLine="0"/>
              <w:jc w:val="left"/>
            </w:pPr>
            <w:r>
              <w:rPr>
                <w:rFonts w:ascii="Times New Roman" w:hAnsi="Times New Roman"/>
                <w:sz w:val="19"/>
              </w:rPr>
              <w:t xml:space="preserve">Compliance procedures</w:t>
            </w:r>
          </w:p>
        </w:tc>
        <w:tc>
          <w:tcPr/>
          <w:p>
            <w:pPr>
              <w:pStyle w:val="Compact"/>
              <w:spacing w:line="240" w:lineRule="auto" w:after="40"/>
              <w:ind w:firstLine="0"/>
              <w:jc w:val="left"/>
            </w:pPr>
            <w:r>
              <w:rPr>
                <w:rFonts w:ascii="Times New Roman" w:hAnsi="Times New Roman"/>
                <w:sz w:val="19"/>
              </w:rPr>
              <w:t xml:space="preserve">Written policy on copyright, licensing, and personal data in generated content; approval requirement</w:t>
            </w:r>
          </w:p>
        </w:tc>
        <w:tc>
          <w:tcPr/>
          <w:p>
            <w:pPr>
              <w:pStyle w:val="Compact"/>
              <w:spacing w:line="240" w:lineRule="auto" w:after="40"/>
              <w:ind w:firstLine="0"/>
              <w:jc w:val="left"/>
            </w:pPr>
            <w:r>
              <w:rPr>
                <w:rFonts w:ascii="Times New Roman" w:hAnsi="Times New Roman"/>
                <w:sz w:val="19"/>
              </w:rPr>
              <w:t xml:space="preserve">Yes/No; categories</w:t>
            </w:r>
          </w:p>
        </w:tc>
      </w:tr>
      <w:tr>
        <w:tc>
          <w:tcPr/>
          <w:p>
            <w:pPr>
              <w:pStyle w:val="Compact"/>
              <w:spacing w:line="240" w:lineRule="auto" w:after="40"/>
              <w:ind w:firstLine="0"/>
              <w:jc w:val="left"/>
            </w:pPr>
            <w:r>
              <w:rPr>
                <w:rFonts w:ascii="Times New Roman" w:hAnsi="Times New Roman"/>
                <w:sz w:val="19"/>
              </w:rPr>
              <w:t xml:space="preserve">Hiring</w:t>
            </w:r>
          </w:p>
        </w:tc>
        <w:tc>
          <w:tcPr/>
          <w:p>
            <w:pPr>
              <w:pStyle w:val="Compact"/>
              <w:spacing w:line="240" w:lineRule="auto" w:after="40"/>
              <w:ind w:firstLine="0"/>
              <w:jc w:val="left"/>
            </w:pPr>
            <w:r>
              <w:rPr>
                <w:rFonts w:ascii="Times New Roman" w:hAnsi="Times New Roman"/>
                <w:sz w:val="19"/>
              </w:rPr>
              <w:t xml:space="preserve">Postings and hires for visual occupations over the past 24 months, from administrative or advert data linked by employer</w:t>
            </w:r>
          </w:p>
        </w:tc>
        <w:tc>
          <w:tcPr/>
          <w:p>
            <w:pPr>
              <w:pStyle w:val="Compact"/>
              <w:spacing w:line="240" w:lineRule="auto" w:after="40"/>
              <w:ind w:firstLine="0"/>
              <w:jc w:val="left"/>
            </w:pPr>
            <w:r>
              <w:rPr>
                <w:rFonts w:ascii="Times New Roman" w:hAnsi="Times New Roman"/>
                <w:sz w:val="19"/>
              </w:rPr>
              <w:t xml:space="preserve">Counts</w:t>
            </w:r>
          </w:p>
        </w:tc>
      </w:tr>
      <w:tr>
        <w:tc>
          <w:tcPr/>
          <w:p>
            <w:pPr>
              <w:pStyle w:val="Compact"/>
              <w:spacing w:line="240" w:lineRule="auto" w:after="40"/>
              <w:ind w:firstLine="0"/>
              <w:jc w:val="left"/>
            </w:pPr>
            <w:r>
              <w:rPr>
                <w:rFonts w:ascii="Times New Roman" w:hAnsi="Times New Roman"/>
                <w:sz w:val="19"/>
              </w:rPr>
              <w:t xml:space="preserve">Controls</w:t>
            </w:r>
          </w:p>
        </w:tc>
        <w:tc>
          <w:tcPr/>
          <w:p>
            <w:pPr>
              <w:pStyle w:val="Compact"/>
              <w:spacing w:line="240" w:lineRule="auto" w:after="40"/>
              <w:ind w:firstLine="0"/>
              <w:jc w:val="left"/>
            </w:pPr>
            <w:r>
              <w:rPr>
                <w:rFonts w:ascii="Times New Roman" w:hAnsi="Times New Roman"/>
                <w:sz w:val="19"/>
              </w:rPr>
              <w:t xml:space="preserve">Sector, size, share of revenue from visual content, prior outsourcing of visual work</w:t>
            </w:r>
          </w:p>
        </w:tc>
        <w:tc>
          <w:tcPr/>
          <w:p>
            <w:pPr>
              <w:pStyle w:val="Compact"/>
              <w:spacing w:line="240" w:lineRule="auto" w:after="40"/>
              <w:ind w:firstLine="0"/>
              <w:jc w:val="left"/>
            </w:pPr>
            <w:r>
              <w:rPr>
                <w:rFonts w:ascii="Times New Roman" w:hAnsi="Times New Roman"/>
                <w:sz w:val="19"/>
              </w:rPr>
              <w:t xml:space="preserve">Standard</w:t>
            </w:r>
          </w:p>
        </w:tc>
      </w:tr>
    </w:tbl>
    <w:p>
      <w:pPr>
        <w:pStyle w:val="BodyText"/>
        <w:spacing w:line="480" w:lineRule="auto" w:after="0" w:before="0"/>
        <w:ind w:firstLine="720"/>
        <w:jc w:val="left"/>
      </w:pPr>
      <w:r>
        <w:rPr>
          <w:bCs/>
          <w:rFonts w:ascii="Times New Roman" w:hAnsi="Times New Roman" w:eastAsia="Times New Roman" w:cs="Times New Roman"/>
          <w:b/>
        </w:rPr>
        <w:t xml:space="preserve">Identification.</w:t>
      </w:r>
      <w:r>
        <w:rPr>
          <w:rFonts w:ascii="Times New Roman" w:hAnsi="Times New Roman" w:eastAsia="Times New Roman" w:cs="Times New Roman"/>
        </w:rPr>
        <w:t xml:space="preserve"> </w:t>
      </w:r>
      <w:r>
        <w:rPr>
          <w:rFonts w:ascii="Times New Roman" w:hAnsi="Times New Roman" w:eastAsia="Times New Roman" w:cs="Times New Roman"/>
        </w:rPr>
        <w:t xml:space="preserve">Three features make the test one of mechanism and not of association. First, the task-level structure allows firm fixed effects: within a firm, reassignment should be higher for tasks with lower review cost, such as internal drafts, than for tasks with higher review cost, such as public-facing brand imagery. Second, asset stocks should be measured, or recalled, as of the date before acquisition where possible, since firms may build review routines after they begin to reassign tasks. Third, the key prediction is an interaction, in which hiring falls with task reassignment only where assets are high. The raw correlation between use and hiring would not discriminate among the accounts in Table 1. Threats include selection into responding, social-desirability bias in reported compliance, and reverse causation between assets and reassignment; each can be partially addressed by the within-firm design and by pre-registering the hypotheses.</w:t>
      </w:r>
    </w:p>
    <w:p>
      <w:pPr>
        <w:pStyle w:val="BodyText"/>
        <w:spacing w:line="480" w:lineRule="auto" w:after="0" w:before="0"/>
        <w:ind w:firstLine="720"/>
        <w:jc w:val="left"/>
      </w:pPr>
      <w:r>
        <w:rPr>
          <w:bCs/>
          <w:rFonts w:ascii="Times New Roman" w:hAnsi="Times New Roman" w:eastAsia="Times New Roman" w:cs="Times New Roman"/>
          <w:b/>
        </w:rPr>
        <w:t xml:space="preserve">What would refute the account.</w:t>
      </w:r>
      <w:r>
        <w:rPr>
          <w:rFonts w:ascii="Times New Roman" w:hAnsi="Times New Roman" w:eastAsia="Times New Roman" w:cs="Times New Roman"/>
        </w:rPr>
        <w:t xml:space="preserve"> </w:t>
      </w:r>
      <w:r>
        <w:rPr>
          <w:rFonts w:ascii="Times New Roman" w:hAnsi="Times New Roman" w:eastAsia="Times New Roman" w:cs="Times New Roman"/>
        </w:rPr>
        <w:t xml:space="preserve">The assimilation-gap account would be refuted by finding that reassignment among acquirers is high on average (not low), that it does not rise with the three asset stocks, or that hiring falls equally among acquirers with low and high asset stocks. The claim in Section 3.8 that acquisition is less informative as it becomes cheaper would be refuted if the share of acquirers who have reassigned at least one task is no lower for generative visual tools than for comparable earlier technologies surveyed in the same way.</w:t>
      </w:r>
    </w:p>
    <w:p>
      <w:pPr>
        <w:pStyle w:val="BodyText"/>
        <w:spacing w:line="480" w:lineRule="auto" w:after="0" w:before="0"/>
        <w:ind w:firstLine="720"/>
        <w:jc w:val="left"/>
      </w:pPr>
      <w:r>
        <w:rPr>
          <w:rFonts w:ascii="Times New Roman" w:hAnsi="Times New Roman" w:eastAsia="Times New Roman" w:cs="Times New Roman"/>
        </w:rPr>
        <w:t xml:space="preserve">The predictions are specific. Under the assimilation gap, task reassignment among users is low on average and rises with expertise, review capacity, and compliance procedures, and hiring for visual occupations falls, if at all, only among users with high asset stocks. Under complete assimilation with net substitution, users cut visual hiring relative to non-users regardless of asset stocks. Under offsetting scale effects, users reassign tasks but their visual hiring does not fall, and their job adverts shift toward direction, selection, and review. Under capability failure, users do not reassign tasks even when assets are present. Each prediction can be falsified by a single well-measured comparison, and the asset measures make the test one of mechanism rather than of association between use and hiring.</w:t>
      </w:r>
    </w:p>
    <w:bookmarkEnd w:id="51"/>
    <w:bookmarkStart w:id="56" w:name="discussion"/>
    <w:p>
      <w:pPr>
        <w:pStyle w:val="Heading2"/>
      </w:pPr>
      <w:r>
        <w:rPr>
          <w:rFonts w:ascii="Times New Roman" w:hAnsi="Times New Roman" w:eastAsia="Times New Roman" w:cs="Times New Roman"/>
        </w:rPr>
        <w:t xml:space="preserve">10 Discussion</w:t>
      </w:r>
    </w:p>
    <w:bookmarkStart w:id="52" w:name="X8b5d7cb2dd9a2ce0d7f424e3d7c91bdc66a3387"/>
    <w:p>
      <w:pPr>
        <w:pStyle w:val="Heading3"/>
      </w:pPr>
      <w:r>
        <w:rPr>
          <w:rFonts w:ascii="Times New Roman" w:hAnsi="Times New Roman" w:eastAsia="Times New Roman" w:cs="Times New Roman"/>
        </w:rPr>
        <w:t xml:space="preserve">10.1 Contributions to Information Systems Research</w:t>
      </w:r>
    </w:p>
    <w:p>
      <w:pPr>
        <w:pStyle w:val="FirstParagraph"/>
        <w:spacing w:line="480" w:lineRule="auto" w:after="0" w:before="0"/>
        <w:ind w:firstLine="720"/>
        <w:jc w:val="left"/>
      </w:pPr>
      <w:r>
        <w:rPr>
          <w:rFonts w:ascii="Times New Roman" w:hAnsi="Times New Roman" w:eastAsia="Times New Roman" w:cs="Times New Roman"/>
        </w:rPr>
        <w:t xml:space="preserve">Assimilation research was built on technologies whose acquisition was costly. Generative AI reverses that condition. When acquisition is nearly free, the decision to acquire carries little information about the decision to reorganize work, and the gap between the two can widen as adoption statistics rise. The complementary-asset account developed here gives that gap a precise location: review cost, which depends on expertise, review capacity, and compliance procedures rather than on the model. This adds a mechanism to IT-complementarity research for a class of technologies in which the bottleneck is judging output rather than producing it. Unlike earlier enterprise systems, model quality alone cannot substitute for the missing complements; improvements in the generator matter only after those complements have brought review cost below the cost of human production. The account also connects two literatures that rarely meet. IS studies of AI inside adopting organizations (for example, Fügener et al., 2022) take use as given, and labor-market studies of exposure take the occupation as given. Placing the assimilation step between them clarifies what each can and cannot say. Section 3.8 states the resulting extensions to assimilation theory: judgment complements are distinct from production complements, acquisition becomes less informative as its cost falls, assimilation is a property of tasks and not of firms, and the account has stated boundary conditions. These are conceptual claims. Their testing awaits the firm-level data described in Section 9.</w:t>
      </w:r>
    </w:p>
    <w:p>
      <w:pPr>
        <w:pStyle w:val="BodyText"/>
        <w:spacing w:line="480" w:lineRule="auto" w:after="0" w:before="0"/>
        <w:ind w:firstLine="720"/>
        <w:jc w:val="left"/>
      </w:pPr>
      <w:r>
        <w:rPr>
          <w:rFonts w:ascii="Times New Roman" w:hAnsi="Times New Roman" w:eastAsia="Times New Roman" w:cs="Times New Roman"/>
        </w:rPr>
        <w:t xml:space="preserve">The paper also offers a methodological caution for a fast-growing literature. Exposure-based hiring designs are widely used to study generative AI, and their estimates are often read as early effects of the technology. The detectability bound shows that designs which relate occupation- or industry-level outcomes to exposure, with a limited number of units, cannot detect plausible assimilation effects of the size observed on platforms at current acquisition rates, and that the gradients they detect cannot be told apart from a trend that preceded the technology. Our European and Canadian estimates fall in this class, and so do the occupation-level estimates of Acemoglu et al. (2022), Albanesi et al. (2025) for 16 European countries, and Georgieff and Hyee (2022) for 23 OECD countries, whose standard errors imply minimum detectable effects of about 6 to 14 log points per standard deviation of exposure. The conclusion does not extend to every exposure design. Designs that use microdata, such as worker-level registers (Gathmann et al., 2024) or firm-by-occupation panels with observed AI use (Hampole et al., 2025), have minimum detectable effects of roughly one to three percent per standard deviation, and designs that observe adoption directly can rule out effects of the size seen on platforms (Humlum &amp; Vestergaard, 2025). For the first class a null or small coefficient is uninformative about assimilation; for the second it is informative. The bound tells the two apart, is simple enough to be reported alongside any exposure estimate, and doing so would prevent both false alarms and false reassurance. In this sense, the contribution is not a claim that generative visual AI has no labor-market effects, but a demonstration that occupation-level evidence of the kind currently available cannot yet reveal those effects.</w:t>
      </w:r>
    </w:p>
    <w:p>
      <w:pPr>
        <w:pStyle w:val="BodyText"/>
        <w:spacing w:line="480" w:lineRule="auto" w:after="0" w:before="0"/>
        <w:ind w:firstLine="720"/>
        <w:jc w:val="left"/>
      </w:pPr>
      <w:r>
        <w:rPr>
          <w:rFonts w:ascii="Times New Roman" w:hAnsi="Times New Roman" w:eastAsia="Times New Roman" w:cs="Times New Roman"/>
        </w:rPr>
        <w:t xml:space="preserve">A related reading is that falling demand for visual-production occupations reflects structural change in industries, such as shifts in how marketing and media content is produced and bought, and that generative AI accelerates change already under way rather than starting it. Our evidence is compatible with this reading. The European gradient was already moving in the same direction before 2022 (</w:t>
      </w:r>
      <m:oMath>
        <m:r>
          <m:rPr>
            <m:sty m:val="p"/>
          </m:rPr>
          <m:t>−</m:t>
        </m:r>
        <m:r>
          <m:t>0.007</m:t>
        </m:r>
      </m:oMath>
      <w:r>
        <w:rPr>
          <w:rFonts w:ascii="Times New Roman" w:hAnsi="Times New Roman" w:eastAsia="Times New Roman" w:cs="Times New Roman"/>
        </w:rPr>
        <w:t xml:space="preserve"> </w:t>
      </w:r>
      <w:r>
        <w:rPr>
          <w:rFonts w:ascii="Times New Roman" w:hAnsi="Times New Roman" w:eastAsia="Times New Roman" w:cs="Times New Roman"/>
        </w:rPr>
        <w:t xml:space="preserve">per year, not statistically significant), and the estimates depend on the language-exposure control. In the model, acceleration enters through the acceptance threshold: the technology lowers the cost of review and generation for tasks in industries that were already reducing their demand for them, so assimilation is most likely where structural pressure exists. Country-year fixed effects absorb economy-wide shocks but not industry-specific restructuring, and the industry employment series in Section 7.3 show no contraction in the creative industries. Public data cannot show what happened to visual-production occupations within those industries, so the within-industry reading is a hypothesis rather than a finding. Separating acceleration from an independent effect of the technology requires firm-level data that observe an employer’s industry, its use of the tool, and its hiring together.</w:t>
      </w:r>
    </w:p>
    <w:bookmarkEnd w:id="52"/>
    <w:bookmarkStart w:id="53" w:name="a-macroeconomic-reading"/>
    <w:p>
      <w:pPr>
        <w:pStyle w:val="Heading3"/>
      </w:pPr>
      <w:r>
        <w:rPr>
          <w:rFonts w:ascii="Times New Roman" w:hAnsi="Times New Roman" w:eastAsia="Times New Roman" w:cs="Times New Roman"/>
        </w:rPr>
        <w:t xml:space="preserve">10.2 A Macroeconomic Reading</w:t>
      </w:r>
    </w:p>
    <w:p>
      <w:pPr>
        <w:pStyle w:val="FirstParagraph"/>
        <w:spacing w:line="480" w:lineRule="auto" w:after="0" w:before="0"/>
        <w:ind w:firstLine="720"/>
        <w:jc w:val="left"/>
      </w:pPr>
      <w:r>
        <w:rPr>
          <w:rFonts w:ascii="Times New Roman" w:hAnsi="Times New Roman" w:eastAsia="Times New Roman" w:cs="Times New Roman"/>
        </w:rPr>
        <w:t xml:space="preserve">The results fit a standard macroeconomic account of technology shocks. General-purpose technologies take effect only after complementary investments in organization and skills, so adoption can run ahead of measured effects (Bresnahan &amp; Trajtenberg, 1995; Brynjolfsson et al., 2021; David, 1990). The task-based framework (Acemoglu &amp; Restrepo, 2018, 2019) splits the labor-market effect of a technology into displacement, reinstatement, and productivity components, and equation (3) shows that the net effect on an occupation depends on how much review labor remains and on how elastic demand for visual output is. Because review is a bottleneck task (Baumol, 1967), better generation alone does not remove the labor that review requires, and the complements that govern assimilation also govern how much labor assimilation saves. If generative AI is a general-purpose technology (Eloundou et al., 2023), the experience of earlier general-purpose technologies suggests that its labor-market effects appear after complementary investments accumulate. Our results are consistent with this reading but do not test it.</w:t>
      </w:r>
    </w:p>
    <w:p>
      <w:pPr>
        <w:pStyle w:val="BodyText"/>
        <w:spacing w:line="480" w:lineRule="auto" w:after="0" w:before="0"/>
        <w:ind w:firstLine="720"/>
        <w:jc w:val="left"/>
      </w:pPr>
      <w:r>
        <w:rPr>
          <w:rFonts w:ascii="Times New Roman" w:hAnsi="Times New Roman" w:eastAsia="Times New Roman" w:cs="Times New Roman"/>
        </w:rPr>
        <w:t xml:space="preserve">Two features of labor adjustment shape what the data can show. Employers reduce workforces mainly through attrition, so hiring falls first and employment follows at the pace of separations (Proposition 3). Employment series can therefore show no contraction for years after assimilation begins, and an observed fall does not by itself identify the technology. Technology also often accelerates change already under way, such as the movement of labor out of industries in structural decline, which enters the model as an earlier and lower target employment. The usual macroeconomic expectation is that technology shocks appear as reallocation across tasks, occupations, and industries before they appear in aggregate employment. We study occupations and sectors, not aggregates, and say nothing about unemployment or aggregate productivity.</w:t>
      </w:r>
    </w:p>
    <w:p>
      <w:pPr>
        <w:pStyle w:val="BodyText"/>
        <w:spacing w:line="480" w:lineRule="auto" w:after="0" w:before="0"/>
        <w:ind w:firstLine="720"/>
        <w:jc w:val="left"/>
      </w:pPr>
      <w:r>
        <w:rPr>
          <w:rFonts w:ascii="Times New Roman" w:hAnsi="Times New Roman" w:eastAsia="Times New Roman" w:cs="Times New Roman"/>
        </w:rPr>
        <w:t xml:space="preserve">On timing, the evidence supports neither a prediction that effects will take decades nor the view that the future cannot be known. Table 6 gives earliest detection dates that range from 2025, for very large effects in high-acquisition sectors, to 2035, for a 39 percent fall under slow diffusion in the average firm, and never, in this design, for platform-sized effects. What the data cannot say is whether assimilation is occurring now. Answering that requires firm-level data that link use, complementary assets, task reassignment, and hiring.</w:t>
      </w:r>
    </w:p>
    <w:bookmarkEnd w:id="53"/>
    <w:bookmarkStart w:id="54" w:name="implications"/>
    <w:p>
      <w:pPr>
        <w:pStyle w:val="Heading3"/>
      </w:pPr>
      <w:r>
        <w:rPr>
          <w:rFonts w:ascii="Times New Roman" w:hAnsi="Times New Roman" w:eastAsia="Times New Roman" w:cs="Times New Roman"/>
        </w:rPr>
        <w:t xml:space="preserve">10.3 Implications</w:t>
      </w:r>
    </w:p>
    <w:p>
      <w:pPr>
        <w:pStyle w:val="FirstParagraph"/>
        <w:spacing w:line="480" w:lineRule="auto" w:after="0" w:before="0"/>
        <w:ind w:firstLine="720"/>
        <w:jc w:val="left"/>
      </w:pPr>
      <w:r>
        <w:rPr>
          <w:rFonts w:ascii="Times New Roman" w:hAnsi="Times New Roman" w:eastAsia="Times New Roman" w:cs="Times New Roman"/>
        </w:rPr>
        <w:t xml:space="preserve">For researchers, the implication is to report the acquisition rate and the reference effect size that an exposure estimate would require, and to treat estimates that exceed that requirement, or that predate the technology, as evidence about something else. For managers, the barrier evidence suggests that the constraints on using generative visual tools are organizational: review capacity and policies for copyright and personal data are complements to the tool, and waiting for better models will not build them. For statistical agencies and policymakers, a rising use indicator should not be read as rising task reassignment, and a small hiring response should not be read as evidence that the response will remain small. Adding questions on task reassignment and on review and compliance practices to enterprise surveys would make the gap directly measurable.</w:t>
      </w:r>
    </w:p>
    <w:bookmarkEnd w:id="54"/>
    <w:bookmarkStart w:id="55" w:name="limitations"/>
    <w:p>
      <w:pPr>
        <w:pStyle w:val="Heading3"/>
      </w:pPr>
      <w:r>
        <w:rPr>
          <w:rFonts w:ascii="Times New Roman" w:hAnsi="Times New Roman" w:eastAsia="Times New Roman" w:cs="Times New Roman"/>
        </w:rPr>
        <w:t xml:space="preserve">10.4 Limitations</w:t>
      </w:r>
    </w:p>
    <w:p>
      <w:pPr>
        <w:pStyle w:val="FirstParagraph"/>
        <w:spacing w:line="480" w:lineRule="auto" w:after="0" w:before="0"/>
        <w:ind w:firstLine="720"/>
        <w:jc w:val="left"/>
      </w:pPr>
      <w:r>
        <w:rPr>
          <w:rFonts w:ascii="Times New Roman" w:hAnsi="Times New Roman" w:eastAsia="Times New Roman" w:cs="Times New Roman"/>
        </w:rPr>
        <w:t xml:space="preserve">We do not observe assimilation. The barrier items refer to AI in general and to firms that considered it, so they speak to the acquisition margin only. The hiring series are experimental, measure adverts or vacancies rather than employment, and would miss substitution through hours, outsourcing, or freelancing. Exposure is measured with language-model scores that agree with two human coders only weakly (weighted</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of 0.11 to 0.20, against 0.42 between the coders; Section 5.3), so they capture a minority of the visual content that humans identify. We argue that measurement noise strengthens the detectability result, but it limits what can be said about the gradients themselves, and a categorical treatment defined by occupation codes (for example, graphic designers, visual artists, and photographers) would avoid model-based scoring and is a natural next step that we leave to future work. The control for language-model exposure is our own construction, and the 2024 estimate depends on it (Table 4). Acquisition rates are sector averages and do not identify the employers of particular occupations. We study occupations and sectors, not aggregate employment or productivity, and the macroeconomic reading in Section 10.2 interprets the results through the model rather than testing it. The review floor in Proposition 1 rests on the assumption that review hours do not fall with model quality; where better models reduce visible defects, review may become cheaper and the threshold in equation (1) may fall without any change in complements, which would weaken Implication 1 for those tasks. The advert-text evidence in Section 7.6 covers a stock of postings rather than hires and relies on keyword-based inferences of acquirer status and complements. The detectability bound rests on a linear mapping from exposure to the visual share of work and on reference effect sizes from platforms, and both could be refined; however, plausible changes alter the numbers in Tables 5 and 6 without changing the conclusion that current designs lack the power to detect complete assimilation at platform-sized effects.</w:t>
      </w:r>
    </w:p>
    <w:bookmarkEnd w:id="55"/>
    <w:bookmarkEnd w:id="56"/>
    <w:bookmarkStart w:id="57" w:name="conclusion"/>
    <w:p>
      <w:pPr>
        <w:pStyle w:val="Heading2"/>
      </w:pPr>
      <w:r>
        <w:rPr>
          <w:rFonts w:ascii="Times New Roman" w:hAnsi="Times New Roman" w:eastAsia="Times New Roman" w:cs="Times New Roman"/>
        </w:rPr>
        <w:t xml:space="preserve">11 Conclusion</w:t>
      </w:r>
    </w:p>
    <w:p>
      <w:pPr>
        <w:pStyle w:val="FirstParagraph"/>
        <w:spacing w:line="480" w:lineRule="auto" w:after="0" w:before="0"/>
        <w:ind w:firstLine="720"/>
        <w:jc w:val="left"/>
      </w:pPr>
      <w:r>
        <w:rPr>
          <w:rFonts w:ascii="Times New Roman" w:hAnsi="Times New Roman" w:eastAsia="Times New Roman" w:cs="Times New Roman"/>
        </w:rPr>
        <w:t xml:space="preserve">Generative visual AI has been widely acquired: about one in ten European firms used it in 2025, and about one in three in publishing, film, and broadcasting. Firms that considered AI and did not adopt it point to missing expertise, legal uncertainty, and data protection rather than to a tool that is not useful. The theory developed here explains why such complements govern assimilation and why near-free acquisition can let adoption statistics run ahead of any change in work. In macroeconomic terms, general-purpose technologies, task-based labor demand, bottleneck tasks, and attrition-based adjustment together imply that effects reach hiring and employment with a lag and unevenly across occupations. The empirical lesson is equally important. So far, occupation-level hiring data show no labor-market effect that can be attributed to generative visual AI: the exposure gradients are small, imprecise, and cannot be told apart from the trend that preceded the technology. That is not evidence of no effect, because these designs could not have detected complete assimilation at platform-sized effects and cannot tell whether acquisition has been assimilated. Answering the question requires linking firms’ use, their complementary assets, and their hiring, and this paper specifies what that evidence would have to show.</w:t>
      </w:r>
    </w:p>
    <w:bookmarkEnd w:id="57"/>
    <w:bookmarkStart w:id="58" w:name="data-code-and-use-of-generative-ai"/>
    <w:p>
      <w:pPr>
        <w:pStyle w:val="Heading2"/>
      </w:pPr>
      <w:r>
        <w:rPr>
          <w:rFonts w:ascii="Times New Roman" w:hAnsi="Times New Roman" w:eastAsia="Times New Roman" w:cs="Times New Roman"/>
        </w:rPr>
        <w:t xml:space="preserve">Data, Code, and Use of Generative AI</w:t>
      </w:r>
    </w:p>
    <w:p>
      <w:pPr>
        <w:pStyle w:val="FirstParagraph"/>
        <w:spacing w:line="480" w:lineRule="auto" w:after="0" w:before="0"/>
        <w:ind w:firstLine="720"/>
        <w:jc w:val="left"/>
      </w:pPr>
      <w:r>
        <w:rPr>
          <w:rFonts w:ascii="Times New Roman" w:hAnsi="Times New Roman" w:eastAsia="Times New Roman" w:cs="Times New Roman"/>
        </w:rPr>
        <w:t xml:space="preserve">All data are public (Eurostat, Statistics Canada, O*NET, Indeed Hiring Lab, Web Data Commons). Code, prompts, and the language-model task scores required to reproduce Tables 4 and 5 and the analyses in Sections 7.1 and 7.4 are available in an anonymized replication repository. Large language models (Claude Haiku 5.5, with GPT-5.6 Luna as a second scorer) were used as measurement instruments to code O*NET task statements and NOC main-duty statements, and Claude Haiku 5.5 to classify job-posting titles and the treatment of generative AI in posting text. A generative AI assistant was used to help write analysis code and to draft and edit the manuscript. The authors reviewed all results, text, and code and take responsibility for the content.</w:t>
      </w:r>
    </w:p>
    <w:bookmarkEnd w:id="58"/>
    <w:bookmarkStart w:id="59" w:name="appendix-a.-rubrics"/>
    <w:p>
      <w:pPr>
        <w:pStyle w:val="Heading2"/>
      </w:pPr>
      <w:r>
        <w:rPr>
          <w:rFonts w:ascii="Times New Roman" w:hAnsi="Times New Roman" w:eastAsia="Times New Roman" w:cs="Times New Roman"/>
        </w:rPr>
        <w:t xml:space="preserve">Appendix A. Rubrics</w:t>
      </w:r>
    </w:p>
    <w:p>
      <w:pPr>
        <w:pStyle w:val="FirstParagraph"/>
        <w:spacing w:line="480" w:lineRule="auto" w:after="0" w:before="0"/>
        <w:ind w:firstLine="720"/>
        <w:jc w:val="left"/>
      </w:pPr>
      <w:r>
        <w:rPr>
          <w:bCs/>
          <w:rFonts w:ascii="Times New Roman" w:hAnsi="Times New Roman" w:eastAsia="Times New Roman" w:cs="Times New Roman"/>
          <w:b/>
        </w:rPr>
        <w:t xml:space="preserve">Visual content creation (primary).</w:t>
      </w:r>
      <w:r>
        <w:rPr>
          <w:rFonts w:ascii="Times New Roman" w:hAnsi="Times New Roman" w:eastAsia="Times New Roman" w:cs="Times New Roman"/>
        </w:rPr>
        <w:t xml:space="preserve"> </w:t>
      </w:r>
      <w:r>
        <w:rPr>
          <w:rFonts w:ascii="Times New Roman" w:hAnsi="Times New Roman" w:eastAsia="Times New Roman" w:cs="Times New Roman"/>
        </w:rPr>
        <w:t xml:space="preserve">Score 2 if producing or editing visual content is central to the task; 1 if visual content is a partial or supporting product; 0 otherwise. Reading, inspecting, writing, and audio production do not count. Technical drawings count only when the task is about producing them as drawings or graphics.</w:t>
      </w:r>
    </w:p>
    <w:p>
      <w:pPr>
        <w:pStyle w:val="BodyText"/>
        <w:spacing w:line="480" w:lineRule="auto" w:after="0" w:before="0"/>
        <w:ind w:firstLine="720"/>
        <w:jc w:val="left"/>
      </w:pPr>
      <w:r>
        <w:rPr>
          <w:bCs/>
          <w:rFonts w:ascii="Times New Roman" w:hAnsi="Times New Roman" w:eastAsia="Times New Roman" w:cs="Times New Roman"/>
          <w:b/>
        </w:rPr>
        <w:t xml:space="preserve">Text work (control for language-model exposure).</w:t>
      </w:r>
      <w:r>
        <w:rPr>
          <w:rFonts w:ascii="Times New Roman" w:hAnsi="Times New Roman" w:eastAsia="Times New Roman" w:cs="Times New Roman"/>
        </w:rPr>
        <w:t xml:space="preserve"> </w:t>
      </w:r>
      <w:r>
        <w:rPr>
          <w:rFonts w:ascii="Times New Roman" w:hAnsi="Times New Roman" w:eastAsia="Times New Roman" w:cs="Times New Roman"/>
        </w:rPr>
        <w:t xml:space="preserve">Score 2 if reading, writing, summarizing, translating, or otherwise producing or editing text is central to the task; 1 if text is a partial or supporting product; 0 otherwise. Spoken conversation, numeric calculation, and purely physical work do not count. Both rubrics were applied in a single prompt, in batches of 20 statements, at temperature zero; the prompt is in the replication repository.</w:t>
      </w:r>
    </w:p>
    <w:bookmarkEnd w:id="59"/>
    <w:bookmarkStart w:id="60" w:name="X8a54bc2e205ec9edb9f5805e6d8d6bb56135511"/>
    <w:p>
      <w:pPr>
        <w:pStyle w:val="Heading2"/>
      </w:pPr>
      <w:r>
        <w:rPr>
          <w:rFonts w:ascii="Times New Roman" w:hAnsi="Times New Roman" w:eastAsia="Times New Roman" w:cs="Times New Roman"/>
        </w:rPr>
        <w:t xml:space="preserve">Appendix B. Derivation of the Detectability Bound</w:t>
      </w:r>
    </w:p>
    <w:p>
      <w:pPr>
        <w:pStyle w:val="FirstParagraph"/>
        <w:spacing w:line="480" w:lineRule="auto" w:after="0" w:before="0"/>
        <w:ind w:firstLine="720"/>
        <w:jc w:val="left"/>
      </w:pPr>
      <w:r>
        <w:rPr>
          <w:rFonts w:ascii="Times New Roman" w:hAnsi="Times New Roman" w:eastAsia="Times New Roman" w:cs="Times New Roman"/>
        </w:rPr>
        <w:t xml:space="preserve">Let exposure</w:t>
      </w:r>
      <w:r>
        <w:rPr>
          <w:rFonts w:ascii="Times New Roman" w:hAnsi="Times New Roman" w:eastAsia="Times New Roman" w:cs="Times New Roman"/>
        </w:rPr>
        <w:t xml:space="preserve"> </w:t>
      </w:r>
      <m:oMath>
        <m:sSub>
          <m:e>
            <m:r>
              <m:t>e</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be proportional to the visual share of work,</w:t>
      </w:r>
      <w:r>
        <w:rPr>
          <w:rFonts w:ascii="Times New Roman" w:hAnsi="Times New Roman" w:eastAsia="Times New Roman" w:cs="Times New Roman"/>
        </w:rPr>
        <w:t xml:space="preserve"> </w:t>
      </w:r>
      <m:oMath>
        <m:sSub>
          <m:e>
            <m:r>
              <m:t>e</m:t>
            </m:r>
          </m:e>
          <m:sub>
            <m:r>
              <m:t>j</m:t>
            </m:r>
          </m:sub>
        </m:sSub>
        <m:r>
          <m:rPr>
            <m:sty m:val="p"/>
          </m:rPr>
          <m:t>=</m:t>
        </m:r>
        <m:r>
          <m:t>λ</m:t>
        </m:r>
        <m:sSub>
          <m:e>
            <m:r>
              <m:t>s</m:t>
            </m:r>
          </m:e>
          <m:sub>
            <m:r>
              <m:t>j</m:t>
            </m:r>
          </m:sub>
        </m:sSub>
      </m:oMath>
      <w:r>
        <w:rPr>
          <w:rFonts w:ascii="Times New Roman" w:hAnsi="Times New Roman" w:eastAsia="Times New Roman" w:cs="Times New Roman"/>
        </w:rPr>
        <w:t xml:space="preserve">, and let standardized exposure be</w:t>
      </w:r>
      <w:r>
        <w:rPr>
          <w:rFonts w:ascii="Times New Roman" w:hAnsi="Times New Roman" w:eastAsia="Times New Roman" w:cs="Times New Roman"/>
        </w:rPr>
        <w:t xml:space="preserve"> </w:t>
      </w:r>
      <m:oMath>
        <m:sSub>
          <m:e>
            <m:r>
              <m:t>z</m:t>
            </m:r>
          </m:e>
          <m:sub>
            <m:r>
              <m:t>j</m:t>
            </m:r>
          </m:sub>
        </m:sSub>
        <m:r>
          <m:rPr>
            <m:sty m:val="p"/>
          </m:rPr>
          <m:t>=</m:t>
        </m:r>
        <m:d>
          <m:dPr>
            <m:begChr m:val="("/>
            <m:endChr m:val=")"/>
            <m:sepChr m:val=""/>
            <m:grow/>
          </m:dPr>
          <m:e>
            <m:sSub>
              <m:e>
                <m:r>
                  <m:t>e</m:t>
                </m:r>
              </m:e>
              <m:sub>
                <m:r>
                  <m:t>j</m:t>
                </m:r>
              </m:sub>
            </m:sSub>
            <m:r>
              <m:rPr>
                <m:sty m:val="p"/>
              </m:rPr>
              <m:t>−</m:t>
            </m:r>
            <m:acc>
              <m:accPr>
                <m:chr m:val="‾"/>
              </m:accPr>
              <m:e>
                <m:r>
                  <m:t>e</m:t>
                </m:r>
              </m:e>
            </m:acc>
          </m:e>
        </m:d>
        <m:r>
          <m:rPr>
            <m:sty m:val="p"/>
          </m:rPr>
          <m:t>/</m:t>
        </m:r>
        <m:sSub>
          <m:e>
            <m:r>
              <m:t>σ</m:t>
            </m:r>
          </m:e>
          <m:sub>
            <m:r>
              <m:t>e</m:t>
            </m:r>
          </m:sub>
        </m:sSub>
      </m:oMath>
      <w:r>
        <w:rPr>
          <w:rFonts w:ascii="Times New Roman" w:hAnsi="Times New Roman" w:eastAsia="Times New Roman" w:cs="Times New Roman"/>
        </w:rPr>
        <w:t xml:space="preserve">. If the most exposed occupation has</w:t>
      </w:r>
      <w:r>
        <w:rPr>
          <w:rFonts w:ascii="Times New Roman" w:hAnsi="Times New Roman" w:eastAsia="Times New Roman" w:cs="Times New Roman"/>
        </w:rPr>
        <w:t xml:space="preserve"> </w:t>
      </w:r>
      <m:oMath>
        <m:sSub>
          <m:e>
            <m:r>
              <m:t>s</m:t>
            </m:r>
          </m:e>
          <m:sub>
            <m:r>
              <m:t>j</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sSub>
          <m:e>
            <m:r>
              <m:t>z</m:t>
            </m:r>
          </m:e>
          <m:sub>
            <m:r>
              <m:t>j</m:t>
            </m:r>
          </m:sub>
        </m:sSub>
        <m:r>
          <m:rPr>
            <m:sty m:val="p"/>
          </m:rPr>
          <m:t>=</m:t>
        </m:r>
        <m:r>
          <m:t>k</m:t>
        </m:r>
      </m:oMath>
      <w:r>
        <w:rPr>
          <w:rFonts w:ascii="Times New Roman" w:hAnsi="Times New Roman" w:eastAsia="Times New Roman" w:cs="Times New Roman"/>
        </w:rPr>
        <w:t xml:space="preserve">, and if exposure near the mean is small relative to its maximum, then</w:t>
      </w:r>
      <w:r>
        <w:rPr>
          <w:rFonts w:ascii="Times New Roman" w:hAnsi="Times New Roman" w:eastAsia="Times New Roman" w:cs="Times New Roman"/>
        </w:rPr>
        <w:t xml:space="preserve"> </w:t>
      </w:r>
      <m:oMath>
        <m:sSub>
          <m:e>
            <m:r>
              <m:t>s</m:t>
            </m:r>
          </m:e>
          <m:sub>
            <m:r>
              <m:t>j</m:t>
            </m:r>
          </m:sub>
        </m:sSub>
        <m:r>
          <m:rPr>
            <m:sty m:val="p"/>
          </m:rPr>
          <m:t>≈</m:t>
        </m:r>
        <m:sSub>
          <m:e>
            <m:r>
              <m:t>z</m:t>
            </m:r>
          </m:e>
          <m:sub>
            <m:r>
              <m:t>j</m:t>
            </m:r>
          </m:sub>
        </m:sSub>
        <m:r>
          <m:rPr>
            <m:sty m:val="p"/>
          </m:rPr>
          <m:t>/</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over the relevant range. Substituting into equation (2) with</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gives</w:t>
      </w:r>
      <w:r>
        <w:rPr>
          <w:rFonts w:ascii="Times New Roman" w:hAnsi="Times New Roman" w:eastAsia="Times New Roman" w:cs="Times New Roman"/>
        </w:rPr>
        <w:t xml:space="preserve"> </w:t>
      </w:r>
      <m:oMath>
        <m:r>
          <m:t>Δ</m:t>
        </m:r>
        <m:r>
          <m:rPr>
            <m:sty m:val="p"/>
          </m:rPr>
          <m:t>ln</m:t>
        </m:r>
        <m:sSub>
          <m:e>
            <m:r>
              <m:t>N</m:t>
            </m:r>
          </m:e>
          <m:sub>
            <m:r>
              <m:t>j</m:t>
            </m:r>
          </m:sub>
        </m:sSub>
        <m:r>
          <m:rPr>
            <m:sty m:val="p"/>
          </m:rPr>
          <m:t>≈</m:t>
        </m:r>
        <m:d>
          <m:dPr>
            <m:begChr m:val="("/>
            <m:endChr m:val=")"/>
            <m:sepChr m:val=""/>
            <m:grow/>
          </m:dPr>
          <m:e>
            <m:sSup>
              <m:e>
                <m:r>
                  <m:t>A</m:t>
                </m:r>
              </m:e>
              <m:sup>
                <m:r>
                  <m:t>u</m:t>
                </m:r>
              </m:sup>
            </m:sSup>
            <m:r>
              <m:t>β</m:t>
            </m:r>
            <m:r>
              <m:rPr>
                <m:sty m:val="p"/>
              </m:rPr>
              <m:t>/</m:t>
            </m:r>
            <m:r>
              <m:t>k</m:t>
            </m:r>
          </m:e>
        </m:d>
        <m:r>
          <m:rPr>
            <m:sty m:val="p"/>
          </m:rPr>
          <m:t>⋅</m:t>
        </m:r>
        <m:sSub>
          <m:e>
            <m:r>
              <m:t>z</m:t>
            </m:r>
          </m:e>
          <m:sub>
            <m:r>
              <m:t>j</m:t>
            </m:r>
          </m:sub>
        </m:sSub>
      </m:oMath>
      <w:r>
        <w:rPr>
          <w:rFonts w:ascii="Times New Roman" w:hAnsi="Times New Roman" w:eastAsia="Times New Roman" w:cs="Times New Roman"/>
        </w:rPr>
        <w:t xml:space="preserve">, so the regression coefficient on</w:t>
      </w:r>
      <w:r>
        <w:rPr>
          <w:rFonts w:ascii="Times New Roman" w:hAnsi="Times New Roman" w:eastAsia="Times New Roman" w:cs="Times New Roman"/>
        </w:rPr>
        <w:t xml:space="preserve"> </w:t>
      </w:r>
      <m:oMath>
        <m:sSub>
          <m:e>
            <m:r>
              <m:t>z</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under complete assimilation is</w:t>
      </w:r>
      <w:r>
        <w:rPr>
          <w:rFonts w:ascii="Times New Roman" w:hAnsi="Times New Roman" w:eastAsia="Times New Roman" w:cs="Times New Roman"/>
        </w:rPr>
        <w:t xml:space="preserve"> </w:t>
      </w:r>
      <m:oMath>
        <m:sSup>
          <m:e>
            <m:r>
              <m:t>γ</m:t>
            </m:r>
          </m:e>
          <m:sup>
            <m:r>
              <m:rPr>
                <m:sty m:val="p"/>
              </m:rPr>
              <m:t>*</m:t>
            </m:r>
          </m:sup>
        </m:sSup>
        <m:r>
          <m:rPr>
            <m:sty m:val="p"/>
          </m:rPr>
          <m:t>=</m:t>
        </m:r>
        <m:sSup>
          <m:e>
            <m:r>
              <m:t>A</m:t>
            </m:r>
          </m:e>
          <m:sup>
            <m:r>
              <m:t>u</m:t>
            </m:r>
          </m:sup>
        </m:sSup>
        <m:r>
          <m:t>β</m:t>
        </m:r>
        <m:r>
          <m:rPr>
            <m:sty m:val="p"/>
          </m:rPr>
          <m:t>/</m:t>
        </m:r>
        <m:r>
          <m:t>k</m:t>
        </m:r>
      </m:oMath>
      <w:r>
        <w:rPr>
          <w:rFonts w:ascii="Times New Roman" w:hAnsi="Times New Roman" w:eastAsia="Times New Roman" w:cs="Times New Roman"/>
        </w:rPr>
        <w:t xml:space="preserve">. The minimum detectable effect for a two-sided test of size 0.05 with power 0.8 is</w:t>
      </w:r>
      <w:r>
        <w:rPr>
          <w:rFonts w:ascii="Times New Roman" w:hAnsi="Times New Roman" w:eastAsia="Times New Roman" w:cs="Times New Roman"/>
        </w:rPr>
        <w:t xml:space="preserve"> </w:t>
      </w:r>
      <m:oMath>
        <m:d>
          <m:dPr>
            <m:begChr m:val="("/>
            <m:endChr m:val=")"/>
            <m:sepChr m:val=""/>
            <m:grow/>
          </m:dPr>
          <m:e>
            <m:r>
              <m:t>1.96</m:t>
            </m:r>
            <m:r>
              <m:rPr>
                <m:sty m:val="p"/>
              </m:rPr>
              <m:t>+</m:t>
            </m:r>
            <m:r>
              <m:t>0.84</m:t>
            </m:r>
          </m:e>
        </m:d>
        <m:r>
          <m:rPr>
            <m:sty m:val="p"/>
          </m:rPr>
          <m:t>⋅</m:t>
        </m:r>
        <m:r>
          <m:t>S</m:t>
        </m:r>
        <m:r>
          <m:t>E</m:t>
        </m:r>
        <m:r>
          <m:rPr>
            <m:sty m:val="p"/>
          </m:rPr>
          <m:t>≈</m:t>
        </m:r>
        <m:r>
          <m:t>2.8</m:t>
        </m:r>
        <m:r>
          <m:t> </m:t>
        </m:r>
        <m:r>
          <m:t>S</m:t>
        </m:r>
        <m:r>
          <m:t>E</m:t>
        </m:r>
      </m:oMath>
      <w:r>
        <w:rPr>
          <w:rFonts w:ascii="Times New Roman" w:hAnsi="Times New Roman" w:eastAsia="Times New Roman" w:cs="Times New Roman"/>
        </w:rPr>
        <w:t xml:space="preserve">. Detection for the most exposed occupation requires</w:t>
      </w:r>
      <w:r>
        <w:rPr>
          <w:rFonts w:ascii="Times New Roman" w:hAnsi="Times New Roman" w:eastAsia="Times New Roman" w:cs="Times New Roman"/>
        </w:rPr>
        <w:t xml:space="preserve"> </w:t>
      </w:r>
      <m:oMath>
        <m:d>
          <m:dPr>
            <m:begChr m:val="|"/>
            <m:endChr m:val="|"/>
            <m:sepChr m:val=""/>
            <m:grow/>
          </m:dPr>
          <m:e>
            <m:sSup>
              <m:e>
                <m:r>
                  <m:t>A</m:t>
                </m:r>
              </m:e>
              <m:sup>
                <m:r>
                  <m:t>a</m:t>
                </m:r>
              </m:sup>
            </m:sSup>
            <m:r>
              <m:t>β</m:t>
            </m:r>
          </m:e>
        </m:d>
        <m:r>
          <m:rPr>
            <m:sty m:val="p"/>
          </m:rPr>
          <m:t>≥</m:t>
        </m:r>
        <m:r>
          <m:t>2.8</m:t>
        </m:r>
        <m:r>
          <m:t> </m:t>
        </m:r>
        <m:r>
          <m:t>S</m:t>
        </m:r>
        <m:r>
          <m:t>E</m:t>
        </m:r>
        <m:r>
          <m:rPr>
            <m:sty m:val="p"/>
          </m:rPr>
          <m:t>⋅</m:t>
        </m:r>
        <m:r>
          <m:t>k</m:t>
        </m:r>
      </m:oMath>
      <w:r>
        <w:rPr>
          <w:rFonts w:ascii="Times New Roman" w:hAnsi="Times New Roman" w:eastAsia="Times New Roman" w:cs="Times New Roman"/>
        </w:rPr>
        <w:t xml:space="preserve">. With</w:t>
      </w:r>
      <w:r>
        <w:rPr>
          <w:rFonts w:ascii="Times New Roman" w:hAnsi="Times New Roman" w:eastAsia="Times New Roman" w:cs="Times New Roman"/>
        </w:rPr>
        <w:t xml:space="preserve"> </w:t>
      </w:r>
      <m:oMath>
        <m:r>
          <m:t>S</m:t>
        </m:r>
        <m:r>
          <m:t>E</m:t>
        </m:r>
        <m:r>
          <m:rPr>
            <m:sty m:val="p"/>
          </m:rPr>
          <m:t>=</m:t>
        </m:r>
        <m:r>
          <m:t>0.018</m:t>
        </m:r>
      </m:oMath>
      <w:r>
        <w:rPr>
          <w:rFonts w:ascii="Times New Roman" w:hAnsi="Times New Roman" w:eastAsia="Times New Roman" w:cs="Times New Roman"/>
        </w:rPr>
        <w:t xml:space="preserve"> </w:t>
      </w:r>
      <w:r>
        <w:rPr>
          <w:rFonts w:ascii="Times New Roman" w:hAnsi="Times New Roman" w:eastAsia="Times New Roman" w:cs="Times New Roman"/>
        </w:rPr>
        <w:t xml:space="preserve">(Europe, 2024) and</w:t>
      </w:r>
      <w:r>
        <w:rPr>
          <w:rFonts w:ascii="Times New Roman" w:hAnsi="Times New Roman" w:eastAsia="Times New Roman" w:cs="Times New Roman"/>
        </w:rPr>
        <w:t xml:space="preserve"> </w:t>
      </w:r>
      <m:oMath>
        <m:r>
          <m:t>k</m:t>
        </m:r>
        <m:r>
          <m:rPr>
            <m:sty m:val="p"/>
          </m:rPr>
          <m:t>=</m:t>
        </m:r>
        <m:r>
          <m:t>5.3</m:t>
        </m:r>
      </m:oMath>
      <w:r>
        <w:rPr>
          <w:rFonts w:ascii="Times New Roman" w:hAnsi="Times New Roman" w:eastAsia="Times New Roman" w:cs="Times New Roman"/>
        </w:rPr>
        <w:t xml:space="preserve"> </w:t>
      </w:r>
      <w:r>
        <w:rPr>
          <w:rFonts w:ascii="Times New Roman" w:hAnsi="Times New Roman" w:eastAsia="Times New Roman" w:cs="Times New Roman"/>
        </w:rPr>
        <w:t xml:space="preserve">the threshold is 0.27. If mean exposure is not small relative to its maximum,</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overstates the effective spread and the implied</w:t>
      </w:r>
      <w:r>
        <w:rPr>
          <w:rFonts w:ascii="Times New Roman" w:hAnsi="Times New Roman" w:eastAsia="Times New Roman" w:cs="Times New Roman"/>
        </w:rPr>
        <w:t xml:space="preserve"> </w:t>
      </w:r>
      <m:oMath>
        <m:sSup>
          <m:e>
            <m:r>
              <m:t>γ</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is somewhat larger, but for the values in Table 5 to cross the detection threshold the effective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would need to fall below about 3.6 under the most aggressive scenario.</w:t>
      </w:r>
    </w:p>
    <w:p>
      <w:pPr>
        <w:pStyle w:val="BodyText"/>
        <w:spacing w:line="480" w:lineRule="auto" w:after="0" w:before="0"/>
        <w:ind w:firstLine="720"/>
        <w:jc w:val="left"/>
      </w:pPr>
      <w:r>
        <w:rPr>
          <w:iCs/>
          <w:rFonts w:ascii="Times New Roman" w:hAnsi="Times New Roman" w:eastAsia="Times New Roman" w:cs="Times New Roman"/>
          <w:i/>
        </w:rPr>
        <w:t xml:space="preserve">Measurement error in exposure.</w:t>
      </w:r>
      <w:r>
        <w:rPr>
          <w:rFonts w:ascii="Times New Roman" w:hAnsi="Times New Roman" w:eastAsia="Times New Roman" w:cs="Times New Roman"/>
        </w:rPr>
        <w:t xml:space="preserve"> </w:t>
      </w:r>
      <w:r>
        <w:rPr>
          <w:rFonts w:ascii="Times New Roman" w:hAnsi="Times New Roman" w:eastAsia="Times New Roman" w:cs="Times New Roman"/>
        </w:rPr>
        <w:t xml:space="preserve">Suppose observed exposure is</w:t>
      </w:r>
      <w:r>
        <w:rPr>
          <w:rFonts w:ascii="Times New Roman" w:hAnsi="Times New Roman" w:eastAsia="Times New Roman" w:cs="Times New Roman"/>
        </w:rPr>
        <w:t xml:space="preserve"> </w:t>
      </w:r>
      <m:oMath>
        <m:sSub>
          <m:e>
            <m:acc>
              <m:accPr>
                <m:chr m:val="̃"/>
              </m:accPr>
              <m:e>
                <m:r>
                  <m:t>e</m:t>
                </m:r>
              </m:e>
            </m:acc>
          </m:e>
          <m:sub>
            <m:r>
              <m:t>j</m:t>
            </m:r>
          </m:sub>
        </m:sSub>
        <m:r>
          <m:rPr>
            <m:sty m:val="p"/>
          </m:rPr>
          <m:t>=</m:t>
        </m:r>
        <m:sSub>
          <m:e>
            <m:r>
              <m:t>e</m:t>
            </m:r>
          </m:e>
          <m:sub>
            <m:r>
              <m:t>j</m:t>
            </m:r>
          </m:sub>
        </m:sSub>
        <m:r>
          <m:rPr>
            <m:sty m:val="p"/>
          </m:rPr>
          <m:t>+</m:t>
        </m:r>
        <m:sSub>
          <m:e>
            <m:r>
              <m:t>u</m:t>
            </m:r>
          </m:e>
          <m:sub>
            <m:r>
              <m:t>j</m:t>
            </m:r>
          </m:sub>
        </m:sSub>
      </m:oMath>
      <w:r>
        <w:rPr>
          <w:rFonts w:ascii="Times New Roman" w:hAnsi="Times New Roman" w:eastAsia="Times New Roman" w:cs="Times New Roman"/>
        </w:rPr>
        <w:t xml:space="preserve">, with</w:t>
      </w:r>
      <w:r>
        <w:rPr>
          <w:rFonts w:ascii="Times New Roman" w:hAnsi="Times New Roman" w:eastAsia="Times New Roman" w:cs="Times New Roman"/>
        </w:rPr>
        <w:t xml:space="preserve"> </w:t>
      </w:r>
      <m:oMath>
        <m:sSub>
          <m:e>
            <m:r>
              <m:t>u</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independent of</w:t>
      </w:r>
      <w:r>
        <w:rPr>
          <w:rFonts w:ascii="Times New Roman" w:hAnsi="Times New Roman" w:eastAsia="Times New Roman" w:cs="Times New Roman"/>
        </w:rPr>
        <w:t xml:space="preserve"> </w:t>
      </w:r>
      <m:oMath>
        <m:sSub>
          <m:e>
            <m:r>
              <m:t>e</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and of the outcome, and let</w:t>
      </w:r>
      <w:r>
        <w:rPr>
          <w:rFonts w:ascii="Times New Roman" w:hAnsi="Times New Roman" w:eastAsia="Times New Roman" w:cs="Times New Roman"/>
        </w:rPr>
        <w:t xml:space="preserve"> </w:t>
      </w:r>
      <m:oMath>
        <m:r>
          <m:t>R</m:t>
        </m:r>
        <m:r>
          <m:rPr>
            <m:sty m:val="p"/>
          </m:rPr>
          <m:t>=</m:t>
        </m:r>
        <m:r>
          <m:rPr>
            <m:sty m:val="p"/>
          </m:rPr>
          <m:t>v</m:t>
        </m:r>
        <m:r>
          <m:rPr>
            <m:sty m:val="p"/>
          </m:rPr>
          <m:t>a</m:t>
        </m:r>
        <m:r>
          <m:rPr>
            <m:sty m:val="p"/>
          </m:rPr>
          <m:t>r</m:t>
        </m:r>
        <m:d>
          <m:dPr>
            <m:begChr m:val="("/>
            <m:endChr m:val=")"/>
            <m:sepChr m:val=""/>
            <m:grow/>
          </m:dPr>
          <m:e>
            <m:r>
              <m:t>e</m:t>
            </m:r>
          </m:e>
        </m:d>
        <m:r>
          <m:rPr>
            <m:sty m:val="p"/>
          </m:rPr>
          <m:t>/</m:t>
        </m:r>
        <m:r>
          <m:rPr>
            <m:sty m:val="p"/>
          </m:rPr>
          <m:t>v</m:t>
        </m:r>
        <m:r>
          <m:rPr>
            <m:sty m:val="p"/>
          </m:rPr>
          <m:t>a</m:t>
        </m:r>
        <m:r>
          <m:rPr>
            <m:sty m:val="p"/>
          </m:rPr>
          <m:t>r</m:t>
        </m:r>
        <m:d>
          <m:dPr>
            <m:begChr m:val="("/>
            <m:endChr m:val=")"/>
            <m:sepChr m:val=""/>
            <m:grow/>
          </m:dPr>
          <m:e>
            <m:acc>
              <m:accPr>
                <m:chr m:val="̃"/>
              </m:accPr>
              <m:e>
                <m:r>
                  <m:t>e</m:t>
                </m:r>
              </m:e>
            </m:acc>
          </m:e>
        </m:d>
      </m:oMath>
      <w:r>
        <w:rPr>
          <w:rFonts w:ascii="Times New Roman" w:hAnsi="Times New Roman" w:eastAsia="Times New Roman" w:cs="Times New Roman"/>
        </w:rPr>
        <w:t xml:space="preserve"> </w:t>
      </w:r>
      <w:r>
        <w:rPr>
          <w:rFonts w:ascii="Times New Roman" w:hAnsi="Times New Roman" w:eastAsia="Times New Roman" w:cs="Times New Roman"/>
        </w:rPr>
        <w:t xml:space="preserve">denote its reliability. The slope per unit of observed exposure is</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times the slope per unit of true exposure. Because</w:t>
      </w:r>
      <w:r>
        <w:rPr>
          <w:rFonts w:ascii="Times New Roman" w:hAnsi="Times New Roman" w:eastAsia="Times New Roman" w:cs="Times New Roman"/>
        </w:rPr>
        <w:t xml:space="preserve"> </w:t>
      </w:r>
      <m:oMath>
        <m:sSub>
          <m:e>
            <m:r>
              <m:t>σ</m:t>
            </m:r>
          </m:e>
          <m:sub>
            <m:acc>
              <m:accPr>
                <m:chr m:val="̃"/>
              </m:accPr>
              <m:e>
                <m:r>
                  <m:t>e</m:t>
                </m:r>
              </m:e>
            </m:acc>
          </m:sub>
        </m:sSub>
        <m:r>
          <m:rPr>
            <m:sty m:val="p"/>
          </m:rPr>
          <m:t>=</m:t>
        </m:r>
        <m:sSub>
          <m:e>
            <m:r>
              <m:t>σ</m:t>
            </m:r>
          </m:e>
          <m:sub>
            <m:r>
              <m:t>e</m:t>
            </m:r>
          </m:sub>
        </m:sSub>
        <m:r>
          <m:rPr>
            <m:sty m:val="p"/>
          </m:rPr>
          <m:t>/</m:t>
        </m:r>
        <m:rad>
          <m:radPr>
            <m:degHide m:val="on"/>
          </m:radPr>
          <m:deg/>
          <m:e>
            <m:r>
              <m:t>R</m:t>
            </m:r>
          </m:e>
        </m:rad>
      </m:oMath>
      <w:r>
        <w:rPr>
          <w:rFonts w:ascii="Times New Roman" w:hAnsi="Times New Roman" w:eastAsia="Times New Roman" w:cs="Times New Roman"/>
        </w:rPr>
        <w:t xml:space="preserve">, the coefficient per standard deviation of observed exposure is</w:t>
      </w:r>
      <w:r>
        <w:rPr>
          <w:rFonts w:ascii="Times New Roman" w:hAnsi="Times New Roman" w:eastAsia="Times New Roman" w:cs="Times New Roman"/>
        </w:rPr>
        <w:t xml:space="preserve"> </w:t>
      </w:r>
      <m:oMath>
        <m:rad>
          <m:radPr>
            <m:degHide m:val="on"/>
          </m:radPr>
          <m:deg/>
          <m:e>
            <m:r>
              <m:t>R</m:t>
            </m:r>
          </m:e>
        </m:rad>
        <m:r>
          <m:t> </m:t>
        </m:r>
        <m:sSup>
          <m:e>
            <m:r>
              <m:t>γ</m:t>
            </m:r>
          </m:e>
          <m:sup>
            <m:r>
              <m:rPr>
                <m:sty m:val="p"/>
              </m:rPr>
              <m:t>*</m:t>
            </m:r>
          </m:sup>
        </m:sSup>
      </m:oMath>
      <w:r>
        <w:rPr>
          <w:rFonts w:ascii="Times New Roman" w:hAnsi="Times New Roman" w:eastAsia="Times New Roman" w:cs="Times New Roman"/>
        </w:rPr>
        <w:t xml:space="preserve">. Complete assimilation therefore implies a coefficient of magnitude</w:t>
      </w:r>
      <w:r>
        <w:rPr>
          <w:rFonts w:ascii="Times New Roman" w:hAnsi="Times New Roman" w:eastAsia="Times New Roman" w:cs="Times New Roman"/>
        </w:rPr>
        <w:t xml:space="preserve"> </w:t>
      </w:r>
      <m:oMath>
        <m:rad>
          <m:radPr>
            <m:degHide m:val="on"/>
          </m:radPr>
          <m:deg/>
          <m:e>
            <m:r>
              <m:t>R</m:t>
            </m:r>
          </m:e>
        </m:rad>
        <m:r>
          <m:t> </m:t>
        </m:r>
        <m:d>
          <m:dPr>
            <m:begChr m:val="|"/>
            <m:endChr m:val="|"/>
            <m:sepChr m:val=""/>
            <m:grow/>
          </m:dPr>
          <m:e>
            <m:sSup>
              <m:e>
                <m:r>
                  <m:t>γ</m:t>
                </m:r>
              </m:e>
              <m:sup>
                <m:r>
                  <m:rPr>
                    <m:sty m:val="p"/>
                  </m:rPr>
                  <m:t>*</m:t>
                </m:r>
              </m:sup>
            </m:sSup>
          </m:e>
        </m:d>
      </m:oMath>
      <w:r>
        <w:rPr>
          <w:rFonts w:ascii="Times New Roman" w:hAnsi="Times New Roman" w:eastAsia="Times New Roman" w:cs="Times New Roman"/>
        </w:rPr>
        <w:t xml:space="preserve">, while the minimum detectable effect, a function of the standard error, is not reduced. With</w:t>
      </w:r>
      <w:r>
        <w:rPr>
          <w:rFonts w:ascii="Times New Roman" w:hAnsi="Times New Roman" w:eastAsia="Times New Roman" w:cs="Times New Roman"/>
        </w:rPr>
        <w:t xml:space="preserve"> </w:t>
      </w:r>
      <m:oMath>
        <m:r>
          <m:t>R</m:t>
        </m:r>
        <m:r>
          <m:rPr>
            <m:sty m:val="p"/>
          </m:rPr>
          <m:t>=</m:t>
        </m:r>
        <m:r>
          <m:t>0.5</m:t>
        </m:r>
      </m:oMath>
      <w:r>
        <w:rPr>
          <w:rFonts w:ascii="Times New Roman" w:hAnsi="Times New Roman" w:eastAsia="Times New Roman" w:cs="Times New Roman"/>
        </w:rPr>
        <w:t xml:space="preserve">, for example, the largest scenario in Table 5 falls from</w:t>
      </w:r>
      <w:r>
        <w:rPr>
          <w:rFonts w:ascii="Times New Roman" w:hAnsi="Times New Roman" w:eastAsia="Times New Roman" w:cs="Times New Roman"/>
        </w:rPr>
        <w:t xml:space="preserve"> </w:t>
      </w:r>
      <m:oMath>
        <m:r>
          <m:rPr>
            <m:sty m:val="p"/>
          </m:rPr>
          <m:t>−</m:t>
        </m:r>
        <m:r>
          <m:t>0.034</m:t>
        </m:r>
      </m:oMath>
      <w:r>
        <w:rPr>
          <w:rFonts w:ascii="Times New Roman" w:hAnsi="Times New Roman" w:eastAsia="Times New Roman" w:cs="Times New Roman"/>
        </w:rPr>
        <w:t xml:space="preserve"> </w:t>
      </w:r>
      <w:r>
        <w:rPr>
          <w:rFonts w:ascii="Times New Roman" w:hAnsi="Times New Roman" w:eastAsia="Times New Roman" w:cs="Times New Roman"/>
        </w:rPr>
        <w:t xml:space="preserve">to about</w:t>
      </w:r>
      <w:r>
        <w:rPr>
          <w:rFonts w:ascii="Times New Roman" w:hAnsi="Times New Roman" w:eastAsia="Times New Roman" w:cs="Times New Roman"/>
        </w:rPr>
        <w:t xml:space="preserve"> </w:t>
      </w:r>
      <m:oMath>
        <m:r>
          <m:rPr>
            <m:sty m:val="p"/>
          </m:rPr>
          <m:t>−</m:t>
        </m:r>
        <m:r>
          <m:t>0.024</m:t>
        </m:r>
      </m:oMath>
      <w:r>
        <w:rPr>
          <w:rFonts w:ascii="Times New Roman" w:hAnsi="Times New Roman" w:eastAsia="Times New Roman" w:cs="Times New Roman"/>
        </w:rPr>
        <w:t xml:space="preserve">, further below the 2024 minimum detectable effect of 0.050. Noise of this classical kind strengthens the conclusion that the design cannot detect complete assimilation. It does not license any substantive reading of the observed gradients, and if the error in the language-model score is correlated with exposure to language models, the direction of the bias is ambiguous.</w:t>
      </w:r>
    </w:p>
    <w:bookmarkEnd w:id="60"/>
    <w:bookmarkStart w:id="61" w:name="appendix-c.-derivations-for-section-3"/>
    <w:p>
      <w:pPr>
        <w:pStyle w:val="Heading2"/>
      </w:pPr>
      <w:r>
        <w:rPr>
          <w:rFonts w:ascii="Times New Roman" w:hAnsi="Times New Roman" w:eastAsia="Times New Roman" w:cs="Times New Roman"/>
        </w:rPr>
        <w:t xml:space="preserve">Appendix C. Derivations for Section 3</w:t>
      </w:r>
    </w:p>
    <w:p>
      <w:pPr>
        <w:pStyle w:val="FirstParagraph"/>
        <w:spacing w:line="480" w:lineRule="auto" w:after="0" w:before="0"/>
        <w:ind w:firstLine="720"/>
        <w:jc w:val="left"/>
      </w:pPr>
      <w:r>
        <w:rPr>
          <w:iCs/>
          <w:rFonts w:ascii="Times New Roman" w:hAnsi="Times New Roman" w:eastAsia="Times New Roman" w:cs="Times New Roman"/>
          <w:i/>
        </w:rPr>
        <w:t xml:space="preserve">Labor and cost ratios.</w:t>
      </w:r>
      <w:r>
        <w:rPr>
          <w:rFonts w:ascii="Times New Roman" w:hAnsi="Times New Roman" w:eastAsia="Times New Roman" w:cs="Times New Roman"/>
        </w:rPr>
        <w:t xml:space="preserve"> </w:t>
      </w:r>
      <w:r>
        <w:rPr>
          <w:rFonts w:ascii="Times New Roman" w:hAnsi="Times New Roman" w:eastAsia="Times New Roman" w:cs="Times New Roman"/>
        </w:rPr>
        <w:t xml:space="preserve">Human production of a unit takes</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hours. With the generator, a unit requires</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hours of review and, with probability</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hours of human production, so expected labor per unit is</w:t>
      </w:r>
      <w:r>
        <w:rPr>
          <w:rFonts w:ascii="Times New Roman" w:hAnsi="Times New Roman" w:eastAsia="Times New Roman" w:cs="Times New Roman"/>
        </w:rPr>
        <w:t xml:space="preserve"> </w:t>
      </w:r>
      <m:oMath>
        <m:r>
          <m:t>u</m:t>
        </m:r>
        <m:r>
          <m:rPr>
            <m:sty m:val="p"/>
          </m:rPr>
          <m:t>+</m:t>
        </m:r>
        <m:d>
          <m:dPr>
            <m:begChr m:val="("/>
            <m:endChr m:val=")"/>
            <m:sepChr m:val=""/>
            <m:grow/>
          </m:dPr>
          <m:e>
            <m:r>
              <m:t>1</m:t>
            </m:r>
            <m:r>
              <m:rPr>
                <m:sty m:val="p"/>
              </m:rPr>
              <m:t>−</m:t>
            </m:r>
            <m:r>
              <m:t>a</m:t>
            </m:r>
          </m:e>
        </m:d>
        <m:r>
          <m:t>h</m:t>
        </m:r>
        <m:r>
          <m:rPr>
            <m:sty m:val="p"/>
          </m:rPr>
          <m:t>=</m:t>
        </m:r>
        <m:r>
          <m:t>h</m:t>
        </m:r>
        <m:d>
          <m:dPr>
            <m:begChr m:val="("/>
            <m:endChr m:val=")"/>
            <m:sepChr m:val=""/>
            <m:grow/>
          </m:dPr>
          <m:e>
            <m:r>
              <m:t>ρ</m:t>
            </m:r>
            <m:r>
              <m:rPr>
                <m:sty m:val="p"/>
              </m:rPr>
              <m:t>+</m:t>
            </m:r>
            <m:r>
              <m:t>1</m:t>
            </m:r>
            <m:r>
              <m:rPr>
                <m:sty m:val="p"/>
              </m:rPr>
              <m:t>−</m:t>
            </m:r>
            <m:r>
              <m:t>a</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with</w:t>
      </w:r>
      <w:r>
        <w:rPr>
          <w:rFonts w:ascii="Times New Roman" w:hAnsi="Times New Roman" w:eastAsia="Times New Roman" w:cs="Times New Roman"/>
        </w:rPr>
        <w:t xml:space="preserve"> </w:t>
      </w:r>
      <m:oMath>
        <m:r>
          <m:t>ρ</m:t>
        </m:r>
        <m:r>
          <m:rPr>
            <m:sty m:val="p"/>
          </m:rPr>
          <m:t>=</m:t>
        </m:r>
        <m:r>
          <m:t>u</m:t>
        </m:r>
        <m:r>
          <m:rPr>
            <m:sty m:val="p"/>
          </m:rPr>
          <m:t>/</m:t>
        </m:r>
        <m:r>
          <m:t>h</m:t>
        </m:r>
        <m:r>
          <m:rPr>
            <m:sty m:val="p"/>
          </m:rPr>
          <m:t>=</m:t>
        </m:r>
        <m:r>
          <m:t>r</m:t>
        </m:r>
        <m:r>
          <m:rPr>
            <m:sty m:val="p"/>
          </m:rPr>
          <m:t>/</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at equal wages. Expected cost per unit is</w:t>
      </w:r>
      <w:r>
        <w:rPr>
          <w:rFonts w:ascii="Times New Roman" w:hAnsi="Times New Roman" w:eastAsia="Times New Roman" w:cs="Times New Roman"/>
        </w:rPr>
        <w:t xml:space="preserve"> </w:t>
      </w:r>
      <m:oMath>
        <m:r>
          <m:t>c</m:t>
        </m:r>
        <m:r>
          <m:rPr>
            <m:sty m:val="p"/>
          </m:rPr>
          <m:t>+</m:t>
        </m:r>
        <m:r>
          <m:t>r</m:t>
        </m:r>
        <m:r>
          <m:rPr>
            <m:sty m:val="p"/>
          </m:rPr>
          <m:t>+</m:t>
        </m:r>
        <m:d>
          <m:dPr>
            <m:begChr m:val="("/>
            <m:endChr m:val=")"/>
            <m:sepChr m:val=""/>
            <m:grow/>
          </m:dPr>
          <m:e>
            <m:r>
              <m:t>1</m:t>
            </m:r>
            <m:r>
              <m:rPr>
                <m:sty m:val="p"/>
              </m:rPr>
              <m:t>−</m:t>
            </m:r>
            <m:r>
              <m:t>a</m:t>
            </m:r>
          </m:e>
        </m:d>
        <m:r>
          <m:t>θ</m:t>
        </m:r>
        <m:r>
          <m:rPr>
            <m:sty m:val="p"/>
          </m:rPr>
          <m:t>=</m:t>
        </m:r>
        <m:r>
          <m:t>θ</m:t>
        </m:r>
        <m:r>
          <m:t>κ</m:t>
        </m:r>
      </m:oMath>
      <w:r>
        <w:rPr>
          <w:rFonts w:ascii="Times New Roman" w:hAnsi="Times New Roman" w:eastAsia="Times New Roman" w:cs="Times New Roman"/>
        </w:rPr>
        <w:t xml:space="preserve">. Output scales by</w:t>
      </w:r>
      <w:r>
        <w:rPr>
          <w:rFonts w:ascii="Times New Roman" w:hAnsi="Times New Roman" w:eastAsia="Times New Roman" w:cs="Times New Roman"/>
        </w:rPr>
        <w:t xml:space="preserve"> </w:t>
      </w:r>
      <m:oMath>
        <m:sSup>
          <m:e>
            <m:r>
              <m:t>κ</m:t>
            </m:r>
          </m:e>
          <m:sup>
            <m:r>
              <m:rPr>
                <m:sty m:val="p"/>
              </m:rPr>
              <m:t>−</m:t>
            </m:r>
            <m:r>
              <m:t>ε</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under constant elasticity</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so labor demand scales by</w:t>
      </w:r>
      <w:r>
        <w:rPr>
          <w:rFonts w:ascii="Times New Roman" w:hAnsi="Times New Roman" w:eastAsia="Times New Roman" w:cs="Times New Roman"/>
        </w:rPr>
        <w:t xml:space="preserve"> </w:t>
      </w:r>
      <m:oMath>
        <m:d>
          <m:dPr>
            <m:begChr m:val="("/>
            <m:endChr m:val=")"/>
            <m:sepChr m:val=""/>
            <m:grow/>
          </m:dPr>
          <m:e>
            <m:r>
              <m:t>1</m:t>
            </m:r>
            <m:r>
              <m:rPr>
                <m:sty m:val="p"/>
              </m:rPr>
              <m:t>−</m:t>
            </m:r>
            <m:r>
              <m:t>a</m:t>
            </m:r>
            <m:r>
              <m:rPr>
                <m:sty m:val="p"/>
              </m:rPr>
              <m:t>+</m:t>
            </m:r>
            <m:r>
              <m:t>ρ</m:t>
            </m:r>
          </m:e>
        </m:d>
        <m:sSup>
          <m:e>
            <m:r>
              <m:t>κ</m:t>
            </m:r>
          </m:e>
          <m:sup>
            <m:r>
              <m:rPr>
                <m:sty m:val="p"/>
              </m:rPr>
              <m:t>−</m:t>
            </m:r>
            <m:r>
              <m:t>ε</m:t>
            </m:r>
          </m:sup>
        </m:sSup>
      </m:oMath>
      <w:r>
        <w:rPr>
          <w:rFonts w:ascii="Times New Roman" w:hAnsi="Times New Roman" w:eastAsia="Times New Roman" w:cs="Times New Roman"/>
        </w:rPr>
        <w:t xml:space="preserve">, which gives equation (3) after taking logarithms.</w:t>
      </w:r>
    </w:p>
    <w:p>
      <w:pPr>
        <w:pStyle w:val="BodyText"/>
        <w:spacing w:line="480" w:lineRule="auto" w:after="0" w:before="0"/>
        <w:ind w:firstLine="720"/>
        <w:jc w:val="left"/>
      </w:pPr>
      <w:r>
        <w:rPr>
          <w:iCs/>
          <w:rFonts w:ascii="Times New Roman" w:hAnsi="Times New Roman" w:eastAsia="Times New Roman" w:cs="Times New Roman"/>
          <w:i/>
        </w:rPr>
        <w:t xml:space="preserve">Proposition 2.</w:t>
      </w:r>
      <w:r>
        <w:rPr>
          <w:rFonts w:ascii="Times New Roman" w:hAnsi="Times New Roman" w:eastAsia="Times New Roman" w:cs="Times New Roman"/>
        </w:rPr>
        <w:t xml:space="preserve"> </w:t>
      </w:r>
      <m:oMath>
        <m:r>
          <m:t>β</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if and only if</w:t>
      </w:r>
      <w:r>
        <w:rPr>
          <w:rFonts w:ascii="Times New Roman" w:hAnsi="Times New Roman" w:eastAsia="Times New Roman" w:cs="Times New Roman"/>
        </w:rPr>
        <w:t xml:space="preserve"> </w:t>
      </w:r>
      <m:oMath>
        <m:r>
          <m:rPr>
            <m:sty m:val="p"/>
          </m:rPr>
          <m:t>ln</m:t>
        </m:r>
        <m:d>
          <m:dPr>
            <m:begChr m:val="("/>
            <m:endChr m:val=")"/>
            <m:sepChr m:val=""/>
            <m:grow/>
          </m:dPr>
          <m:e>
            <m:r>
              <m:t>1</m:t>
            </m:r>
            <m:r>
              <m:rPr>
                <m:sty m:val="p"/>
              </m:rPr>
              <m:t>−</m:t>
            </m:r>
            <m:r>
              <m:t>a</m:t>
            </m:r>
            <m:r>
              <m:rPr>
                <m:sty m:val="p"/>
              </m:rPr>
              <m:t>+</m:t>
            </m:r>
            <m:r>
              <m:t>ρ</m:t>
            </m:r>
          </m:e>
        </m:d>
        <m:r>
          <m:rPr>
            <m:sty m:val="p"/>
          </m:rPr>
          <m:t>&lt;</m:t>
        </m:r>
        <m:r>
          <m:t>ε</m:t>
        </m:r>
        <m:r>
          <m:rPr>
            <m:sty m:val="p"/>
          </m:rPr>
          <m:t>ln</m:t>
        </m:r>
        <m:r>
          <m:t>κ</m:t>
        </m:r>
      </m:oMath>
      <w:r>
        <w:rPr>
          <w:rFonts w:ascii="Times New Roman" w:hAnsi="Times New Roman" w:eastAsia="Times New Roman" w:cs="Times New Roman"/>
        </w:rPr>
        <w:t xml:space="preserve">. When</w:t>
      </w:r>
      <w:r>
        <w:rPr>
          <w:rFonts w:ascii="Times New Roman" w:hAnsi="Times New Roman" w:eastAsia="Times New Roman" w:cs="Times New Roman"/>
        </w:rPr>
        <w:t xml:space="preserve"> </w:t>
      </w:r>
      <m:oMath>
        <m:r>
          <m:t>γ</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r>
          <m:t>a</m:t>
        </m:r>
        <m:r>
          <m:rPr>
            <m:sty m:val="p"/>
          </m:rPr>
          <m:t>&gt;</m:t>
        </m:r>
        <m:sSup>
          <m:e>
            <m:r>
              <m:t>a</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r>
          <m:rPr>
            <m:sty m:val="p"/>
          </m:rPr>
          <m:t>−</m:t>
        </m:r>
        <m:r>
          <m:t>a</m:t>
        </m:r>
        <m:r>
          <m:rPr>
            <m:sty m:val="p"/>
          </m:rPr>
          <m:t>+</m:t>
        </m:r>
        <m:r>
          <m:t>ρ</m:t>
        </m:r>
        <m:r>
          <m:rPr>
            <m:sty m:val="p"/>
          </m:rPr>
          <m:t>&lt;</m:t>
        </m:r>
        <m:r>
          <m:t>κ</m:t>
        </m:r>
        <m:r>
          <m:rPr>
            <m:sty m:val="p"/>
          </m:rPr>
          <m:t>&lt;</m:t>
        </m:r>
        <m:r>
          <m:t>1</m:t>
        </m:r>
      </m:oMath>
      <w:r>
        <w:rPr>
          <w:rFonts w:ascii="Times New Roman" w:hAnsi="Times New Roman" w:eastAsia="Times New Roman" w:cs="Times New Roman"/>
        </w:rPr>
        <w:t xml:space="preserve">, so both logarithms are negative and</w:t>
      </w:r>
      <w:r>
        <w:rPr>
          <w:rFonts w:ascii="Times New Roman" w:hAnsi="Times New Roman" w:eastAsia="Times New Roman" w:cs="Times New Roman"/>
        </w:rPr>
        <w:t xml:space="preserve"> </w:t>
      </w:r>
      <m:oMath>
        <m:d>
          <m:dPr>
            <m:begChr m:val="|"/>
            <m:endChr m:val="|"/>
            <m:sepChr m:val=""/>
            <m:grow/>
          </m:dPr>
          <m:e>
            <m:r>
              <m:rPr>
                <m:sty m:val="p"/>
              </m:rPr>
              <m:t>ln</m:t>
            </m:r>
            <m:d>
              <m:dPr>
                <m:begChr m:val="("/>
                <m:endChr m:val=")"/>
                <m:sepChr m:val=""/>
                <m:grow/>
              </m:dPr>
              <m:e>
                <m:r>
                  <m:t>1</m:t>
                </m:r>
                <m:r>
                  <m:rPr>
                    <m:sty m:val="p"/>
                  </m:rPr>
                  <m:t>−</m:t>
                </m:r>
                <m:r>
                  <m:t>a</m:t>
                </m:r>
                <m:r>
                  <m:rPr>
                    <m:sty m:val="p"/>
                  </m:rPr>
                  <m:t>+</m:t>
                </m:r>
                <m:r>
                  <m:t>ρ</m:t>
                </m:r>
              </m:e>
            </m:d>
          </m:e>
        </m:d>
        <m:r>
          <m:rPr>
            <m:sty m:val="p"/>
          </m:rPr>
          <m:t>&gt;</m:t>
        </m:r>
        <m:d>
          <m:dPr>
            <m:begChr m:val="|"/>
            <m:endChr m:val="|"/>
            <m:sepChr m:val=""/>
            <m:grow/>
          </m:dPr>
          <m:e>
            <m:r>
              <m:rPr>
                <m:sty m:val="p"/>
              </m:rPr>
              <m:t>ln</m:t>
            </m:r>
            <m:r>
              <m:t>κ</m:t>
            </m:r>
          </m:e>
        </m:d>
      </m:oMath>
      <w:r>
        <w:rPr>
          <w:rFonts w:ascii="Times New Roman" w:hAnsi="Times New Roman" w:eastAsia="Times New Roman" w:cs="Times New Roman"/>
        </w:rPr>
        <w:t xml:space="preserve">. Dividing by</w:t>
      </w:r>
      <w:r>
        <w:rPr>
          <w:rFonts w:ascii="Times New Roman" w:hAnsi="Times New Roman" w:eastAsia="Times New Roman" w:cs="Times New Roman"/>
        </w:rPr>
        <w:t xml:space="preserve"> </w:t>
      </w:r>
      <m:oMath>
        <m:r>
          <m:rPr>
            <m:sty m:val="p"/>
          </m:rPr>
          <m:t>ln</m:t>
        </m:r>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reverses the inequality:</w:t>
      </w:r>
      <w:r>
        <w:rPr>
          <w:rFonts w:ascii="Times New Roman" w:hAnsi="Times New Roman" w:eastAsia="Times New Roman" w:cs="Times New Roman"/>
        </w:rPr>
        <w:t xml:space="preserve"> </w:t>
      </w:r>
      <m:oMath>
        <m:r>
          <m:t>β</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if and only if</w:t>
      </w:r>
      <w:r>
        <w:rPr>
          <w:rFonts w:ascii="Times New Roman" w:hAnsi="Times New Roman" w:eastAsia="Times New Roman" w:cs="Times New Roman"/>
        </w:rPr>
        <w:t xml:space="preserve"> </w:t>
      </w:r>
      <m:oMath>
        <m:r>
          <m:t>ε</m:t>
        </m:r>
        <m:r>
          <m:rPr>
            <m:sty m:val="p"/>
          </m:rPr>
          <m:t>&lt;</m:t>
        </m:r>
        <m:sSup>
          <m:e>
            <m:r>
              <m:t>ε</m:t>
            </m:r>
          </m:e>
          <m:sup>
            <m:r>
              <m:rPr>
                <m:sty m:val="p"/>
              </m:rPr>
              <m:t>*</m:t>
            </m:r>
          </m:sup>
        </m:sSup>
        <m:r>
          <m:rPr>
            <m:sty m:val="p"/>
          </m:rPr>
          <m:t>=</m:t>
        </m:r>
        <m:r>
          <m:rPr>
            <m:sty m:val="p"/>
          </m:rPr>
          <m:t>ln</m:t>
        </m:r>
        <m:d>
          <m:dPr>
            <m:begChr m:val="("/>
            <m:endChr m:val=")"/>
            <m:sepChr m:val=""/>
            <m:grow/>
          </m:dPr>
          <m:e>
            <m:r>
              <m:t>1</m:t>
            </m:r>
            <m:r>
              <m:rPr>
                <m:sty m:val="p"/>
              </m:rPr>
              <m:t>−</m:t>
            </m:r>
            <m:r>
              <m:t>a</m:t>
            </m:r>
            <m:r>
              <m:rPr>
                <m:sty m:val="p"/>
              </m:rPr>
              <m:t>+</m:t>
            </m:r>
            <m:r>
              <m:t>ρ</m:t>
            </m:r>
          </m:e>
        </m:d>
        <m:r>
          <m:rPr>
            <m:sty m:val="p"/>
          </m:rPr>
          <m:t>/</m:t>
        </m:r>
        <m:r>
          <m:rPr>
            <m:sty m:val="p"/>
          </m:rPr>
          <m:t>ln</m:t>
        </m:r>
        <m:r>
          <m:t>κ</m:t>
        </m:r>
      </m:oMath>
      <w:r>
        <w:rPr>
          <w:rFonts w:ascii="Times New Roman" w:hAnsi="Times New Roman" w:eastAsia="Times New Roman" w:cs="Times New Roman"/>
        </w:rPr>
        <w:t xml:space="preserve">, and</w:t>
      </w:r>
      <w:r>
        <w:rPr>
          <w:rFonts w:ascii="Times New Roman" w:hAnsi="Times New Roman" w:eastAsia="Times New Roman" w:cs="Times New Roman"/>
        </w:rPr>
        <w:t xml:space="preserve"> </w:t>
      </w:r>
      <m:oMath>
        <m:sSup>
          <m:e>
            <m:r>
              <m:t>ε</m:t>
            </m:r>
          </m:e>
          <m:sup>
            <m:r>
              <m:rPr>
                <m:sty m:val="p"/>
              </m:rPr>
              <m:t>*</m:t>
            </m:r>
          </m:sup>
        </m:sSup>
        <m:r>
          <m:rPr>
            <m:sty m:val="p"/>
          </m:rPr>
          <m:t>&gt;</m:t>
        </m:r>
        <m:r>
          <m:t>1</m:t>
        </m:r>
      </m:oMath>
      <w:r>
        <w:rPr>
          <w:rFonts w:ascii="Times New Roman" w:hAnsi="Times New Roman" w:eastAsia="Times New Roman" w:cs="Times New Roman"/>
        </w:rPr>
        <w:t xml:space="preserve">. As</w:t>
      </w:r>
      <w:r>
        <w:rPr>
          <w:rFonts w:ascii="Times New Roman" w:hAnsi="Times New Roman" w:eastAsia="Times New Roman" w:cs="Times New Roman"/>
        </w:rPr>
        <w:t xml:space="preserve"> </w:t>
      </w:r>
      <m:oMath>
        <m:r>
          <m:t>γ</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κ</m:t>
        </m:r>
        <m:r>
          <m:rPr>
            <m:sty m:val="p"/>
          </m:rPr>
          <m:t>→</m:t>
        </m:r>
        <m:r>
          <m:t>1</m:t>
        </m:r>
        <m:r>
          <m:rPr>
            <m:sty m:val="p"/>
          </m:rPr>
          <m:t>−</m:t>
        </m:r>
        <m:r>
          <m:t>a</m:t>
        </m:r>
        <m:r>
          <m:rPr>
            <m:sty m:val="p"/>
          </m:rPr>
          <m:t>+</m:t>
        </m:r>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sSup>
          <m:e>
            <m:r>
              <m:t>ε</m:t>
            </m:r>
          </m:e>
          <m:sup>
            <m:r>
              <m:rPr>
                <m:sty m:val="p"/>
              </m:rPr>
              <m:t>*</m:t>
            </m:r>
          </m:sup>
        </m:sSup>
        <m:r>
          <m:rPr>
            <m:sty m:val="p"/>
          </m:rPr>
          <m:t>→</m:t>
        </m:r>
        <m:r>
          <m:t>1</m:t>
        </m:r>
      </m:oMath>
      <w:r>
        <w:rPr>
          <w:rFonts w:ascii="Times New Roman" w:hAnsi="Times New Roman" w:eastAsia="Times New Roman" w:cs="Times New Roman"/>
        </w:rPr>
        <w:t xml:space="preserve">.</w:t>
      </w:r>
    </w:p>
    <w:p>
      <w:pPr>
        <w:pStyle w:val="BodyText"/>
        <w:spacing w:line="480" w:lineRule="auto" w:after="0" w:before="0"/>
        <w:ind w:firstLine="720"/>
        <w:jc w:val="left"/>
      </w:pPr>
      <w:r>
        <w:rPr>
          <w:iCs/>
          <w:rFonts w:ascii="Times New Roman" w:hAnsi="Times New Roman" w:eastAsia="Times New Roman" w:cs="Times New Roman"/>
          <w:i/>
        </w:rPr>
        <w:t xml:space="preserve">Proposition 3.</w:t>
      </w:r>
      <w:r>
        <w:rPr>
          <w:rFonts w:ascii="Times New Roman" w:hAnsi="Times New Roman" w:eastAsia="Times New Roman" w:cs="Times New Roman"/>
        </w:rPr>
        <w:t xml:space="preserve"> </w:t>
      </w:r>
      <w:r>
        <w:rPr>
          <w:rFonts w:ascii="Times New Roman" w:hAnsi="Times New Roman" w:eastAsia="Times New Roman" w:cs="Times New Roman"/>
        </w:rPr>
        <w:t xml:space="preserve">Substituting equation (4) into the employment equation gives</w:t>
      </w:r>
      <w:r>
        <w:rPr>
          <w:rFonts w:ascii="Times New Roman" w:hAnsi="Times New Roman" w:eastAsia="Times New Roman" w:cs="Times New Roman"/>
        </w:rPr>
        <w:t xml:space="preserve"> </w:t>
      </w:r>
      <m:oMath>
        <m:r>
          <m:t>L</m:t>
        </m:r>
        <m:d>
          <m:dPr>
            <m:begChr m:val="("/>
            <m:endChr m:val=")"/>
            <m:sepChr m:val=""/>
            <m:grow/>
          </m:dPr>
          <m:e>
            <m:r>
              <m:t>t</m:t>
            </m:r>
            <m:r>
              <m:rPr>
                <m:sty m:val="p"/>
              </m:rPr>
              <m:t>+</m:t>
            </m:r>
            <m:r>
              <m:t>1</m:t>
            </m:r>
          </m:e>
        </m:d>
        <m:r>
          <m:rPr>
            <m:sty m:val="p"/>
          </m:rPr>
          <m:t>−</m:t>
        </m:r>
        <m:sSup>
          <m:e>
            <m:r>
              <m:t>L</m:t>
            </m:r>
          </m:e>
          <m:sup>
            <m:r>
              <m:rPr>
                <m:sty m:val="p"/>
              </m:rPr>
              <m:t>*</m:t>
            </m:r>
          </m:sup>
        </m:sSup>
        <m:r>
          <m:rPr>
            <m:sty m:val="p"/>
          </m:rPr>
          <m:t>=</m:t>
        </m:r>
        <m:d>
          <m:dPr>
            <m:begChr m:val="("/>
            <m:endChr m:val=")"/>
            <m:sepChr m:val=""/>
            <m:grow/>
          </m:dPr>
          <m:e>
            <m:r>
              <m:t>1</m:t>
            </m:r>
            <m:r>
              <m:rPr>
                <m:sty m:val="p"/>
              </m:rPr>
              <m:t>−</m:t>
            </m:r>
            <m:r>
              <m:t>λ</m:t>
            </m:r>
          </m:e>
        </m:d>
        <m:d>
          <m:dPr>
            <m:begChr m:val="("/>
            <m:endChr m:val=")"/>
            <m:sepChr m:val=""/>
            <m:grow/>
          </m:dPr>
          <m:e>
            <m:r>
              <m:t>L</m:t>
            </m:r>
            <m:d>
              <m:dPr>
                <m:begChr m:val="("/>
                <m:endChr m:val=")"/>
                <m:sepChr m:val=""/>
                <m:grow/>
              </m:dPr>
              <m:e>
                <m:r>
                  <m:t>t</m:t>
                </m:r>
              </m:e>
            </m:d>
            <m:r>
              <m:rPr>
                <m:sty m:val="p"/>
              </m:rPr>
              <m:t>−</m:t>
            </m:r>
            <m:sSup>
              <m:e>
                <m:r>
                  <m:t>L</m:t>
                </m:r>
              </m:e>
              <m:sup>
                <m:r>
                  <m:rPr>
                    <m:sty m:val="p"/>
                  </m:rPr>
                  <m:t>*</m:t>
                </m:r>
              </m:sup>
            </m:sSup>
          </m:e>
        </m:d>
      </m:oMath>
      <w:r>
        <w:rPr>
          <w:rFonts w:ascii="Times New Roman" w:hAnsi="Times New Roman" w:eastAsia="Times New Roman" w:cs="Times New Roman"/>
        </w:rPr>
        <w:t xml:space="preserve">, so</w:t>
      </w:r>
      <w:r>
        <w:rPr>
          <w:rFonts w:ascii="Times New Roman" w:hAnsi="Times New Roman" w:eastAsia="Times New Roman" w:cs="Times New Roman"/>
        </w:rPr>
        <w:t xml:space="preserve"> </w:t>
      </w:r>
      <m:oMath>
        <m:r>
          <m:t>L</m:t>
        </m:r>
        <m:d>
          <m:dPr>
            <m:begChr m:val="("/>
            <m:endChr m:val=")"/>
            <m:sepChr m:val=""/>
            <m:grow/>
          </m:dPr>
          <m:e>
            <m:r>
              <m:t>t</m:t>
            </m:r>
          </m:e>
        </m:d>
        <m:r>
          <m:rPr>
            <m:sty m:val="p"/>
          </m:rPr>
          <m:t>−</m:t>
        </m:r>
        <m:sSup>
          <m:e>
            <m:r>
              <m:t>L</m:t>
            </m:r>
          </m:e>
          <m:sup>
            <m:r>
              <m:rPr>
                <m:sty m:val="p"/>
              </m:rPr>
              <m:t>*</m:t>
            </m:r>
          </m:sup>
        </m:sSup>
        <m:r>
          <m:rPr>
            <m:sty m:val="p"/>
          </m:rPr>
          <m:t>=</m:t>
        </m:r>
        <m:sSup>
          <m:e>
            <m:d>
              <m:dPr>
                <m:begChr m:val="("/>
                <m:endChr m:val=")"/>
                <m:sepChr m:val=""/>
                <m:grow/>
              </m:dPr>
              <m:e>
                <m:r>
                  <m:t>1</m:t>
                </m:r>
                <m:r>
                  <m:rPr>
                    <m:sty m:val="p"/>
                  </m:rPr>
                  <m:t>−</m:t>
                </m:r>
                <m:r>
                  <m:t>λ</m:t>
                </m:r>
              </m:e>
            </m:d>
          </m:e>
          <m:sup>
            <m:r>
              <m:t>t</m:t>
            </m:r>
          </m:sup>
        </m:sSup>
        <m:d>
          <m:dPr>
            <m:begChr m:val="("/>
            <m:endChr m:val=")"/>
            <m:sepChr m:val=""/>
            <m:grow/>
          </m:dPr>
          <m:e>
            <m:sSub>
              <m:e>
                <m:r>
                  <m:t>L</m:t>
                </m:r>
              </m:e>
              <m:sub>
                <m:r>
                  <m:t>0</m:t>
                </m:r>
              </m:sub>
            </m:sSub>
            <m:r>
              <m:rPr>
                <m:sty m:val="p"/>
              </m:rPr>
              <m:t>−</m:t>
            </m:r>
            <m:sSup>
              <m:e>
                <m:r>
                  <m:t>L</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and the share of the gap closed after</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periods is</w:t>
      </w:r>
      <w:r>
        <w:rPr>
          <w:rFonts w:ascii="Times New Roman" w:hAnsi="Times New Roman" w:eastAsia="Times New Roman" w:cs="Times New Roman"/>
        </w:rPr>
        <w:t xml:space="preserve"> </w:t>
      </w:r>
      <m:oMath>
        <m:r>
          <m:t>1</m:t>
        </m:r>
        <m:r>
          <m:rPr>
            <m:sty m:val="p"/>
          </m:rPr>
          <m:t>−</m:t>
        </m:r>
        <m:sSup>
          <m:e>
            <m:d>
              <m:dPr>
                <m:begChr m:val="("/>
                <m:endChr m:val=")"/>
                <m:sepChr m:val=""/>
                <m:grow/>
              </m:dPr>
              <m:e>
                <m:r>
                  <m:t>1</m:t>
                </m:r>
                <m:r>
                  <m:rPr>
                    <m:sty m:val="p"/>
                  </m:rPr>
                  <m:t>−</m:t>
                </m:r>
                <m:r>
                  <m:t>λ</m:t>
                </m:r>
              </m:e>
            </m:d>
          </m:e>
          <m:sup>
            <m:r>
              <m:t>T</m:t>
            </m:r>
          </m:sup>
        </m:sSup>
      </m:oMath>
      <w:r>
        <w:rPr>
          <w:rFonts w:ascii="Times New Roman" w:hAnsi="Times New Roman" w:eastAsia="Times New Roman" w:cs="Times New Roman"/>
        </w:rPr>
        <w:t xml:space="preserve">. Hires in the first period are</w:t>
      </w:r>
      <w:r>
        <w:rPr>
          <w:rFonts w:ascii="Times New Roman" w:hAnsi="Times New Roman" w:eastAsia="Times New Roman" w:cs="Times New Roman"/>
        </w:rPr>
        <w:t xml:space="preserve"> </w:t>
      </w:r>
      <m:oMath>
        <m:r>
          <m:t>H</m:t>
        </m:r>
        <m:d>
          <m:dPr>
            <m:begChr m:val="("/>
            <m:endChr m:val=")"/>
            <m:sepChr m:val=""/>
            <m:grow/>
          </m:dPr>
          <m:e>
            <m:r>
              <m:t>0</m:t>
            </m:r>
          </m:e>
        </m:d>
        <m:r>
          <m:rPr>
            <m:sty m:val="p"/>
          </m:rPr>
          <m:t>=</m:t>
        </m:r>
        <m:r>
          <m:t>δ</m:t>
        </m:r>
        <m:sSub>
          <m:e>
            <m:r>
              <m:t>L</m:t>
            </m:r>
          </m:e>
          <m:sub>
            <m:r>
              <m:t>0</m:t>
            </m:r>
          </m:sub>
        </m:sSub>
        <m:r>
          <m:rPr>
            <m:sty m:val="p"/>
          </m:rPr>
          <m:t>−</m:t>
        </m:r>
        <m:r>
          <m:t>λ</m:t>
        </m:r>
        <m:r>
          <m:t>f</m:t>
        </m:r>
        <m:sSub>
          <m:e>
            <m:r>
              <m:t>L</m:t>
            </m:r>
          </m:e>
          <m:sub>
            <m:r>
              <m:t>0</m:t>
            </m:r>
          </m:sub>
        </m:sSub>
      </m:oMath>
      <w:r>
        <w:rPr>
          <w:rFonts w:ascii="Times New Roman" w:hAnsi="Times New Roman" w:eastAsia="Times New Roman" w:cs="Times New Roman"/>
        </w:rPr>
        <w:t xml:space="preserve">, so</w:t>
      </w:r>
      <w:r>
        <w:rPr>
          <w:rFonts w:ascii="Times New Roman" w:hAnsi="Times New Roman" w:eastAsia="Times New Roman" w:cs="Times New Roman"/>
        </w:rPr>
        <w:t xml:space="preserve"> </w:t>
      </w:r>
      <m:oMath>
        <m:r>
          <m:t>H</m:t>
        </m:r>
        <m:d>
          <m:dPr>
            <m:begChr m:val="("/>
            <m:endChr m:val=")"/>
            <m:sepChr m:val=""/>
            <m:grow/>
          </m:dPr>
          <m:e>
            <m:r>
              <m:t>0</m:t>
            </m:r>
          </m:e>
        </m:d>
        <m:r>
          <m:rPr>
            <m:sty m:val="p"/>
          </m:rPr>
          <m:t>/</m:t>
        </m:r>
        <m:d>
          <m:dPr>
            <m:begChr m:val="("/>
            <m:endChr m:val=")"/>
            <m:sepChr m:val=""/>
            <m:grow/>
          </m:dPr>
          <m:e>
            <m:r>
              <m:t>δ</m:t>
            </m:r>
            <m:sSub>
              <m:e>
                <m:r>
                  <m:t>L</m:t>
                </m:r>
              </m:e>
              <m:sub>
                <m:r>
                  <m:t>0</m:t>
                </m:r>
              </m:sub>
            </m:sSub>
          </m:e>
        </m:d>
        <m:r>
          <m:rPr>
            <m:sty m:val="p"/>
          </m:rPr>
          <m:t>=</m:t>
        </m:r>
        <m:r>
          <m:t>1</m:t>
        </m:r>
        <m:r>
          <m:rPr>
            <m:sty m:val="p"/>
          </m:rPr>
          <m:t>−</m:t>
        </m:r>
        <m:d>
          <m:dPr>
            <m:begChr m:val="("/>
            <m:endChr m:val=")"/>
            <m:sepChr m:val=""/>
            <m:grow/>
          </m:dPr>
          <m:e>
            <m:r>
              <m:t>λ</m:t>
            </m:r>
            <m:r>
              <m:rPr>
                <m:sty m:val="p"/>
              </m:rPr>
              <m:t>/</m:t>
            </m:r>
            <m:r>
              <m:t>δ</m:t>
            </m:r>
          </m:e>
        </m:d>
        <m:r>
          <m:t>f</m:t>
        </m:r>
      </m:oMath>
      <w:r>
        <w:rPr>
          <w:rFonts w:ascii="Times New Roman" w:hAnsi="Times New Roman" w:eastAsia="Times New Roman" w:cs="Times New Roman"/>
        </w:rPr>
        <w:t xml:space="preserve">. As</w:t>
      </w:r>
      <w:r>
        <w:rPr>
          <w:rFonts w:ascii="Times New Roman" w:hAnsi="Times New Roman" w:eastAsia="Times New Roman" w:cs="Times New Roman"/>
        </w:rPr>
        <w:t xml:space="preserve"> </w:t>
      </w:r>
      <m:oMath>
        <m:r>
          <m:t>t</m:t>
        </m:r>
        <m:r>
          <m:rPr>
            <m:sty m:val="p"/>
          </m:rPr>
          <m:t>→</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d>
          <m:dPr>
            <m:begChr m:val="("/>
            <m:endChr m:val=")"/>
            <m:sepChr m:val=""/>
            <m:grow/>
          </m:dPr>
          <m:e>
            <m:r>
              <m:t>t</m:t>
            </m:r>
          </m:e>
        </m:d>
        <m:r>
          <m:rPr>
            <m:sty m:val="p"/>
          </m:rPr>
          <m:t>→</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r>
          <m:t>H</m:t>
        </m:r>
        <m:d>
          <m:dPr>
            <m:begChr m:val="("/>
            <m:endChr m:val=")"/>
            <m:sepChr m:val=""/>
            <m:grow/>
          </m:dPr>
          <m:e>
            <m:r>
              <m:t>t</m:t>
            </m:r>
          </m:e>
        </m:d>
        <m:r>
          <m:rPr>
            <m:sty m:val="p"/>
          </m:rPr>
          <m:t>→</m:t>
        </m:r>
        <m:r>
          <m:t>δ</m:t>
        </m:r>
        <m:sSup>
          <m:e>
            <m:r>
              <m:t>L</m:t>
            </m:r>
          </m:e>
          <m:sup>
            <m:r>
              <m:rPr>
                <m:sty m:val="p"/>
              </m:rPr>
              <m:t>*</m:t>
            </m:r>
          </m:sup>
        </m:sSup>
      </m:oMath>
      <w:r>
        <w:rPr>
          <w:rFonts w:ascii="Times New Roman" w:hAnsi="Times New Roman" w:eastAsia="Times New Roman" w:cs="Times New Roman"/>
        </w:rPr>
        <w:t xml:space="preserve">, so</w:t>
      </w:r>
      <w:r>
        <w:rPr>
          <w:rFonts w:ascii="Times New Roman" w:hAnsi="Times New Roman" w:eastAsia="Times New Roman" w:cs="Times New Roman"/>
        </w:rPr>
        <w:t xml:space="preserve"> </w:t>
      </w:r>
      <m:oMath>
        <m:r>
          <m:t>H</m:t>
        </m:r>
        <m:d>
          <m:dPr>
            <m:begChr m:val="("/>
            <m:endChr m:val=")"/>
            <m:sepChr m:val=""/>
            <m:grow/>
          </m:dPr>
          <m:e>
            <m:r>
              <m:t>t</m:t>
            </m:r>
          </m:e>
        </m:d>
        <m:r>
          <m:rPr>
            <m:sty m:val="p"/>
          </m:rPr>
          <m:t>/</m:t>
        </m:r>
        <m:d>
          <m:dPr>
            <m:begChr m:val="("/>
            <m:endChr m:val=")"/>
            <m:sepChr m:val=""/>
            <m:grow/>
          </m:dPr>
          <m:e>
            <m:r>
              <m:t>δ</m:t>
            </m:r>
            <m:sSub>
              <m:e>
                <m:r>
                  <m:t>L</m:t>
                </m:r>
              </m:e>
              <m:sub>
                <m:r>
                  <m:t>0</m:t>
                </m:r>
              </m:sub>
            </m:sSub>
          </m:e>
        </m:d>
        <m:r>
          <m:rPr>
            <m:sty m:val="p"/>
          </m:rPr>
          <m:t>→</m:t>
        </m:r>
        <m:r>
          <m:t>1</m:t>
        </m:r>
        <m:r>
          <m:rPr>
            <m:sty m:val="p"/>
          </m:rPr>
          <m:t>−</m:t>
        </m:r>
        <m:r>
          <m:t>f</m:t>
        </m:r>
      </m:oMath>
      <w:r>
        <w:rPr>
          <w:rFonts w:ascii="Times New Roman" w:hAnsi="Times New Roman" w:eastAsia="Times New Roman" w:cs="Times New Roman"/>
        </w:rPr>
        <w:t xml:space="preserve">. Hires are non-negative in every period when</w:t>
      </w:r>
      <w:r>
        <w:rPr>
          <w:rFonts w:ascii="Times New Roman" w:hAnsi="Times New Roman" w:eastAsia="Times New Roman" w:cs="Times New Roman"/>
        </w:rPr>
        <w:t xml:space="preserve"> </w:t>
      </w:r>
      <m:oMath>
        <m:r>
          <m:t>λ</m:t>
        </m:r>
        <m:r>
          <m:rPr>
            <m:sty m:val="p"/>
          </m:rPr>
          <m:t>≤</m:t>
        </m:r>
        <m:r>
          <m:t>δ</m:t>
        </m:r>
      </m:oMath>
      <w:r>
        <w:rPr>
          <w:rFonts w:ascii="Times New Roman" w:hAnsi="Times New Roman" w:eastAsia="Times New Roman" w:cs="Times New Roman"/>
        </w:rPr>
        <w:t xml:space="preserve">, because</w:t>
      </w:r>
      <w:r>
        <w:rPr>
          <w:rFonts w:ascii="Times New Roman" w:hAnsi="Times New Roman" w:eastAsia="Times New Roman" w:cs="Times New Roman"/>
        </w:rPr>
        <w:t xml:space="preserve"> </w:t>
      </w:r>
      <m:oMath>
        <m:r>
          <m:t>λ</m:t>
        </m:r>
        <m:r>
          <m:t>f</m:t>
        </m:r>
        <m:r>
          <m:rPr>
            <m:sty m:val="p"/>
          </m:rPr>
          <m:t>≤</m:t>
        </m:r>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for</w:t>
      </w:r>
      <w:r>
        <w:rPr>
          <w:rFonts w:ascii="Times New Roman" w:hAnsi="Times New Roman" w:eastAsia="Times New Roman" w:cs="Times New Roman"/>
        </w:rPr>
        <w:t xml:space="preserve"> </w:t>
      </w:r>
      <m:oMath>
        <m:r>
          <m:t>f</m:t>
        </m:r>
        <m:r>
          <m:rPr>
            <m:sty m:val="p"/>
          </m:rPr>
          <m:t>≤</m:t>
        </m:r>
        <m:r>
          <m:t>1</m:t>
        </m:r>
      </m:oMath>
      <w:r>
        <w:rPr>
          <w:rFonts w:ascii="Times New Roman" w:hAnsi="Times New Roman" w:eastAsia="Times New Roman" w:cs="Times New Roman"/>
        </w:rPr>
        <w:t xml:space="preserve">. The upper bound in part (i) holds when hiring is adjusted smoothly as in equation (4); a temporary hiring freeze could produce a larger transitory fall in adverts.</w:t>
      </w:r>
    </w:p>
    <w:bookmarkEnd w:id="61"/>
    <w:bookmarkStart w:id="62" w:name="references"/>
    <w:p>
      <w:pPr>
        <w:pStyle w:val="Heading2"/>
      </w:pPr>
      <w:r>
        <w:rPr>
          <w:rFonts w:ascii="Times New Roman" w:hAnsi="Times New Roman" w:eastAsia="Times New Roman" w:cs="Times New Roman"/>
        </w:rPr>
        <w:t xml:space="preserve">References</w:t>
      </w:r>
    </w:p>
    <w:p>
      <w:pPr>
        <w:pStyle w:val="FirstParagraph"/>
        <w:spacing w:line="480" w:lineRule="auto" w:after="0" w:before="0"/>
        <w:ind w:firstLine="720"/>
        <w:jc w:val="left"/>
      </w:pPr>
      <w:r>
        <w:rPr>
          <w:rFonts w:ascii="Times New Roman" w:hAnsi="Times New Roman" w:eastAsia="Times New Roman" w:cs="Times New Roman"/>
        </w:rPr>
        <w:t xml:space="preserve">Acemoglu, D., &amp; Restrepo, P. (2018). The race between man and machine: Implications of technology for growth, factor shares, and employment.</w:t>
      </w:r>
      <w:r>
        <w:rPr>
          <w:rFonts w:ascii="Times New Roman" w:hAnsi="Times New Roman" w:eastAsia="Times New Roman" w:cs="Times New Roman"/>
        </w:rPr>
        <w:t xml:space="preserve"> </w:t>
      </w:r>
      <w:r>
        <w:rPr>
          <w:iCs/>
          <w:rFonts w:ascii="Times New Roman" w:hAnsi="Times New Roman" w:eastAsia="Times New Roman" w:cs="Times New Roman"/>
          <w:i/>
        </w:rPr>
        <w:t xml:space="preserve">American Economic Review, 108</w:t>
      </w:r>
      <w:r>
        <w:rPr>
          <w:rFonts w:ascii="Times New Roman" w:hAnsi="Times New Roman" w:eastAsia="Times New Roman" w:cs="Times New Roman"/>
        </w:rPr>
        <w:t xml:space="preserve">(6), 1488–1542.</w:t>
      </w:r>
    </w:p>
    <w:p>
      <w:pPr>
        <w:pStyle w:val="BodyText"/>
        <w:spacing w:line="480" w:lineRule="auto" w:after="0" w:before="0"/>
        <w:ind w:firstLine="720"/>
        <w:jc w:val="left"/>
      </w:pPr>
      <w:r>
        <w:rPr>
          <w:rFonts w:ascii="Times New Roman" w:hAnsi="Times New Roman" w:eastAsia="Times New Roman" w:cs="Times New Roman"/>
        </w:rPr>
        <w:t xml:space="preserve">Acemoglu, D., &amp; Restrepo, P. (2019). Automation and new tasks: How technology displaces and reinstates labor.</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Economic Perspectives, 33</w:t>
      </w:r>
      <w:r>
        <w:rPr>
          <w:rFonts w:ascii="Times New Roman" w:hAnsi="Times New Roman" w:eastAsia="Times New Roman" w:cs="Times New Roman"/>
        </w:rPr>
        <w:t xml:space="preserve">(2), 3–30.</w:t>
      </w:r>
    </w:p>
    <w:p>
      <w:pPr>
        <w:pStyle w:val="BodyText"/>
        <w:spacing w:line="480" w:lineRule="auto" w:after="0" w:before="0"/>
        <w:ind w:firstLine="720"/>
        <w:jc w:val="left"/>
      </w:pPr>
      <w:r>
        <w:rPr>
          <w:rFonts w:ascii="Times New Roman" w:hAnsi="Times New Roman" w:eastAsia="Times New Roman" w:cs="Times New Roman"/>
        </w:rPr>
        <w:t xml:space="preserve">Acemoglu, D., Autor, D., Hazell, J., &amp; Restrepo, P. (2022). Artificial intelligence and jobs: Evidence from online vacancies.</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Labor Economics, 40</w:t>
      </w:r>
      <w:r>
        <w:rPr>
          <w:rFonts w:ascii="Times New Roman" w:hAnsi="Times New Roman" w:eastAsia="Times New Roman" w:cs="Times New Roman"/>
        </w:rPr>
        <w:t xml:space="preserve">(S1), S293–S340.</w:t>
      </w:r>
    </w:p>
    <w:p>
      <w:pPr>
        <w:pStyle w:val="BodyText"/>
        <w:spacing w:line="480" w:lineRule="auto" w:after="0" w:before="0"/>
        <w:ind w:firstLine="720"/>
        <w:jc w:val="left"/>
      </w:pPr>
      <w:r>
        <w:rPr>
          <w:rFonts w:ascii="Times New Roman" w:hAnsi="Times New Roman" w:eastAsia="Times New Roman" w:cs="Times New Roman"/>
        </w:rPr>
        <w:t xml:space="preserve">Aghion, P., Jones, B. F., &amp; Jones, C. I. (2019). Artificial intelligence and economic growth. In A. Agrawal, J. Gans, &amp; A. Goldfarb (Eds.),</w:t>
      </w:r>
      <w:r>
        <w:rPr>
          <w:rFonts w:ascii="Times New Roman" w:hAnsi="Times New Roman" w:eastAsia="Times New Roman" w:cs="Times New Roman"/>
        </w:rPr>
        <w:t xml:space="preserve"> </w:t>
      </w:r>
      <w:r>
        <w:rPr>
          <w:iCs/>
          <w:rFonts w:ascii="Times New Roman" w:hAnsi="Times New Roman" w:eastAsia="Times New Roman" w:cs="Times New Roman"/>
          <w:i/>
        </w:rPr>
        <w:t xml:space="preserve">The economics of artificial intelligence: An agenda</w:t>
      </w:r>
      <w:r>
        <w:rPr>
          <w:rFonts w:ascii="Times New Roman" w:hAnsi="Times New Roman" w:eastAsia="Times New Roman" w:cs="Times New Roman"/>
        </w:rPr>
        <w:t xml:space="preserve">. University of Chicago Press.</w:t>
      </w:r>
    </w:p>
    <w:p>
      <w:pPr>
        <w:pStyle w:val="BodyText"/>
        <w:spacing w:line="480" w:lineRule="auto" w:after="0" w:before="0"/>
        <w:ind w:firstLine="720"/>
        <w:jc w:val="left"/>
      </w:pPr>
      <w:r>
        <w:rPr>
          <w:rFonts w:ascii="Times New Roman" w:hAnsi="Times New Roman" w:eastAsia="Times New Roman" w:cs="Times New Roman"/>
        </w:rPr>
        <w:t xml:space="preserve">Agrawal, A., Gans, J., &amp; Goldfarb, A. (2018).</w:t>
      </w:r>
      <w:r>
        <w:rPr>
          <w:rFonts w:ascii="Times New Roman" w:hAnsi="Times New Roman" w:eastAsia="Times New Roman" w:cs="Times New Roman"/>
        </w:rPr>
        <w:t xml:space="preserve"> </w:t>
      </w:r>
      <w:r>
        <w:rPr>
          <w:iCs/>
          <w:rFonts w:ascii="Times New Roman" w:hAnsi="Times New Roman" w:eastAsia="Times New Roman" w:cs="Times New Roman"/>
          <w:i/>
        </w:rPr>
        <w:t xml:space="preserve">Prediction machines: The simple economics of artificial intelligence</w:t>
      </w:r>
      <w:r>
        <w:rPr>
          <w:rFonts w:ascii="Times New Roman" w:hAnsi="Times New Roman" w:eastAsia="Times New Roman" w:cs="Times New Roman"/>
        </w:rPr>
        <w:t xml:space="preserve">. Harvard Business Review Press.</w:t>
      </w:r>
    </w:p>
    <w:p>
      <w:pPr>
        <w:pStyle w:val="BodyText"/>
        <w:spacing w:line="480" w:lineRule="auto" w:after="0" w:before="0"/>
        <w:ind w:firstLine="720"/>
        <w:jc w:val="left"/>
      </w:pPr>
      <w:r>
        <w:rPr>
          <w:rFonts w:ascii="Times New Roman" w:hAnsi="Times New Roman" w:eastAsia="Times New Roman" w:cs="Times New Roman"/>
        </w:rPr>
        <w:t xml:space="preserve">Albanesi, S., Dias da Silva, A., Jimeno, J. F., Lamo, A., &amp; Wabitsch, A. (2025). New technologies and jobs in Europe.</w:t>
      </w:r>
      <w:r>
        <w:rPr>
          <w:rFonts w:ascii="Times New Roman" w:hAnsi="Times New Roman" w:eastAsia="Times New Roman" w:cs="Times New Roman"/>
        </w:rPr>
        <w:t xml:space="preserve"> </w:t>
      </w:r>
      <w:r>
        <w:rPr>
          <w:iCs/>
          <w:rFonts w:ascii="Times New Roman" w:hAnsi="Times New Roman" w:eastAsia="Times New Roman" w:cs="Times New Roman"/>
          <w:i/>
        </w:rPr>
        <w:t xml:space="preserve">Economic Policy, 40</w:t>
      </w:r>
      <w:r>
        <w:rPr>
          <w:rFonts w:ascii="Times New Roman" w:hAnsi="Times New Roman" w:eastAsia="Times New Roman" w:cs="Times New Roman"/>
        </w:rPr>
        <w:t xml:space="preserve">(121), 71–139.</w:t>
      </w:r>
    </w:p>
    <w:p>
      <w:pPr>
        <w:pStyle w:val="BodyText"/>
        <w:spacing w:line="480" w:lineRule="auto" w:after="0" w:before="0"/>
        <w:ind w:firstLine="720"/>
        <w:jc w:val="left"/>
      </w:pPr>
      <w:r>
        <w:rPr>
          <w:rFonts w:ascii="Times New Roman" w:hAnsi="Times New Roman" w:eastAsia="Times New Roman" w:cs="Times New Roman"/>
        </w:rPr>
        <w:t xml:space="preserve">Aral, S., &amp; Weill, P. (2007). IT assets, organizational capabilities, and firm performance: How resource allocations and organizational differences explain performance variation.</w:t>
      </w:r>
      <w:r>
        <w:rPr>
          <w:rFonts w:ascii="Times New Roman" w:hAnsi="Times New Roman" w:eastAsia="Times New Roman" w:cs="Times New Roman"/>
        </w:rPr>
        <w:t xml:space="preserve"> </w:t>
      </w:r>
      <w:r>
        <w:rPr>
          <w:iCs/>
          <w:rFonts w:ascii="Times New Roman" w:hAnsi="Times New Roman" w:eastAsia="Times New Roman" w:cs="Times New Roman"/>
          <w:i/>
        </w:rPr>
        <w:t xml:space="preserve">Organization Science, 18</w:t>
      </w:r>
      <w:r>
        <w:rPr>
          <w:rFonts w:ascii="Times New Roman" w:hAnsi="Times New Roman" w:eastAsia="Times New Roman" w:cs="Times New Roman"/>
        </w:rPr>
        <w:t xml:space="preserve">(5), 763–780.</w:t>
      </w:r>
    </w:p>
    <w:p>
      <w:pPr>
        <w:pStyle w:val="BodyText"/>
        <w:spacing w:line="480" w:lineRule="auto" w:after="0" w:before="0"/>
        <w:ind w:firstLine="720"/>
        <w:jc w:val="left"/>
      </w:pPr>
      <w:r>
        <w:rPr>
          <w:rFonts w:ascii="Times New Roman" w:hAnsi="Times New Roman" w:eastAsia="Times New Roman" w:cs="Times New Roman"/>
        </w:rPr>
        <w:t xml:space="preserve">Attewell, P. (1992). Technology diffusion and organizational learning: The case of business computing.</w:t>
      </w:r>
      <w:r>
        <w:rPr>
          <w:rFonts w:ascii="Times New Roman" w:hAnsi="Times New Roman" w:eastAsia="Times New Roman" w:cs="Times New Roman"/>
        </w:rPr>
        <w:t xml:space="preserve"> </w:t>
      </w:r>
      <w:r>
        <w:rPr>
          <w:iCs/>
          <w:rFonts w:ascii="Times New Roman" w:hAnsi="Times New Roman" w:eastAsia="Times New Roman" w:cs="Times New Roman"/>
          <w:i/>
        </w:rPr>
        <w:t xml:space="preserve">Organization Science, 3</w:t>
      </w:r>
      <w:r>
        <w:rPr>
          <w:rFonts w:ascii="Times New Roman" w:hAnsi="Times New Roman" w:eastAsia="Times New Roman" w:cs="Times New Roman"/>
        </w:rPr>
        <w:t xml:space="preserve">(1), 1–19.</w:t>
      </w:r>
    </w:p>
    <w:p>
      <w:pPr>
        <w:pStyle w:val="BodyText"/>
        <w:spacing w:line="480" w:lineRule="auto" w:after="0" w:before="0"/>
        <w:ind w:firstLine="720"/>
        <w:jc w:val="left"/>
      </w:pPr>
      <w:r>
        <w:rPr>
          <w:rFonts w:ascii="Times New Roman" w:hAnsi="Times New Roman" w:eastAsia="Times New Roman" w:cs="Times New Roman"/>
        </w:rPr>
        <w:t xml:space="preserve">Babina, T., Fedyk, A., He, A., &amp; Hodson, J. (2024). Artificial intelligence, firm growth, and product innovation.</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Financial Economics, 151</w:t>
      </w:r>
      <w:r>
        <w:rPr>
          <w:rFonts w:ascii="Times New Roman" w:hAnsi="Times New Roman" w:eastAsia="Times New Roman" w:cs="Times New Roman"/>
        </w:rPr>
        <w:t xml:space="preserve">, 103745.</w:t>
      </w:r>
    </w:p>
    <w:p>
      <w:pPr>
        <w:pStyle w:val="BodyText"/>
        <w:spacing w:line="480" w:lineRule="auto" w:after="0" w:before="0"/>
        <w:ind w:firstLine="720"/>
        <w:jc w:val="left"/>
      </w:pPr>
      <w:r>
        <w:rPr>
          <w:rFonts w:ascii="Times New Roman" w:hAnsi="Times New Roman" w:eastAsia="Times New Roman" w:cs="Times New Roman"/>
        </w:rPr>
        <w:t xml:space="preserve">Baumol, W. J. (1967). Macroeconomics of unbalanced growth: The anatomy of urban crisis.</w:t>
      </w:r>
      <w:r>
        <w:rPr>
          <w:rFonts w:ascii="Times New Roman" w:hAnsi="Times New Roman" w:eastAsia="Times New Roman" w:cs="Times New Roman"/>
        </w:rPr>
        <w:t xml:space="preserve"> </w:t>
      </w:r>
      <w:r>
        <w:rPr>
          <w:iCs/>
          <w:rFonts w:ascii="Times New Roman" w:hAnsi="Times New Roman" w:eastAsia="Times New Roman" w:cs="Times New Roman"/>
          <w:i/>
        </w:rPr>
        <w:t xml:space="preserve">American Economic Review, 57</w:t>
      </w:r>
      <w:r>
        <w:rPr>
          <w:rFonts w:ascii="Times New Roman" w:hAnsi="Times New Roman" w:eastAsia="Times New Roman" w:cs="Times New Roman"/>
        </w:rPr>
        <w:t xml:space="preserve">(3), 415–426.</w:t>
      </w:r>
    </w:p>
    <w:p>
      <w:pPr>
        <w:pStyle w:val="BodyText"/>
        <w:spacing w:line="480" w:lineRule="auto" w:after="0" w:before="0"/>
        <w:ind w:firstLine="720"/>
        <w:jc w:val="left"/>
      </w:pPr>
      <w:r>
        <w:rPr>
          <w:rFonts w:ascii="Times New Roman" w:hAnsi="Times New Roman" w:eastAsia="Times New Roman" w:cs="Times New Roman"/>
        </w:rPr>
        <w:t xml:space="preserve">Berente, N., Gu, B., Recker, J., &amp; Santhanam, R. (2021). Managing artificial intelligence.</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 45</w:t>
      </w:r>
      <w:r>
        <w:rPr>
          <w:rFonts w:ascii="Times New Roman" w:hAnsi="Times New Roman" w:eastAsia="Times New Roman" w:cs="Times New Roman"/>
        </w:rPr>
        <w:t xml:space="preserve">(3), 1433–1450.</w:t>
      </w:r>
    </w:p>
    <w:p>
      <w:pPr>
        <w:pStyle w:val="BodyText"/>
        <w:spacing w:line="480" w:lineRule="auto" w:after="0" w:before="0"/>
        <w:ind w:firstLine="720"/>
        <w:jc w:val="left"/>
      </w:pPr>
      <w:r>
        <w:rPr>
          <w:rFonts w:ascii="Times New Roman" w:hAnsi="Times New Roman" w:eastAsia="Times New Roman" w:cs="Times New Roman"/>
        </w:rPr>
        <w:t xml:space="preserve">Bresnahan, T. F., &amp; Trajtenberg, M. (1995). General purpose technologies: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Engines of growth</w:t>
      </w:r>
      <w:r>
        <w:rPr>
          <w:rFonts w:ascii="Times New Roman" w:hAnsi="Times New Roman" w:eastAsia="Times New Roman" w:cs="Times New Roman"/>
        </w:rPr>
        <w:t xml:space="preserve">”</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Econometrics, 65</w:t>
      </w:r>
      <w:r>
        <w:rPr>
          <w:rFonts w:ascii="Times New Roman" w:hAnsi="Times New Roman" w:eastAsia="Times New Roman" w:cs="Times New Roman"/>
        </w:rPr>
        <w:t xml:space="preserve">(1), 83–108.</w:t>
      </w:r>
    </w:p>
    <w:p>
      <w:pPr>
        <w:pStyle w:val="BodyText"/>
        <w:spacing w:line="480" w:lineRule="auto" w:after="0" w:before="0"/>
        <w:ind w:firstLine="720"/>
        <w:jc w:val="left"/>
      </w:pPr>
      <w:r>
        <w:rPr>
          <w:rFonts w:ascii="Times New Roman" w:hAnsi="Times New Roman" w:eastAsia="Times New Roman" w:cs="Times New Roman"/>
        </w:rPr>
        <w:t xml:space="preserve">Brynjolfsson, E., &amp; Hitt, L. M. (2000). Beyond computation: Information technology, organizational transformation and business performance.</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Economic Perspectives, 14</w:t>
      </w:r>
      <w:r>
        <w:rPr>
          <w:rFonts w:ascii="Times New Roman" w:hAnsi="Times New Roman" w:eastAsia="Times New Roman" w:cs="Times New Roman"/>
        </w:rPr>
        <w:t xml:space="preserve">(4), 23–48.</w:t>
      </w:r>
    </w:p>
    <w:p>
      <w:pPr>
        <w:pStyle w:val="BodyText"/>
        <w:spacing w:line="480" w:lineRule="auto" w:after="0" w:before="0"/>
        <w:ind w:firstLine="720"/>
        <w:jc w:val="left"/>
      </w:pPr>
      <w:r>
        <w:rPr>
          <w:rFonts w:ascii="Times New Roman" w:hAnsi="Times New Roman" w:eastAsia="Times New Roman" w:cs="Times New Roman"/>
        </w:rPr>
        <w:t xml:space="preserve">Brynjolfsson, E., Li, D., &amp; Raymond, L. (2025). Generative AI at work.</w:t>
      </w:r>
      <w:r>
        <w:rPr>
          <w:rFonts w:ascii="Times New Roman" w:hAnsi="Times New Roman" w:eastAsia="Times New Roman" w:cs="Times New Roman"/>
        </w:rPr>
        <w:t xml:space="preserve"> </w:t>
      </w:r>
      <w:r>
        <w:rPr>
          <w:iCs/>
          <w:rFonts w:ascii="Times New Roman" w:hAnsi="Times New Roman" w:eastAsia="Times New Roman" w:cs="Times New Roman"/>
          <w:i/>
        </w:rPr>
        <w:t xml:space="preserve">The Quarterly Journal of Economics, 140</w:t>
      </w:r>
      <w:r>
        <w:rPr>
          <w:rFonts w:ascii="Times New Roman" w:hAnsi="Times New Roman" w:eastAsia="Times New Roman" w:cs="Times New Roman"/>
        </w:rPr>
        <w:t xml:space="preserve">(2), 889–942.</w:t>
      </w:r>
    </w:p>
    <w:p>
      <w:pPr>
        <w:pStyle w:val="BodyText"/>
        <w:spacing w:line="480" w:lineRule="auto" w:after="0" w:before="0"/>
        <w:ind w:firstLine="720"/>
        <w:jc w:val="left"/>
      </w:pPr>
      <w:r>
        <w:rPr>
          <w:rFonts w:ascii="Times New Roman" w:hAnsi="Times New Roman" w:eastAsia="Times New Roman" w:cs="Times New Roman"/>
        </w:rPr>
        <w:t xml:space="preserve">Brynjolfsson, E., Rock, D., &amp; Syverson, C. (2021). The productivity J-curve: How intangibles complement general purpose technologies.</w:t>
      </w:r>
      <w:r>
        <w:rPr>
          <w:rFonts w:ascii="Times New Roman" w:hAnsi="Times New Roman" w:eastAsia="Times New Roman" w:cs="Times New Roman"/>
        </w:rPr>
        <w:t xml:space="preserve"> </w:t>
      </w:r>
      <w:r>
        <w:rPr>
          <w:iCs/>
          <w:rFonts w:ascii="Times New Roman" w:hAnsi="Times New Roman" w:eastAsia="Times New Roman" w:cs="Times New Roman"/>
          <w:i/>
        </w:rPr>
        <w:t xml:space="preserve">American Economic Journal: Macroeconomics, 13</w:t>
      </w:r>
      <w:r>
        <w:rPr>
          <w:rFonts w:ascii="Times New Roman" w:hAnsi="Times New Roman" w:eastAsia="Times New Roman" w:cs="Times New Roman"/>
        </w:rPr>
        <w:t xml:space="preserve">(1), 333–372.</w:t>
      </w:r>
    </w:p>
    <w:p>
      <w:pPr>
        <w:pStyle w:val="BodyText"/>
        <w:spacing w:line="480" w:lineRule="auto" w:after="0" w:before="0"/>
        <w:ind w:firstLine="720"/>
        <w:jc w:val="left"/>
      </w:pPr>
      <w:r>
        <w:rPr>
          <w:rFonts w:ascii="Times New Roman" w:hAnsi="Times New Roman" w:eastAsia="Times New Roman" w:cs="Times New Roman"/>
        </w:rPr>
        <w:t xml:space="preserve">Cohen, W. M., &amp; Levinthal, D. A. (1990). Absorptive capacity: A new perspective on learning and innovation.</w:t>
      </w:r>
      <w:r>
        <w:rPr>
          <w:rFonts w:ascii="Times New Roman" w:hAnsi="Times New Roman" w:eastAsia="Times New Roman" w:cs="Times New Roman"/>
        </w:rPr>
        <w:t xml:space="preserve"> </w:t>
      </w:r>
      <w:r>
        <w:rPr>
          <w:iCs/>
          <w:rFonts w:ascii="Times New Roman" w:hAnsi="Times New Roman" w:eastAsia="Times New Roman" w:cs="Times New Roman"/>
          <w:i/>
        </w:rPr>
        <w:t xml:space="preserve">Administrative Science Quarterly, 35</w:t>
      </w:r>
      <w:r>
        <w:rPr>
          <w:rFonts w:ascii="Times New Roman" w:hAnsi="Times New Roman" w:eastAsia="Times New Roman" w:cs="Times New Roman"/>
        </w:rPr>
        <w:t xml:space="preserve">(1), 128–152.</w:t>
      </w:r>
    </w:p>
    <w:p>
      <w:pPr>
        <w:pStyle w:val="BodyText"/>
        <w:spacing w:line="480" w:lineRule="auto" w:after="0" w:before="0"/>
        <w:ind w:firstLine="720"/>
        <w:jc w:val="left"/>
      </w:pPr>
      <w:r>
        <w:rPr>
          <w:rFonts w:ascii="Times New Roman" w:hAnsi="Times New Roman" w:eastAsia="Times New Roman" w:cs="Times New Roman"/>
        </w:rPr>
        <w:t xml:space="preserve">Cooper, R. B., &amp; Zmud, R. W. (1990). Information technology implementation research: A technological diffusion approach.</w:t>
      </w:r>
      <w:r>
        <w:rPr>
          <w:rFonts w:ascii="Times New Roman" w:hAnsi="Times New Roman" w:eastAsia="Times New Roman" w:cs="Times New Roman"/>
        </w:rPr>
        <w:t xml:space="preserve"> </w:t>
      </w:r>
      <w:r>
        <w:rPr>
          <w:iCs/>
          <w:rFonts w:ascii="Times New Roman" w:hAnsi="Times New Roman" w:eastAsia="Times New Roman" w:cs="Times New Roman"/>
          <w:i/>
        </w:rPr>
        <w:t xml:space="preserve">Management Science, 36</w:t>
      </w:r>
      <w:r>
        <w:rPr>
          <w:rFonts w:ascii="Times New Roman" w:hAnsi="Times New Roman" w:eastAsia="Times New Roman" w:cs="Times New Roman"/>
        </w:rPr>
        <w:t xml:space="preserve">(2), 123–139.</w:t>
      </w:r>
    </w:p>
    <w:p>
      <w:pPr>
        <w:pStyle w:val="BodyText"/>
        <w:spacing w:line="480" w:lineRule="auto" w:after="0" w:before="0"/>
        <w:ind w:firstLine="720"/>
        <w:jc w:val="left"/>
      </w:pPr>
      <w:r>
        <w:rPr>
          <w:rFonts w:ascii="Times New Roman" w:hAnsi="Times New Roman" w:eastAsia="Times New Roman" w:cs="Times New Roman"/>
        </w:rPr>
        <w:t xml:space="preserve">David, P. A. (1990). The dynamo and the computer: An historical perspective on the modern productivity paradox.</w:t>
      </w:r>
      <w:r>
        <w:rPr>
          <w:rFonts w:ascii="Times New Roman" w:hAnsi="Times New Roman" w:eastAsia="Times New Roman" w:cs="Times New Roman"/>
        </w:rPr>
        <w:t xml:space="preserve"> </w:t>
      </w:r>
      <w:r>
        <w:rPr>
          <w:iCs/>
          <w:rFonts w:ascii="Times New Roman" w:hAnsi="Times New Roman" w:eastAsia="Times New Roman" w:cs="Times New Roman"/>
          <w:i/>
        </w:rPr>
        <w:t xml:space="preserve">American Economic Review, 80</w:t>
      </w:r>
      <w:r>
        <w:rPr>
          <w:rFonts w:ascii="Times New Roman" w:hAnsi="Times New Roman" w:eastAsia="Times New Roman" w:cs="Times New Roman"/>
        </w:rPr>
        <w:t xml:space="preserve">(2), 355–361.</w:t>
      </w:r>
    </w:p>
    <w:p>
      <w:pPr>
        <w:pStyle w:val="BodyText"/>
        <w:spacing w:line="480" w:lineRule="auto" w:after="0" w:before="0"/>
        <w:ind w:firstLine="720"/>
        <w:jc w:val="left"/>
      </w:pPr>
      <w:r>
        <w:rPr>
          <w:rFonts w:ascii="Times New Roman" w:hAnsi="Times New Roman" w:eastAsia="Times New Roman" w:cs="Times New Roman"/>
        </w:rPr>
        <w:t xml:space="preserve">Demirci, O., Hannane, J., &amp; Zhu, X. (2025). Who is AI replacing? The impact of generative AI on online freelancing platforms.</w:t>
      </w:r>
      <w:r>
        <w:rPr>
          <w:rFonts w:ascii="Times New Roman" w:hAnsi="Times New Roman" w:eastAsia="Times New Roman" w:cs="Times New Roman"/>
        </w:rPr>
        <w:t xml:space="preserve"> </w:t>
      </w:r>
      <w:r>
        <w:rPr>
          <w:iCs/>
          <w:rFonts w:ascii="Times New Roman" w:hAnsi="Times New Roman" w:eastAsia="Times New Roman" w:cs="Times New Roman"/>
          <w:i/>
        </w:rPr>
        <w:t xml:space="preserve">Management Science, 71</w:t>
      </w:r>
      <w:r>
        <w:rPr>
          <w:rFonts w:ascii="Times New Roman" w:hAnsi="Times New Roman" w:eastAsia="Times New Roman" w:cs="Times New Roman"/>
        </w:rPr>
        <w:t xml:space="preserve">(10), 8097–8108.</w:t>
      </w:r>
    </w:p>
    <w:p>
      <w:pPr>
        <w:pStyle w:val="BodyText"/>
        <w:spacing w:line="480" w:lineRule="auto" w:after="0" w:before="0"/>
        <w:ind w:firstLine="720"/>
        <w:jc w:val="left"/>
      </w:pPr>
      <w:r>
        <w:rPr>
          <w:rFonts w:ascii="Times New Roman" w:hAnsi="Times New Roman" w:eastAsia="Times New Roman" w:cs="Times New Roman"/>
        </w:rPr>
        <w:t xml:space="preserve">Eloundou, T., Manning, S., Mishkin, P., &amp; Rock, D. (2023).</w:t>
      </w:r>
      <w:r>
        <w:rPr>
          <w:rFonts w:ascii="Times New Roman" w:hAnsi="Times New Roman" w:eastAsia="Times New Roman" w:cs="Times New Roman"/>
        </w:rPr>
        <w:t xml:space="preserve"> </w:t>
      </w:r>
      <w:r>
        <w:rPr>
          <w:iCs/>
          <w:rFonts w:ascii="Times New Roman" w:hAnsi="Times New Roman" w:eastAsia="Times New Roman" w:cs="Times New Roman"/>
          <w:i/>
        </w:rPr>
        <w:t xml:space="preserve">GPTs are GPTs: An early look at the labor market impact potential of large language models</w:t>
      </w:r>
      <w:r>
        <w:rPr>
          <w:rFonts w:ascii="Times New Roman" w:hAnsi="Times New Roman" w:eastAsia="Times New Roman" w:cs="Times New Roman"/>
        </w:rPr>
        <w:t xml:space="preserve"> </w:t>
      </w:r>
      <w:r>
        <w:rPr>
          <w:rFonts w:ascii="Times New Roman" w:hAnsi="Times New Roman" w:eastAsia="Times New Roman" w:cs="Times New Roman"/>
        </w:rPr>
        <w:t xml:space="preserve">(arXiv:2303.10130). arXiv.</w:t>
      </w:r>
    </w:p>
    <w:p>
      <w:pPr>
        <w:pStyle w:val="BodyText"/>
        <w:spacing w:line="480" w:lineRule="auto" w:after="0" w:before="0"/>
        <w:ind w:firstLine="720"/>
        <w:jc w:val="left"/>
      </w:pPr>
      <w:r>
        <w:rPr>
          <w:rFonts w:ascii="Times New Roman" w:hAnsi="Times New Roman" w:eastAsia="Times New Roman" w:cs="Times New Roman"/>
        </w:rPr>
        <w:t xml:space="preserve">Eurostat. (2026).</w:t>
      </w:r>
      <w:r>
        <w:rPr>
          <w:rFonts w:ascii="Times New Roman" w:hAnsi="Times New Roman" w:eastAsia="Times New Roman" w:cs="Times New Roman"/>
        </w:rPr>
        <w:t xml:space="preserve"> </w:t>
      </w:r>
      <w:r>
        <w:rPr>
          <w:iCs/>
          <w:rFonts w:ascii="Times New Roman" w:hAnsi="Times New Roman" w:eastAsia="Times New Roman" w:cs="Times New Roman"/>
          <w:i/>
        </w:rPr>
        <w:t xml:space="preserve">ICT usage in enterprises; online job advertisements by occupation (experimental); Labour force survey</w:t>
      </w:r>
      <w:r>
        <w:rPr>
          <w:rFonts w:ascii="Times New Roman" w:hAnsi="Times New Roman" w:eastAsia="Times New Roman" w:cs="Times New Roman"/>
        </w:rPr>
        <w:t xml:space="preserve"> </w:t>
      </w:r>
      <w:r>
        <w:rPr>
          <w:rFonts w:ascii="Times New Roman" w:hAnsi="Times New Roman" w:eastAsia="Times New Roman" w:cs="Times New Roman"/>
        </w:rPr>
        <w:t xml:space="preserve">[Data sets]. Retrieved October 4, 2026, from the Eurostat dissemination database.</w:t>
      </w:r>
    </w:p>
    <w:p>
      <w:pPr>
        <w:pStyle w:val="BodyText"/>
        <w:spacing w:line="480" w:lineRule="auto" w:after="0" w:before="0"/>
        <w:ind w:firstLine="720"/>
        <w:jc w:val="left"/>
      </w:pPr>
      <w:r>
        <w:rPr>
          <w:rFonts w:ascii="Times New Roman" w:hAnsi="Times New Roman" w:eastAsia="Times New Roman" w:cs="Times New Roman"/>
        </w:rPr>
        <w:t xml:space="preserve">Felten, E., Raj, M., &amp; Seamans, R. (2021). Occupational, industry, and geographic exposure to artificial intelligence.</w:t>
      </w:r>
      <w:r>
        <w:rPr>
          <w:rFonts w:ascii="Times New Roman" w:hAnsi="Times New Roman" w:eastAsia="Times New Roman" w:cs="Times New Roman"/>
        </w:rPr>
        <w:t xml:space="preserve"> </w:t>
      </w:r>
      <w:r>
        <w:rPr>
          <w:iCs/>
          <w:rFonts w:ascii="Times New Roman" w:hAnsi="Times New Roman" w:eastAsia="Times New Roman" w:cs="Times New Roman"/>
          <w:i/>
        </w:rPr>
        <w:t xml:space="preserve">Strategic Management Journal, 42</w:t>
      </w:r>
      <w:r>
        <w:rPr>
          <w:rFonts w:ascii="Times New Roman" w:hAnsi="Times New Roman" w:eastAsia="Times New Roman" w:cs="Times New Roman"/>
        </w:rPr>
        <w:t xml:space="preserve">(12), 2195–2217.</w:t>
      </w:r>
    </w:p>
    <w:p>
      <w:pPr>
        <w:pStyle w:val="BodyText"/>
        <w:spacing w:line="480" w:lineRule="auto" w:after="0" w:before="0"/>
        <w:ind w:firstLine="720"/>
        <w:jc w:val="left"/>
      </w:pPr>
      <w:r>
        <w:rPr>
          <w:rFonts w:ascii="Times New Roman" w:hAnsi="Times New Roman" w:eastAsia="Times New Roman" w:cs="Times New Roman"/>
        </w:rPr>
        <w:t xml:space="preserve">Fichman, R. G., &amp; Kemerer, C. F. (1999). The illusory diffusion of innovation: An examination of assimilation gaps.</w:t>
      </w:r>
      <w:r>
        <w:rPr>
          <w:rFonts w:ascii="Times New Roman" w:hAnsi="Times New Roman" w:eastAsia="Times New Roman" w:cs="Times New Roman"/>
        </w:rPr>
        <w:t xml:space="preserve"> </w:t>
      </w:r>
      <w:r>
        <w:rPr>
          <w:iCs/>
          <w:rFonts w:ascii="Times New Roman" w:hAnsi="Times New Roman" w:eastAsia="Times New Roman" w:cs="Times New Roman"/>
          <w:i/>
        </w:rPr>
        <w:t xml:space="preserve">Information Systems Research, 10</w:t>
      </w:r>
      <w:r>
        <w:rPr>
          <w:rFonts w:ascii="Times New Roman" w:hAnsi="Times New Roman" w:eastAsia="Times New Roman" w:cs="Times New Roman"/>
        </w:rPr>
        <w:t xml:space="preserve">(3), 255–275.</w:t>
      </w:r>
    </w:p>
    <w:p>
      <w:pPr>
        <w:pStyle w:val="BodyText"/>
        <w:spacing w:line="480" w:lineRule="auto" w:after="0" w:before="0"/>
        <w:ind w:firstLine="720"/>
        <w:jc w:val="left"/>
      </w:pPr>
      <w:r>
        <w:rPr>
          <w:rFonts w:ascii="Times New Roman" w:hAnsi="Times New Roman" w:eastAsia="Times New Roman" w:cs="Times New Roman"/>
        </w:rPr>
        <w:t xml:space="preserve">Fügener, A., Grahl, J., Gupta, A., &amp; Ketter, W. (2022). Cognitive challenges in human–artificial intelligence collaboration: Investigating the path toward productive delegation.</w:t>
      </w:r>
      <w:r>
        <w:rPr>
          <w:rFonts w:ascii="Times New Roman" w:hAnsi="Times New Roman" w:eastAsia="Times New Roman" w:cs="Times New Roman"/>
        </w:rPr>
        <w:t xml:space="preserve"> </w:t>
      </w:r>
      <w:r>
        <w:rPr>
          <w:iCs/>
          <w:rFonts w:ascii="Times New Roman" w:hAnsi="Times New Roman" w:eastAsia="Times New Roman" w:cs="Times New Roman"/>
          <w:i/>
        </w:rPr>
        <w:t xml:space="preserve">Information Systems Research, 33</w:t>
      </w:r>
      <w:r>
        <w:rPr>
          <w:rFonts w:ascii="Times New Roman" w:hAnsi="Times New Roman" w:eastAsia="Times New Roman" w:cs="Times New Roman"/>
        </w:rPr>
        <w:t xml:space="preserve">(2), 678–696.</w:t>
      </w:r>
    </w:p>
    <w:p>
      <w:pPr>
        <w:pStyle w:val="BodyText"/>
        <w:spacing w:line="480" w:lineRule="auto" w:after="0" w:before="0"/>
        <w:ind w:firstLine="720"/>
        <w:jc w:val="left"/>
      </w:pPr>
      <w:r>
        <w:rPr>
          <w:rFonts w:ascii="Times New Roman" w:hAnsi="Times New Roman" w:eastAsia="Times New Roman" w:cs="Times New Roman"/>
        </w:rPr>
        <w:t xml:space="preserve">Gathmann, C., Grimm, F., &amp; Winkler, E. (2024).</w:t>
      </w:r>
      <w:r>
        <w:rPr>
          <w:rFonts w:ascii="Times New Roman" w:hAnsi="Times New Roman" w:eastAsia="Times New Roman" w:cs="Times New Roman"/>
        </w:rPr>
        <w:t xml:space="preserve"> </w:t>
      </w:r>
      <w:r>
        <w:rPr>
          <w:iCs/>
          <w:rFonts w:ascii="Times New Roman" w:hAnsi="Times New Roman" w:eastAsia="Times New Roman" w:cs="Times New Roman"/>
          <w:i/>
        </w:rPr>
        <w:t xml:space="preserve">AI, task changes in jobs, and worker reallocation</w:t>
      </w:r>
      <w:r>
        <w:rPr>
          <w:rFonts w:ascii="Times New Roman" w:hAnsi="Times New Roman" w:eastAsia="Times New Roman" w:cs="Times New Roman"/>
        </w:rPr>
        <w:t xml:space="preserve"> </w:t>
      </w:r>
      <w:r>
        <w:rPr>
          <w:rFonts w:ascii="Times New Roman" w:hAnsi="Times New Roman" w:eastAsia="Times New Roman" w:cs="Times New Roman"/>
        </w:rPr>
        <w:t xml:space="preserve">(IZA Discussion Paper No. 17554). IZA Institute of Labor Economics.</w:t>
      </w:r>
    </w:p>
    <w:p>
      <w:pPr>
        <w:pStyle w:val="BodyText"/>
        <w:spacing w:line="480" w:lineRule="auto" w:after="0" w:before="0"/>
        <w:ind w:firstLine="720"/>
        <w:jc w:val="left"/>
      </w:pPr>
      <w:r>
        <w:rPr>
          <w:rFonts w:ascii="Times New Roman" w:hAnsi="Times New Roman" w:eastAsia="Times New Roman" w:cs="Times New Roman"/>
        </w:rPr>
        <w:t xml:space="preserve">Georgieff, A., &amp; Hyee, R. (2022). Artificial intelligence and employment: New cross-country evidence.</w:t>
      </w:r>
      <w:r>
        <w:rPr>
          <w:rFonts w:ascii="Times New Roman" w:hAnsi="Times New Roman" w:eastAsia="Times New Roman" w:cs="Times New Roman"/>
        </w:rPr>
        <w:t xml:space="preserve"> </w:t>
      </w:r>
      <w:r>
        <w:rPr>
          <w:iCs/>
          <w:rFonts w:ascii="Times New Roman" w:hAnsi="Times New Roman" w:eastAsia="Times New Roman" w:cs="Times New Roman"/>
          <w:i/>
        </w:rPr>
        <w:t xml:space="preserve">Frontiers in Artificial Intelligence, 5</w:t>
      </w:r>
      <w:r>
        <w:rPr>
          <w:rFonts w:ascii="Times New Roman" w:hAnsi="Times New Roman" w:eastAsia="Times New Roman" w:cs="Times New Roman"/>
        </w:rPr>
        <w:t xml:space="preserve">, Article 832736.</w:t>
      </w:r>
    </w:p>
    <w:p>
      <w:pPr>
        <w:pStyle w:val="BodyText"/>
        <w:spacing w:line="480" w:lineRule="auto" w:after="0" w:before="0"/>
        <w:ind w:firstLine="720"/>
        <w:jc w:val="left"/>
      </w:pPr>
      <w:r>
        <w:rPr>
          <w:rFonts w:ascii="Times New Roman" w:hAnsi="Times New Roman" w:eastAsia="Times New Roman" w:cs="Times New Roman"/>
        </w:rPr>
        <w:t xml:space="preserve">Hampole, M., Papanikolaou, D., Schmidt, L. D. W., &amp; Seegmiller, B. (2025).</w:t>
      </w:r>
      <w:r>
        <w:rPr>
          <w:rFonts w:ascii="Times New Roman" w:hAnsi="Times New Roman" w:eastAsia="Times New Roman" w:cs="Times New Roman"/>
        </w:rPr>
        <w:t xml:space="preserve"> </w:t>
      </w:r>
      <w:r>
        <w:rPr>
          <w:iCs/>
          <w:rFonts w:ascii="Times New Roman" w:hAnsi="Times New Roman" w:eastAsia="Times New Roman" w:cs="Times New Roman"/>
          <w:i/>
        </w:rPr>
        <w:t xml:space="preserve">Artificial intelligence and the labor market</w:t>
      </w:r>
      <w:r>
        <w:rPr>
          <w:rFonts w:ascii="Times New Roman" w:hAnsi="Times New Roman" w:eastAsia="Times New Roman" w:cs="Times New Roman"/>
        </w:rPr>
        <w:t xml:space="preserve"> </w:t>
      </w:r>
      <w:r>
        <w:rPr>
          <w:rFonts w:ascii="Times New Roman" w:hAnsi="Times New Roman" w:eastAsia="Times New Roman" w:cs="Times New Roman"/>
        </w:rPr>
        <w:t xml:space="preserve">(NBER Working Paper No. 33509). National Bureau of Economic Research.</w:t>
      </w:r>
    </w:p>
    <w:p>
      <w:pPr>
        <w:pStyle w:val="BodyText"/>
        <w:spacing w:line="480" w:lineRule="auto" w:after="0" w:before="0"/>
        <w:ind w:firstLine="720"/>
        <w:jc w:val="left"/>
      </w:pPr>
      <w:r>
        <w:rPr>
          <w:rFonts w:ascii="Times New Roman" w:hAnsi="Times New Roman" w:eastAsia="Times New Roman" w:cs="Times New Roman"/>
        </w:rPr>
        <w:t xml:space="preserve">Hui, X., Reshef, O., &amp; Zhou, L. (2024). The short-term effects of generative artificial intelligence on employment: Evidence from an online labor market.</w:t>
      </w:r>
      <w:r>
        <w:rPr>
          <w:rFonts w:ascii="Times New Roman" w:hAnsi="Times New Roman" w:eastAsia="Times New Roman" w:cs="Times New Roman"/>
        </w:rPr>
        <w:t xml:space="preserve"> </w:t>
      </w:r>
      <w:r>
        <w:rPr>
          <w:iCs/>
          <w:rFonts w:ascii="Times New Roman" w:hAnsi="Times New Roman" w:eastAsia="Times New Roman" w:cs="Times New Roman"/>
          <w:i/>
        </w:rPr>
        <w:t xml:space="preserve">Organization Science, 35</w:t>
      </w:r>
      <w:r>
        <w:rPr>
          <w:rFonts w:ascii="Times New Roman" w:hAnsi="Times New Roman" w:eastAsia="Times New Roman" w:cs="Times New Roman"/>
        </w:rPr>
        <w:t xml:space="preserve">(6), 1977–1989.</w:t>
      </w:r>
    </w:p>
    <w:p>
      <w:pPr>
        <w:pStyle w:val="BodyText"/>
        <w:spacing w:line="480" w:lineRule="auto" w:after="0" w:before="0"/>
        <w:ind w:firstLine="720"/>
        <w:jc w:val="left"/>
      </w:pPr>
      <w:r>
        <w:rPr>
          <w:rFonts w:ascii="Times New Roman" w:hAnsi="Times New Roman" w:eastAsia="Times New Roman" w:cs="Times New Roman"/>
        </w:rPr>
        <w:t xml:space="preserve">Humlum, A., &amp; Vestergaard, E. (2025).</w:t>
      </w:r>
      <w:r>
        <w:rPr>
          <w:rFonts w:ascii="Times New Roman" w:hAnsi="Times New Roman" w:eastAsia="Times New Roman" w:cs="Times New Roman"/>
        </w:rPr>
        <w:t xml:space="preserve"> </w:t>
      </w:r>
      <w:r>
        <w:rPr>
          <w:iCs/>
          <w:rFonts w:ascii="Times New Roman" w:hAnsi="Times New Roman" w:eastAsia="Times New Roman" w:cs="Times New Roman"/>
          <w:i/>
        </w:rPr>
        <w:t xml:space="preserve">Large language models, small labor market effects</w:t>
      </w:r>
      <w:r>
        <w:rPr>
          <w:rFonts w:ascii="Times New Roman" w:hAnsi="Times New Roman" w:eastAsia="Times New Roman" w:cs="Times New Roman"/>
        </w:rPr>
        <w:t xml:space="preserve"> </w:t>
      </w:r>
      <w:r>
        <w:rPr>
          <w:rFonts w:ascii="Times New Roman" w:hAnsi="Times New Roman" w:eastAsia="Times New Roman" w:cs="Times New Roman"/>
        </w:rPr>
        <w:t xml:space="preserve">(BFI Working Paper No. 2025-56; NBER Working Paper No. 33777). Becker Friedman Institute and National Bureau of Economic Research.</w:t>
      </w:r>
    </w:p>
    <w:p>
      <w:pPr>
        <w:pStyle w:val="BodyText"/>
        <w:spacing w:line="480" w:lineRule="auto" w:after="0" w:before="0"/>
        <w:ind w:firstLine="720"/>
        <w:jc w:val="left"/>
      </w:pPr>
      <w:r>
        <w:rPr>
          <w:rFonts w:ascii="Times New Roman" w:hAnsi="Times New Roman" w:eastAsia="Times New Roman" w:cs="Times New Roman"/>
        </w:rPr>
        <w:t xml:space="preserve">Indeed Hiring Lab. (2026).</w:t>
      </w:r>
      <w:r>
        <w:rPr>
          <w:rFonts w:ascii="Times New Roman" w:hAnsi="Times New Roman" w:eastAsia="Times New Roman" w:cs="Times New Roman"/>
        </w:rPr>
        <w:t xml:space="preserve"> </w:t>
      </w:r>
      <w:r>
        <w:rPr>
          <w:iCs/>
          <w:rFonts w:ascii="Times New Roman" w:hAnsi="Times New Roman" w:eastAsia="Times New Roman" w:cs="Times New Roman"/>
          <w:i/>
        </w:rPr>
        <w:t xml:space="preserve">Job postings index, by sector, United States</w:t>
      </w:r>
      <w:r>
        <w:rPr>
          <w:rFonts w:ascii="Times New Roman" w:hAnsi="Times New Roman" w:eastAsia="Times New Roman" w:cs="Times New Roman"/>
        </w:rPr>
        <w:t xml:space="preserve"> </w:t>
      </w:r>
      <w:r>
        <w:rPr>
          <w:rFonts w:ascii="Times New Roman" w:hAnsi="Times New Roman" w:eastAsia="Times New Roman" w:cs="Times New Roman"/>
        </w:rPr>
        <w:t xml:space="preserve">[Data set]. Retrieved October 4, 2026. Creative Commons Attribution 4.0.</w:t>
      </w:r>
    </w:p>
    <w:p>
      <w:pPr>
        <w:pStyle w:val="BodyText"/>
        <w:spacing w:line="480" w:lineRule="auto" w:after="0" w:before="0"/>
        <w:ind w:firstLine="720"/>
        <w:jc w:val="left"/>
      </w:pPr>
      <w:r>
        <w:rPr>
          <w:rFonts w:ascii="Times New Roman" w:hAnsi="Times New Roman" w:eastAsia="Times New Roman" w:cs="Times New Roman"/>
        </w:rPr>
        <w:t xml:space="preserve">Jasperson, J. S., Carter, P. E., &amp; Zmud, R. W. (2005). A comprehensive conceptualization of post-adoptive behaviors associated with information technology enabled work systems.</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 29</w:t>
      </w:r>
      <w:r>
        <w:rPr>
          <w:rFonts w:ascii="Times New Roman" w:hAnsi="Times New Roman" w:eastAsia="Times New Roman" w:cs="Times New Roman"/>
        </w:rPr>
        <w:t xml:space="preserve">(3), 525–557.</w:t>
      </w:r>
    </w:p>
    <w:p>
      <w:pPr>
        <w:pStyle w:val="BodyText"/>
        <w:spacing w:line="480" w:lineRule="auto" w:after="0" w:before="0"/>
        <w:ind w:firstLine="720"/>
        <w:jc w:val="left"/>
      </w:pPr>
      <w:r>
        <w:rPr>
          <w:rFonts w:ascii="Times New Roman" w:hAnsi="Times New Roman" w:eastAsia="Times New Roman" w:cs="Times New Roman"/>
        </w:rPr>
        <w:t xml:space="preserve">Kim, S., Jin, G. Z., &amp; Lee, E. (2026).</w:t>
      </w:r>
      <w:r>
        <w:rPr>
          <w:rFonts w:ascii="Times New Roman" w:hAnsi="Times New Roman" w:eastAsia="Times New Roman" w:cs="Times New Roman"/>
        </w:rPr>
        <w:t xml:space="preserve"> </w:t>
      </w:r>
      <w:r>
        <w:rPr>
          <w:iCs/>
          <w:rFonts w:ascii="Times New Roman" w:hAnsi="Times New Roman" w:eastAsia="Times New Roman" w:cs="Times New Roman"/>
          <w:i/>
        </w:rPr>
        <w:t xml:space="preserve">Does generative AI crowd out human creators? Evidence from Pixiv</w:t>
      </w:r>
      <w:r>
        <w:rPr>
          <w:rFonts w:ascii="Times New Roman" w:hAnsi="Times New Roman" w:eastAsia="Times New Roman" w:cs="Times New Roman"/>
        </w:rPr>
        <w:t xml:space="preserve"> </w:t>
      </w:r>
      <w:r>
        <w:rPr>
          <w:rFonts w:ascii="Times New Roman" w:hAnsi="Times New Roman" w:eastAsia="Times New Roman" w:cs="Times New Roman"/>
        </w:rPr>
        <w:t xml:space="preserve">(NBER Working Paper No. 34733). National Bureau of Economic Research.</w:t>
      </w:r>
    </w:p>
    <w:p>
      <w:pPr>
        <w:pStyle w:val="BodyText"/>
        <w:spacing w:line="480" w:lineRule="auto" w:after="0" w:before="0"/>
        <w:ind w:firstLine="720"/>
        <w:jc w:val="left"/>
      </w:pPr>
      <w:r>
        <w:rPr>
          <w:rFonts w:ascii="Times New Roman" w:hAnsi="Times New Roman" w:eastAsia="Times New Roman" w:cs="Times New Roman"/>
        </w:rPr>
        <w:t xml:space="preserve">Leonardi, P. M. (2011). When flexible routines meet flexible technologies: Affordance, constraint, and the imbrication of human and material agencies.</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 35</w:t>
      </w:r>
      <w:r>
        <w:rPr>
          <w:rFonts w:ascii="Times New Roman" w:hAnsi="Times New Roman" w:eastAsia="Times New Roman" w:cs="Times New Roman"/>
        </w:rPr>
        <w:t xml:space="preserve">(1), 147–167.</w:t>
      </w:r>
    </w:p>
    <w:p>
      <w:pPr>
        <w:pStyle w:val="BodyText"/>
        <w:spacing w:line="480" w:lineRule="auto" w:after="0" w:before="0"/>
        <w:ind w:firstLine="720"/>
        <w:jc w:val="left"/>
      </w:pPr>
      <w:r>
        <w:rPr>
          <w:rFonts w:ascii="Times New Roman" w:hAnsi="Times New Roman" w:eastAsia="Times New Roman" w:cs="Times New Roman"/>
        </w:rPr>
        <w:t xml:space="preserve">Liang, H., Saraf, N., Hu, Q., &amp; Xue, Y. (2007). Assimilation of enterprise systems: The effect of institutional pressures and the mediating role of top management.</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 31</w:t>
      </w:r>
      <w:r>
        <w:rPr>
          <w:rFonts w:ascii="Times New Roman" w:hAnsi="Times New Roman" w:eastAsia="Times New Roman" w:cs="Times New Roman"/>
        </w:rPr>
        <w:t xml:space="preserve">(1), 59–87.</w:t>
      </w:r>
    </w:p>
    <w:p>
      <w:pPr>
        <w:pStyle w:val="BodyText"/>
        <w:spacing w:line="480" w:lineRule="auto" w:after="0" w:before="0"/>
        <w:ind w:firstLine="720"/>
        <w:jc w:val="left"/>
      </w:pPr>
      <w:r>
        <w:rPr>
          <w:rFonts w:ascii="Times New Roman" w:hAnsi="Times New Roman" w:eastAsia="Times New Roman" w:cs="Times New Roman"/>
        </w:rPr>
        <w:t xml:space="preserve">Melville, N., Kraemer, K., &amp; Gurbaxani, V. (2004). Information technology and organizational performance: An integrative model of IT business value.</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 28</w:t>
      </w:r>
      <w:r>
        <w:rPr>
          <w:rFonts w:ascii="Times New Roman" w:hAnsi="Times New Roman" w:eastAsia="Times New Roman" w:cs="Times New Roman"/>
        </w:rPr>
        <w:t xml:space="preserve">(2), 283–322.</w:t>
      </w:r>
    </w:p>
    <w:p>
      <w:pPr>
        <w:pStyle w:val="BodyText"/>
        <w:spacing w:line="480" w:lineRule="auto" w:after="0" w:before="0"/>
        <w:ind w:firstLine="720"/>
        <w:jc w:val="left"/>
      </w:pPr>
      <w:r>
        <w:rPr>
          <w:rFonts w:ascii="Times New Roman" w:hAnsi="Times New Roman" w:eastAsia="Times New Roman" w:cs="Times New Roman"/>
        </w:rPr>
        <w:t xml:space="preserve">National Center for O*NET Development. (2026).</w:t>
      </w:r>
      <w:r>
        <w:rPr>
          <w:rFonts w:ascii="Times New Roman" w:hAnsi="Times New Roman" w:eastAsia="Times New Roman" w:cs="Times New Roman"/>
        </w:rPr>
        <w:t xml:space="preserve"> </w:t>
      </w:r>
      <w:r>
        <w:rPr>
          <w:iCs/>
          <w:rFonts w:ascii="Times New Roman" w:hAnsi="Times New Roman" w:eastAsia="Times New Roman" w:cs="Times New Roman"/>
          <w:i/>
        </w:rPr>
        <w:t xml:space="preserve">O*NET database</w:t>
      </w:r>
      <w:r>
        <w:rPr>
          <w:rFonts w:ascii="Times New Roman" w:hAnsi="Times New Roman" w:eastAsia="Times New Roman" w:cs="Times New Roman"/>
        </w:rPr>
        <w:t xml:space="preserve"> </w:t>
      </w:r>
      <w:r>
        <w:rPr>
          <w:rFonts w:ascii="Times New Roman" w:hAnsi="Times New Roman" w:eastAsia="Times New Roman" w:cs="Times New Roman"/>
        </w:rPr>
        <w:t xml:space="preserve">(Version 29.1) [Data set]; ESCO crosswalk. Retrieved October 4, 2026. Creative Commons Attribution 4.0.</w:t>
      </w:r>
    </w:p>
    <w:p>
      <w:pPr>
        <w:pStyle w:val="BodyText"/>
        <w:spacing w:line="480" w:lineRule="auto" w:after="0" w:before="0"/>
        <w:ind w:firstLine="720"/>
        <w:jc w:val="left"/>
      </w:pPr>
      <w:r>
        <w:rPr>
          <w:rFonts w:ascii="Times New Roman" w:hAnsi="Times New Roman" w:eastAsia="Times New Roman" w:cs="Times New Roman"/>
        </w:rPr>
        <w:t xml:space="preserve">Orlikowski, W. J. (2000). Using technology and constituting structures: A practice lens for studying technology in organizations.</w:t>
      </w:r>
      <w:r>
        <w:rPr>
          <w:rFonts w:ascii="Times New Roman" w:hAnsi="Times New Roman" w:eastAsia="Times New Roman" w:cs="Times New Roman"/>
        </w:rPr>
        <w:t xml:space="preserve"> </w:t>
      </w:r>
      <w:r>
        <w:rPr>
          <w:iCs/>
          <w:rFonts w:ascii="Times New Roman" w:hAnsi="Times New Roman" w:eastAsia="Times New Roman" w:cs="Times New Roman"/>
          <w:i/>
        </w:rPr>
        <w:t xml:space="preserve">Organization Science, 11</w:t>
      </w:r>
      <w:r>
        <w:rPr>
          <w:rFonts w:ascii="Times New Roman" w:hAnsi="Times New Roman" w:eastAsia="Times New Roman" w:cs="Times New Roman"/>
        </w:rPr>
        <w:t xml:space="preserve">(4), 404–428.</w:t>
      </w:r>
    </w:p>
    <w:p>
      <w:pPr>
        <w:pStyle w:val="BodyText"/>
        <w:spacing w:line="480" w:lineRule="auto" w:after="0" w:before="0"/>
        <w:ind w:firstLine="720"/>
        <w:jc w:val="left"/>
      </w:pPr>
      <w:r>
        <w:rPr>
          <w:rFonts w:ascii="Times New Roman" w:hAnsi="Times New Roman" w:eastAsia="Times New Roman" w:cs="Times New Roman"/>
        </w:rPr>
        <w:t xml:space="preserve">Rai, A., Constantinides, P., &amp; Sarker, S. (2019). Next-generation digital platforms: Toward human–AI hybrids.</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 43</w:t>
      </w:r>
      <w:r>
        <w:rPr>
          <w:rFonts w:ascii="Times New Roman" w:hAnsi="Times New Roman" w:eastAsia="Times New Roman" w:cs="Times New Roman"/>
        </w:rPr>
        <w:t xml:space="preserve">(1), iii–ix.</w:t>
      </w:r>
    </w:p>
    <w:p>
      <w:pPr>
        <w:pStyle w:val="BodyText"/>
        <w:spacing w:line="480" w:lineRule="auto" w:after="0" w:before="0"/>
        <w:ind w:firstLine="720"/>
        <w:jc w:val="left"/>
      </w:pPr>
      <w:r>
        <w:rPr>
          <w:rFonts w:ascii="Times New Roman" w:hAnsi="Times New Roman" w:eastAsia="Times New Roman" w:cs="Times New Roman"/>
        </w:rPr>
        <w:t xml:space="preserve">Statistics Canada. (2026).</w:t>
      </w:r>
      <w:r>
        <w:rPr>
          <w:rFonts w:ascii="Times New Roman" w:hAnsi="Times New Roman" w:eastAsia="Times New Roman" w:cs="Times New Roman"/>
        </w:rPr>
        <w:t xml:space="preserve"> </w:t>
      </w:r>
      <w:r>
        <w:rPr>
          <w:iCs/>
          <w:rFonts w:ascii="Times New Roman" w:hAnsi="Times New Roman" w:eastAsia="Times New Roman" w:cs="Times New Roman"/>
          <w:i/>
        </w:rPr>
        <w:t xml:space="preserve">Job vacancies by occupation</w:t>
      </w:r>
      <w:r>
        <w:rPr>
          <w:rFonts w:ascii="Times New Roman" w:hAnsi="Times New Roman" w:eastAsia="Times New Roman" w:cs="Times New Roman"/>
        </w:rPr>
        <w:t xml:space="preserve"> </w:t>
      </w:r>
      <w:r>
        <w:rPr>
          <w:rFonts w:ascii="Times New Roman" w:hAnsi="Times New Roman" w:eastAsia="Times New Roman" w:cs="Times New Roman"/>
        </w:rPr>
        <w:t xml:space="preserve">(Table 14-10-0444; NOC 2021) [Data set]. Retrieved October 4, 2026. Statistics Canada Open Licence.</w:t>
      </w:r>
    </w:p>
    <w:p>
      <w:pPr>
        <w:pStyle w:val="BodyText"/>
        <w:spacing w:line="480" w:lineRule="auto" w:after="0" w:before="0"/>
        <w:ind w:firstLine="720"/>
        <w:jc w:val="left"/>
      </w:pPr>
      <w:r>
        <w:rPr>
          <w:rFonts w:ascii="Times New Roman" w:hAnsi="Times New Roman" w:eastAsia="Times New Roman" w:cs="Times New Roman"/>
        </w:rPr>
        <w:t xml:space="preserve">Susarla, A., Gopal, R., Thatcher, J. B., &amp; Sarker, S. (2023). The Janus effect of generative AI: Charting the path for responsible conduct of scholarly activities in information systems.</w:t>
      </w:r>
      <w:r>
        <w:rPr>
          <w:rFonts w:ascii="Times New Roman" w:hAnsi="Times New Roman" w:eastAsia="Times New Roman" w:cs="Times New Roman"/>
        </w:rPr>
        <w:t xml:space="preserve"> </w:t>
      </w:r>
      <w:r>
        <w:rPr>
          <w:iCs/>
          <w:rFonts w:ascii="Times New Roman" w:hAnsi="Times New Roman" w:eastAsia="Times New Roman" w:cs="Times New Roman"/>
          <w:i/>
        </w:rPr>
        <w:t xml:space="preserve">Information Systems Research, 34</w:t>
      </w:r>
      <w:r>
        <w:rPr>
          <w:rFonts w:ascii="Times New Roman" w:hAnsi="Times New Roman" w:eastAsia="Times New Roman" w:cs="Times New Roman"/>
        </w:rPr>
        <w:t xml:space="preserve">(2), 399–408.</w:t>
      </w:r>
    </w:p>
    <w:p>
      <w:pPr>
        <w:pStyle w:val="BodyText"/>
        <w:spacing w:line="480" w:lineRule="auto" w:after="0" w:before="0"/>
        <w:ind w:firstLine="720"/>
        <w:jc w:val="left"/>
      </w:pPr>
      <w:r>
        <w:rPr>
          <w:rFonts w:ascii="Times New Roman" w:hAnsi="Times New Roman" w:eastAsia="Times New Roman" w:cs="Times New Roman"/>
        </w:rPr>
        <w:t xml:space="preserve">Tambe, P., &amp; Hitt, L. M. (2012). The productivity of information technology investments: New evidence from IT labor data.</w:t>
      </w:r>
      <w:r>
        <w:rPr>
          <w:rFonts w:ascii="Times New Roman" w:hAnsi="Times New Roman" w:eastAsia="Times New Roman" w:cs="Times New Roman"/>
        </w:rPr>
        <w:t xml:space="preserve"> </w:t>
      </w:r>
      <w:r>
        <w:rPr>
          <w:iCs/>
          <w:rFonts w:ascii="Times New Roman" w:hAnsi="Times New Roman" w:eastAsia="Times New Roman" w:cs="Times New Roman"/>
          <w:i/>
        </w:rPr>
        <w:t xml:space="preserve">Information Systems Research, 23</w:t>
      </w:r>
      <w:r>
        <w:rPr>
          <w:rFonts w:ascii="Times New Roman" w:hAnsi="Times New Roman" w:eastAsia="Times New Roman" w:cs="Times New Roman"/>
        </w:rPr>
        <w:t xml:space="preserve">(3-part-1), 599–617.</w:t>
      </w:r>
    </w:p>
    <w:p>
      <w:pPr>
        <w:pStyle w:val="BodyText"/>
        <w:spacing w:line="480" w:lineRule="auto" w:after="0" w:before="0"/>
        <w:ind w:firstLine="720"/>
        <w:jc w:val="left"/>
      </w:pPr>
      <w:r>
        <w:rPr>
          <w:rFonts w:ascii="Times New Roman" w:hAnsi="Times New Roman" w:eastAsia="Times New Roman" w:cs="Times New Roman"/>
        </w:rPr>
        <w:t xml:space="preserve">Teece, D. J. (1986). Profiting from technological innovation: Implications for integration, collaboration, licensing and public policy.</w:t>
      </w:r>
      <w:r>
        <w:rPr>
          <w:rFonts w:ascii="Times New Roman" w:hAnsi="Times New Roman" w:eastAsia="Times New Roman" w:cs="Times New Roman"/>
        </w:rPr>
        <w:t xml:space="preserve"> </w:t>
      </w:r>
      <w:r>
        <w:rPr>
          <w:iCs/>
          <w:rFonts w:ascii="Times New Roman" w:hAnsi="Times New Roman" w:eastAsia="Times New Roman" w:cs="Times New Roman"/>
          <w:i/>
        </w:rPr>
        <w:t xml:space="preserve">Research Policy, 15</w:t>
      </w:r>
      <w:r>
        <w:rPr>
          <w:rFonts w:ascii="Times New Roman" w:hAnsi="Times New Roman" w:eastAsia="Times New Roman" w:cs="Times New Roman"/>
        </w:rPr>
        <w:t xml:space="preserve">(6), 285–305.</w:t>
      </w:r>
    </w:p>
    <w:p>
      <w:pPr>
        <w:pStyle w:val="BodyText"/>
        <w:spacing w:line="480" w:lineRule="auto" w:after="0" w:before="0"/>
        <w:ind w:firstLine="720"/>
        <w:jc w:val="left"/>
      </w:pPr>
      <w:r>
        <w:rPr>
          <w:rFonts w:ascii="Times New Roman" w:hAnsi="Times New Roman" w:eastAsia="Times New Roman" w:cs="Times New Roman"/>
        </w:rPr>
        <w:t xml:space="preserve">Wade, M., &amp; Hulland, J. (2004). The resource-based view and information systems research: Review, extension, and suggestions for future research.</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 28</w:t>
      </w:r>
      <w:r>
        <w:rPr>
          <w:rFonts w:ascii="Times New Roman" w:hAnsi="Times New Roman" w:eastAsia="Times New Roman" w:cs="Times New Roman"/>
        </w:rPr>
        <w:t xml:space="preserve">(1), 107–142.</w:t>
      </w:r>
    </w:p>
    <w:p>
      <w:pPr>
        <w:pStyle w:val="BodyText"/>
        <w:spacing w:line="480" w:lineRule="auto" w:after="0" w:before="0"/>
        <w:ind w:firstLine="720"/>
        <w:jc w:val="left"/>
      </w:pPr>
      <w:r>
        <w:rPr>
          <w:rFonts w:ascii="Times New Roman" w:hAnsi="Times New Roman" w:eastAsia="Times New Roman" w:cs="Times New Roman"/>
        </w:rPr>
        <w:t xml:space="preserve">Web Data Commons. (2024).</w:t>
      </w:r>
      <w:r>
        <w:rPr>
          <w:rFonts w:ascii="Times New Roman" w:hAnsi="Times New Roman" w:eastAsia="Times New Roman" w:cs="Times New Roman"/>
        </w:rPr>
        <w:t xml:space="preserve"> </w:t>
      </w:r>
      <w:r>
        <w:rPr>
          <w:iCs/>
          <w:rFonts w:ascii="Times New Roman" w:hAnsi="Times New Roman" w:eastAsia="Times New Roman" w:cs="Times New Roman"/>
          <w:i/>
        </w:rPr>
        <w:t xml:space="preserve">Schema.org JobPosting class-specific subsets, crawls 2022-12, 2023-12, and 2024-12</w:t>
      </w:r>
      <w:r>
        <w:rPr>
          <w:rFonts w:ascii="Times New Roman" w:hAnsi="Times New Roman" w:eastAsia="Times New Roman" w:cs="Times New Roman"/>
        </w:rPr>
        <w:t xml:space="preserve"> </w:t>
      </w:r>
      <w:r>
        <w:rPr>
          <w:rFonts w:ascii="Times New Roman" w:hAnsi="Times New Roman" w:eastAsia="Times New Roman" w:cs="Times New Roman"/>
        </w:rPr>
        <w:t xml:space="preserve">[Data sets]. University of Mannheim. https://webdatacommons.org/structureddata/</w:t>
      </w:r>
    </w:p>
    <w:p>
      <w:pPr>
        <w:pStyle w:val="BodyText"/>
        <w:spacing w:line="480" w:lineRule="auto" w:after="0" w:before="0"/>
        <w:ind w:firstLine="720"/>
        <w:jc w:val="left"/>
      </w:pPr>
      <w:r>
        <w:rPr>
          <w:rFonts w:ascii="Times New Roman" w:hAnsi="Times New Roman" w:eastAsia="Times New Roman" w:cs="Times New Roman"/>
        </w:rPr>
        <w:t xml:space="preserve">Webb, M. (2020).</w:t>
      </w:r>
      <w:r>
        <w:rPr>
          <w:rFonts w:ascii="Times New Roman" w:hAnsi="Times New Roman" w:eastAsia="Times New Roman" w:cs="Times New Roman"/>
        </w:rPr>
        <w:t xml:space="preserve"> </w:t>
      </w:r>
      <w:r>
        <w:rPr>
          <w:iCs/>
          <w:rFonts w:ascii="Times New Roman" w:hAnsi="Times New Roman" w:eastAsia="Times New Roman" w:cs="Times New Roman"/>
          <w:i/>
        </w:rPr>
        <w:t xml:space="preserve">The impact of artificial intelligence on the labor market</w:t>
      </w:r>
      <w:r>
        <w:rPr>
          <w:rFonts w:ascii="Times New Roman" w:hAnsi="Times New Roman" w:eastAsia="Times New Roman" w:cs="Times New Roman"/>
        </w:rPr>
        <w:t xml:space="preserve"> </w:t>
      </w:r>
      <w:r>
        <w:rPr>
          <w:rFonts w:ascii="Times New Roman" w:hAnsi="Times New Roman" w:eastAsia="Times New Roman" w:cs="Times New Roman"/>
        </w:rPr>
        <w:t xml:space="preserve">[Working paper]. SSRN. https://ssrn.com/abstract=3482150</w:t>
      </w:r>
    </w:p>
    <w:p>
      <w:pPr>
        <w:pStyle w:val="BodyText"/>
        <w:spacing w:line="480" w:lineRule="auto" w:after="0" w:before="0"/>
        <w:ind w:firstLine="720"/>
        <w:jc w:val="left"/>
      </w:pPr>
      <w:r>
        <w:rPr>
          <w:rFonts w:ascii="Times New Roman" w:hAnsi="Times New Roman" w:eastAsia="Times New Roman" w:cs="Times New Roman"/>
        </w:rPr>
        <w:t xml:space="preserve">Zhou, E., &amp; Lee, D. (2024). Generative artificial intelligence, human creativity, and art.</w:t>
      </w:r>
      <w:r>
        <w:rPr>
          <w:rFonts w:ascii="Times New Roman" w:hAnsi="Times New Roman" w:eastAsia="Times New Roman" w:cs="Times New Roman"/>
        </w:rPr>
        <w:t xml:space="preserve"> </w:t>
      </w:r>
      <w:r>
        <w:rPr>
          <w:iCs/>
          <w:rFonts w:ascii="Times New Roman" w:hAnsi="Times New Roman" w:eastAsia="Times New Roman" w:cs="Times New Roman"/>
          <w:i/>
        </w:rPr>
        <w:t xml:space="preserve">PNAS Nexus, 3</w:t>
      </w:r>
      <w:r>
        <w:rPr>
          <w:rFonts w:ascii="Times New Roman" w:hAnsi="Times New Roman" w:eastAsia="Times New Roman" w:cs="Times New Roman"/>
        </w:rPr>
        <w:t xml:space="preserve">(3), Article pgae052.</w:t>
      </w:r>
    </w:p>
    <w:p>
      <w:pPr>
        <w:pStyle w:val="BodyText"/>
        <w:spacing w:line="480" w:lineRule="auto" w:after="0" w:before="0"/>
        <w:ind w:firstLine="720"/>
        <w:jc w:val="left"/>
      </w:pPr>
      <w:r>
        <w:rPr>
          <w:rFonts w:ascii="Times New Roman" w:hAnsi="Times New Roman" w:eastAsia="Times New Roman" w:cs="Times New Roman"/>
        </w:rPr>
        <w:t xml:space="preserve">Zhu, K., &amp; Kraemer, K. L. (2005). Post-adoption variations in usage and value of e-business by organizations: Cross-country evidence from the retail industry.</w:t>
      </w:r>
      <w:r>
        <w:rPr>
          <w:rFonts w:ascii="Times New Roman" w:hAnsi="Times New Roman" w:eastAsia="Times New Roman" w:cs="Times New Roman"/>
        </w:rPr>
        <w:t xml:space="preserve"> </w:t>
      </w:r>
      <w:r>
        <w:rPr>
          <w:iCs/>
          <w:rFonts w:ascii="Times New Roman" w:hAnsi="Times New Roman" w:eastAsia="Times New Roman" w:cs="Times New Roman"/>
          <w:i/>
        </w:rPr>
        <w:t xml:space="preserve">Information Systems Research, 16</w:t>
      </w:r>
      <w:r>
        <w:rPr>
          <w:rFonts w:ascii="Times New Roman" w:hAnsi="Times New Roman" w:eastAsia="Times New Roman" w:cs="Times New Roman"/>
        </w:rPr>
        <w:t xml:space="preserve">(1), 61–84.</w:t>
      </w:r>
    </w:p>
    <w:bookmarkEnd w:id="62"/>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pPr>
      <w:spacing w:after="180" w:before="180"/>
    </w:pPr>
    <w:qFormat/>
    <w:rPr>
      <w:rFonts w:ascii="Times New Roman" w:hAnsi="Times New Roman" w:eastAsia="Times New Roman" w:cs="Times New Roman"/>
      <w:sz w:val="24"/>
    </w:rPr>
  </w:style>
  <w:style w:customStyle="1" w:styleId="FirstParagraph" w:type="paragraph">
    <w:name w:val="First Paragraph"/>
    <w:basedOn w:val="BodyText"/>
    <w:next w:val="BodyText"/>
    <w:qFormat/>
    <w:rPr>
      <w:rFonts w:ascii="Times New Roman" w:hAnsi="Times New Roman" w:eastAsia="Times New Roman" w:cs="Times New Roman"/>
      <w:sz w:val="24"/>
    </w:rPr>
  </w:style>
  <w:style w:customStyle="1" w:styleId="Compact" w:type="paragraph">
    <w:name w:val="Compact"/>
    <w:basedOn w:val="BodyText"/>
    <w:qFormat/>
    <w:pPr>
      <w:spacing w:after="36" w:before="36"/>
    </w:pPr>
    <w:rPr>
      <w:rFonts w:ascii="Times New Roman" w:hAnsi="Times New Roman" w:eastAsia="Times New Roman" w:cs="Times New Roman"/>
      <w:sz w:val="24"/>
    </w:rPr>
  </w:style>
  <w:style w:styleId="Title" w:type="paragraph">
    <w:name w:val="Title"/>
    <w:basedOn w:val="Normal"/>
    <w:next w:val="BodyText"/>
    <w:qFormat/>
    <w:pPr>
      <w:keepNext/>
      <w:keepLines/>
      <w:spacing w:after="120" w:before="240"/>
      <w:jc w:val="center"/>
    </w:pPr>
    <w:rPr>
      <w:rFonts w:ascii="Times New Roman" w:hAnsi="Times New Roman" w:eastAsia="Times New Roman" w:cs="Times New Roman"/>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sz w:val="24"/>
    </w:rPr>
  </w:style>
  <w:style w:styleId="Date" w:type="paragraph">
    <w:name w:val="Date"/>
    <w:next w:val="BodyText"/>
    <w:qFormat/>
    <w:pPr>
      <w:keepNext/>
      <w:keepLines/>
      <w:jc w:val="center"/>
    </w:pPr>
    <w:rPr>
      <w:rFonts w:ascii="Times New Roman" w:hAnsi="Times New Roman" w:eastAsia="Times New Roman" w:cs="Times New Roman"/>
      <w:sz w:val="24"/>
    </w:rPr>
  </w:style>
  <w:style w:customStyle="1" w:styleId="AbstractTitle" w:type="paragraph">
    <w:name w:val="Abstract Title"/>
    <w:basedOn w:val="Normal"/>
    <w:next w:val="Abstract"/>
    <w:qFormat/>
    <w:pPr>
      <w:keepNext/>
      <w:keepLines/>
      <w:jc w:val="center"/>
      <w:spacing w:after="0" w:before="300"/>
    </w:pPr>
    <w:rPr>
      <w:sz w:val="24"/>
      <w:szCs w:val="20"/>
      <w:rFonts w:ascii="Times New Roman" w:hAnsi="Times New Roman" w:eastAsia="Times New Roman" w:cs="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4"/>
      <w:szCs w:val="20"/>
    </w:rPr>
  </w:style>
  <w:style w:styleId="Bibliography" w:type="paragraph">
    <w:name w:val="Bibliography"/>
    <w:basedOn w:val="Normal"/>
    <w:next w:val="Bibliography"/>
    <w:qFormat/>
    <w:pPr/>
    <w:rPr>
      <w:rFonts w:ascii="Times New Roman" w:hAnsi="Times New Roman" w:eastAsia="Times New Roman" w:cs="Times New Roman"/>
      <w:sz w:val="24"/>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120" w:before="240"/>
      <w:jc w:val="center"/>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120" w:before="240"/>
      <w:jc w:val="left"/>
      <w:outlineLvl w:val="2"/>
    </w:pPr>
    <w:rPr>
      <w:rFonts w:ascii="Times New Roman" w:hAnsi="Times New Roman" w:eastAsia="Times New Roman" w:cs="Times New Roman"/>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rPr>
      <w:rFonts w:ascii="Times New Roman" w:hAnsi="Times New Roman" w:eastAsia="Times New Roman" w:cs="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sz w:val="24"/>
    </w:rPr>
  </w:style>
  <w:style w:customStyle="1" w:styleId="Definition" w:type="paragraph">
    <w:name w:val="Definition"/>
    <w:basedOn w:val="Normal"/>
    <w:rPr>
      <w:rFonts w:ascii="Times New Roman" w:hAnsi="Times New Roman" w:eastAsia="Times New Roman" w:cs="Times New Roman"/>
      <w:sz w:val="24"/>
    </w:rPr>
  </w:style>
  <w:style w:styleId="Caption" w:type="paragraph">
    <w:name w:val="Caption"/>
    <w:basedOn w:val="Normal"/>
    <w:link w:val="BodyTextChar"/>
    <w:pPr>
      <w:spacing w:after="120" w:before="0"/>
    </w:pPr>
    <w:rPr>
      <w:rFonts w:ascii="Times New Roman" w:hAnsi="Times New Roman" w:eastAsia="Times New Roman" w:cs="Times New Roman"/>
      <w:i/>
      <w:sz w:val="24"/>
    </w:rPr>
  </w:style>
  <w:style w:customStyle="1" w:styleId="TableCaption" w:type="paragraph">
    <w:name w:val="Table Caption"/>
    <w:basedOn w:val="Caption"/>
    <w:pPr>
      <w:keepNext/>
    </w:pPr>
    <w:rPr>
      <w:rFonts w:ascii="Times New Roman" w:hAnsi="Times New Roman" w:eastAsia="Times New Roman" w:cs="Times New Roman"/>
      <w:sz w:val="24"/>
    </w:rPr>
  </w:style>
  <w:style w:customStyle="1" w:styleId="ImageCaption" w:type="paragraph">
    <w:name w:val="Image Caption"/>
    <w:basedOn w:val="Caption"/>
    <w:rPr>
      <w:rFonts w:ascii="Times New Roman" w:hAnsi="Times New Roman" w:eastAsia="Times New Roman" w:cs="Times New Roman"/>
      <w:sz w:val="24"/>
    </w:rPr>
  </w:style>
  <w:style w:customStyle="1" w:styleId="Figure" w:type="paragraph">
    <w:name w:val="Figure"/>
    <w:basedOn w:val="Normal"/>
    <w:rPr>
      <w:rFonts w:ascii="Times New Roman" w:hAnsi="Times New Roman" w:eastAsia="Times New Roman" w:cs="Times New Roman"/>
      <w:sz w:val="24"/>
    </w:rPr>
  </w:style>
  <w:style w:customStyle="1" w:styleId="CaptionedFigure" w:type="paragraph">
    <w:name w:val="Captioned Figure"/>
    <w:basedOn w:val="Figure"/>
    <w:pPr>
      <w:keepNext/>
    </w:pPr>
    <w:rPr>
      <w:rFonts w:ascii="Times New Roman" w:hAnsi="Times New Roman" w:eastAsia="Times New Roman" w:cs="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sz w:val="24"/>
    </w:rPr>
  </w:style>
  <w:style w:type="paragraph" w:customStyle="1" w:styleId="SourceCode">
    <w:name w:val="Source Code"/>
    <w:basedOn w:val="Normal"/>
    <w:link w:val="VerbatimChar"/>
    <w:pPr>
      <w:wordWrap w:val="off"/>
    </w:pPr>
    <w:rPr>
      <w:rFonts w:ascii="Times New Roman" w:hAnsi="Times New Roman" w:eastAsia="Times New Roman" w:cs="Times New Roman"/>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Acquired, Not Yet Assimilated? Complementary Assets and the Limits of Occupation-Level Evidence on Generative Visual AI</dc:title>
  <dc:creator/>
  <cp:keywords/>
  <dcterms:created xsi:type="dcterms:W3CDTF">2026-10-28T07:56:35Z</dcterms:created>
  <dcterms:modified xsi:type="dcterms:W3CDTF">2026-10-28T07:56:35Z</dcterms:modified>
</cp:coreProperties>
</file>

<file path=docProps/custom.xml><?xml version="1.0" encoding="utf-8"?>
<Properties xmlns="http://schemas.openxmlformats.org/officeDocument/2006/custom-properties" xmlns:vt="http://schemas.openxmlformats.org/officeDocument/2006/docPropsVTypes"/>
</file>