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Pricing and Auditing Forgetting: Shapley-Based Compensation and Enforcement When Developers Measure Their Own Unlearning</w:t>
      </w:r>
    </w:p>
    <w:p>
      <w:pPr>
        <w:pStyle w:val="Heading2"/>
      </w:pPr>
      <w:r>
        <w:t>Abstract</w:t>
      </w:r>
    </w:p>
    <w:p>
      <w:pPr>
        <w:ind w:firstLine="0"/>
      </w:pPr>
      <w:r>
        <w:t xml:space="preserve">Organizations that train language models on third-party data increasingly receive withdrawal requests that they can honor exactly only by retraining. We ask how such withdrawals should be priced, and how compliance can be verified, when the developer both performs and measures the removal. Modeling contributors as players in a coalitional game, we show that the Shapley values of the contribution and deletion games coincide, so that one rule governs pricing at acquisition and compensation at withdrawal, although replication can game it. When approximate unlearning supplies the counterfactual utilities, residual knowledge enters the estimated values additively, and the aggregate bias is determined by the performance a model retains once every contributor has nominally been removed. In a regulator–developer model, limited audit capacity rations protection and leaves the data that is hardest to forget least protected, audit power has a ceiling once developers can tune unlearning to a known test, and a declare-and-pay liability rule produces continuous rather than all-or-nothing deterrence. In experiments on fictitious authors with exact retraining of every coalition and five seeds, the aggregate bias changes sign as unlearning strengthens, individual biases remain large where it is small, and a brief relearning attack restores knowledge far beyond what it recovers in a retrained model.</w:t>
      </w:r>
    </w:p>
    <w:p>
      <w:pPr>
        <w:ind w:firstLine="0"/>
      </w:pPr>
      <w:r>
        <w:rPr>
          <w:b/>
        </w:rPr>
        <w:t>Keywords:</w:t>
      </w:r>
      <w:r>
        <w:t xml:space="preserve"> machine unlearning, data valuation, Shapley value, compensation for data, large language models, audit</w:t>
      </w:r>
    </w:p>
    <w:p>
      <w:pPr>
        <w:pStyle w:val="Heading2"/>
        <w:pageBreakBefore/>
      </w:pPr>
      <w:r>
        <w:t>1 Introduction</w:t>
      </w:r>
    </w:p>
    <w:p>
      <w:pPr/>
      <w:r>
        <w:t xml:space="preserve">Firms that build products on large language models increasingly rely on data they do not own, including licensed archives, user-generated content, and personal data covered by data-protection law. Article 17 of the GDPR (European Union 2016) establishes a right to erasure, the EU AI Act (European Union 2024) imposes transparency obligations on providers of general-purpose models, and content owners have begun to demand removal or payment. The question for an organization is therefore no longer only whether a model may be trained on a given dataset, but also what honoring a later withdrawal will cost, who will bear that cost, and how outsiders can tell whether it has been paid. These are questions about the pricing of information and the verification of compliance, which information systems research has examined for personal data (Smith et al. 2011) and the management of AI (Berente et al. 2021), and economists have studied in the sale of data (Bergemann and Bonatti 2019). The present setting differs in one respect: a trained model, the product being returned, cannot be inspected to establish whether the data is really gone. We therefore ask how withdrawal should be priced, and compliance made verifiable, when the developer both performs and measures the removal.</w:t>
      </w:r>
    </w:p>
    <w:p>
      <w:pPr/>
      <w:r>
        <w:t xml:space="preserve">Retraining from scratch is the only method guaranteed to remove data, but it is too expensive to run on demand for large models. Machine unlearning offers cheaper approximate alternatives of uncertain effect, since much of what they forget appears to be recoverable with modest effort. A separate literature asks how much data is worth to a model: Data Shapley and its descendants treat training examples, or groups of examples, as players in a cooperative game whose payoff is model performance. The two literatures rest on the same object, since valuation asks what happens when data is added and unlearning what happens when it is removed. A regulator that required both compensation for use and a right to withdraw would want the two calculations to agree.</w:t>
      </w:r>
    </w:p>
    <w:p>
      <w:pPr/>
      <w:r>
        <w:t xml:space="preserve">This paper makes four contributions.</w:t>
      </w:r>
    </w:p>
    <w:p>
      <w:pPr/>
      <w:r>
        <w:t xml:space="preserve">First, we connect pricing and withdrawal. A contribution game values the inclusion of a coalition's data in training, and a deletion game values its removal. The deletion game is the dual of the contribution game, and a classical property of the Shapley value implies that the two assign every contributor the same value, so that Shapley-based pricing at acquisition and Shapley-based compensation at deletion are one rule. The rule is not neutral to how data is packaged, however: a contributor who submits a replica of its data as a second player gains exactly when its marginal value is concentrated in small coalitions (Section 3.4).</w:t>
      </w:r>
    </w:p>
    <w:p>
      <w:pPr/>
      <w:r>
        <w:t xml:space="preserve">Second, we study what happens when counterfactual utilities must be generated by approximate unlearning rather than retraining. Modeling the gap as a residual game, we show from the linearity of the Shapley value that the estimated values equal the true values plus the Shapley value of the residual game, and that the total bias equals minus the residual at the empty coalition. If an unlearning method leaves some competence intact after every contributor has nominally been removed, the estimated values understate the true total by exactly that amount, although individual biases may take either sign. The aggregate identity survives sequential unlearning once the residual is averaged over removal orders, and a measure of path sensitivity bounds the departure of individual values from an order-averaged benchmark (Section 4.3).</w:t>
      </w:r>
    </w:p>
    <w:p>
      <w:pPr/>
      <w:r>
        <w:t xml:space="preserve">Third, and most centrally, we study enforcement. A developer that is liable for the value of the data it retains has an obvious reason to under-unlearn and to over-report. We derive the condition for truthful reporting and the regulator's cost-minimizing combination of audit frequency and audit power, and show that letting the developer estimate the penalty base reduces the residual knowledge that audits can deter (Section 5.2). We then relax the assumptions of a single request, a fixed test, and complete information. With limited audit capacity, protection is rationed and the data hardest to forget is protected least (Section 5.4); when the developer can tune its unlearning to the test, audit power has a ceiling beyond which deterrence is lost (Section 5.5); investment in unlearnable training follows a threshold in the credibility of enforcement (Section 5.6); the relevant measure of test power is detection net of false positives (Section 5.7); and a declare-and-pay liability rule replaces the cliff of the binary model with continuous deterrence (Section 5.8).</w:t>
      </w:r>
    </w:p>
    <w:p>
      <w:pPr/>
      <w:r>
        <w:t xml:space="preserve">Fourth, we draw out implications for organizations and regulators (Section 7): who should compute the values on which enforcement relies, how audit effort should be divided, why tests should be hard to anticipate, and why contributor identity belongs in the pricing rule.</w:t>
      </w:r>
    </w:p>
    <w:p>
      <w:pPr/>
      <w:r>
        <w:t xml:space="preserve">We complement the theory with experiments on fictitious authors, which define contributors cleanly and allow exact retraining on small models. We retrain every coalition of four contributor groups for a 0.5B-parameter model, repeat the experiment over five seeds, and add a relearning attack with a retrained control, a concealment arm, and one run with duplicated training data. Redundant contributors are left for future work.</w:t>
      </w:r>
    </w:p>
    <w:p>
      <w:pPr>
        <w:pStyle w:val="Heading2"/>
      </w:pPr>
      <w:r>
        <w:t>2 Related Work</w:t>
      </w:r>
    </w:p>
    <w:p>
      <w:pPr/>
      <w:r>
        <w:rPr>
          <w:b/>
        </w:rPr>
        <w:t xml:space="preserve">Data valuation.</w:t>
      </w:r>
      <w:r>
        <w:t xml:space="preserve"> Ghorbani and Zou (2019) and, independently, Jia et al. (2019) proposed using the Shapley value (Shapley 1953) to value training data. Later work relaxed efficiency to obtain semivalues such as Beta Shapley (Kwon and Zou 2022) and Data Banzhaf (Wang and Jia 2023) and approximated marginal contributions with influence estimates (Koh and Liang 2017; Pruthi et al. 2020). We take these estimators as given and ask what changes when their counterfactual is produced by unlearning rather than retraining. Economists have analyzed data as a nonrival input (Jones and Tonetti 2020) and as a source of externalities when one person's data reveals information about others (Acemoglu et al. 2022), and the Shapley value has been characterized axiomatically in several ways (Young 1985; Roth 1988). We are not aware of work that uses the duality between contribution and deletion games to connect pricing with compensation for withdrawal.</w:t>
      </w:r>
    </w:p>
    <w:p>
      <w:pPr/>
      <w:r>
        <w:rPr>
          <w:b/>
        </w:rPr>
        <w:t xml:space="preserve">Machine unlearning.</w:t>
      </w:r>
      <w:r>
        <w:t xml:space="preserve"> Early formulations asked for a model indistinguishable from one retrained without the forget set (Cao and Yang 2015; Ginart et al. 2019), and exact methods such as SISA (Bourtoule et al. 2021) shard training so that only part of the model is retrained. For language models, most methods are approximate, including fine-tuning toward generic substitutes (Eldan and Russinovich 2023) and Negative Preference Optimization (Zhang et al. 2024), and are evaluated on benchmarks such as TOFU (Maini et al. 2024) and MUSE (Shi et al. 2024). Several studies find that unlearned knowledge can be recovered through light fine-tuning or adversarial prompting (Lynch et al. 2024; Łucki et al. 2024); we treat this as a premise and ask how it propagates into valuation.</w:t>
      </w:r>
    </w:p>
    <w:p>
      <w:pPr/>
      <w:r>
        <w:rPr>
          <w:b/>
        </w:rPr>
        <w:t xml:space="preserve">Data market design.</w:t>
      </w:r>
      <w:r>
        <w:t xml:space="preserve"> Research in information systems and market design treats data as a traded input whose appropriation is weak. Provenance stands in for quality when buyers cannot inspect legitimacy (Koutroumpis et al. 2020), personal-data markets stall because sellers cannot commit to downstream use (Spiekermann et al. 2015), intermediaries resell information products (Bergemann and Bonatti 2019; Bergemann et al. 2022), and marketplaces can elicit data and allocate payment (Agarwal et al. 2019). Gregory et al. (2021) locate the value of data in network effects, Krämer and Shekhar (2025) study their regulation, and Li et al. (2025) show that a right to choose whether to share can raise a firm's profit at the consumer's expense. These designs price a forward transaction; none prices a later withdrawal from a model that has already absorbed the data, or ties the price to a counterfactual that the paying party must itself approximate.</w:t>
      </w:r>
    </w:p>
    <w:p>
      <w:pPr/>
      <w:r>
        <w:rPr>
          <w:b/>
        </w:rPr>
        <w:t xml:space="preserve">Compliance and the right to erasure.</w:t>
      </w:r>
      <w:r>
        <w:t xml:space="preserve"> A second literature asks whether firms comply with rules whose violation is hard to observe. Privacy research reviews how individuals value and protect information (Smith et al. 2011; Bélanger and Crossler 2011; Culnan and Armstrong 1999; Xu et al. 2012), and at the firm level Greenaway et al. (2015) treat privacy orientation as an organizational stance, Wall et al. (2016) model selective violation of privacy and security rules, and Angst et al. (2017) find that security investments deter breaches only once institutional pressure is taken into account. Article 17 of the GDPR and the transparency duties of the AI Act carry the problem over to trained models, where erasure is owed but cannot be inspected, an obstacle Berente et al. (2021) call inscrutability. We read our audit model as a formalization of it.</w:t>
      </w:r>
    </w:p>
    <w:p>
      <w:pPr/>
      <w:r>
        <w:rPr>
          <w:b/>
        </w:rPr>
        <w:t xml:space="preserve">Property rules and liability rules.</w:t>
      </w:r>
      <w:r>
        <w:t xml:space="preserve"> Calabresi and Melamed (1972) distinguish a property rule, under which the holder of an entitlement can refuse a transfer, from a liability rule, under which another party may take the entitlement upon paying damages. Samuelson (2000) and Schwartz (2004) apply the distinction to personal data and caution against a pure property framing, because data are nonrival and consent does not internalize inferences about others (Acemoglu et al. 2022). Information systems research has mostly addressed the individual's decision to disclose rather than the remedy that follows a withdrawal. Section 5.3 uses the distinction directly: under a property rule the request must be honored, and Proposition 6 gives the condition under which that is incentive-compatible, whereas under a liability rule the developer may keep the data and pay damages, for which Proposition 1 supplies a measure.</w:t>
      </w:r>
    </w:p>
    <w:p>
      <w:pPr/>
      <w:r>
        <w:rPr>
          <w:b/>
        </w:rPr>
        <w:t xml:space="preserve">Manipulation of allocation rules.</w:t>
      </w:r>
      <w:r>
        <w:t xml:space="preserve"> Invariance to merging players is the axiom on which Lehrer (1988) builds the Banzhaf value, and Han et al. (2022) study how payoff allocations respond to replication in submodular games. We add a closed-form characterization of when replication pays under the Shapley value in general games (Section 3.4).</w:t>
      </w:r>
    </w:p>
    <w:p>
      <w:pPr>
        <w:pStyle w:val="Heading2"/>
      </w:pPr>
      <w:r>
        <w:t>3 Model</w:t>
      </w:r>
    </w:p>
    <w:p>
      <w:pPr>
        <w:pStyle w:val="Heading3"/>
      </w:pPr>
      <w:r>
        <w:t>3.1 The Contribution Game</w:t>
      </w:r>
    </w:p>
    <w:p>
      <w:pPr/>
      <w:r>
        <w:t xml:space="preserve">Let N = {1, …, n} be a set of data contributors, where contributor i owns a dataset D</w:t>
      </w:r>
      <w:r>
        <w:rPr>
          <w:vertAlign w:val="subscript"/>
        </w:rPr>
        <w:t xml:space="preserve">i</w:t>
      </w:r>
      <w:r>
        <w:t xml:space="preserve">. A developer trains a model on a base corpus D</w:t>
      </w:r>
      <w:r>
        <w:rPr>
          <w:vertAlign w:val="subscript"/>
        </w:rPr>
        <w:t xml:space="preserve">0</w:t>
      </w:r>
      <w:r>
        <w:t xml:space="preserve">, which is fixed and not subject to deletion, together with the data of a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(1)</w:t>
      </w:r>
    </w:p>
    <w:p>
      <w:pPr/>
      <w:r>
        <w:t>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(2)</w:t>
      </w:r>
    </w:p>
    <w:p>
      <w:pPr/>
      <w:r>
        <w:t xml:space="preserve">The Shapley value is the unique allocation that satisfies efficiency, symmetry, the null-player property, and additivity (Shapley 1953). Efficiency here means that the values sum to v(N), the total gain attributable to all contributors' data.</w:t>
      </w:r>
    </w:p>
    <w:p>
      <w:pPr/>
      <w:r>
        <w:t xml:space="preserve">We take contributors, rather than individual examples, as the players, for two reasons. First, deletion requests usually come from an identifiable party, such as an author, a publisher, or a data subject, and concern all of that party's data at once. Second, grouping keeps n small enough that sampling-based estimation remains feasible even when each evaluation of v is expensive.</w:t>
      </w:r>
    </w:p>
    <w:p>
      <w:pPr>
        <w:pStyle w:val="Heading3"/>
      </w:pPr>
      <w:r>
        <w:t>3.2 The Deletion Game</w:t>
      </w:r>
    </w:p>
    <w:p>
      <w:pPr/>
      <w:r>
        <w:t>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(3)</w:t>
      </w:r>
    </w:p>
    <w:p>
      <w:pPr/>
      <w:r>
        <w:t>We call w the deletion game. It satisfies w(∅) = 0 and w(N) = v(N). In the terminology of cooperative game theory, w is the dual of v.</w:t>
      </w:r>
    </w:p>
    <w:p>
      <w:pPr/>
      <w:r>
        <w:t xml:space="preserve">How should the loss from a removal be divided among the members of R, or, more generally, what deletion value should each contributor be assigned? The Shapley value of w is the natural candidate, and the next result shows that it adds nothing new.</w:t>
      </w:r>
    </w:p>
    <w:p>
      <w:pPr/>
      <w:r>
        <w:rPr>
          <w:b/>
        </w:rPr>
        <w:t>Proposition 1 (Duality).</w:t>
      </w:r>
      <w:r>
        <w:t xml:space="preserve"> For every contributor i, φ</w:t>
      </w:r>
      <w:r>
        <w:rPr>
          <w:vertAlign w:val="subscript"/>
        </w:rPr>
        <w:t xml:space="preserve">i</w:t>
      </w:r>
      <w:r>
        <w:t xml:space="preserve">(w) = φ</w:t>
      </w:r>
      <w:r>
        <w:rPr>
          <w:vertAlign w:val="subscript"/>
        </w:rPr>
        <w:t xml:space="preserve">i</w:t>
      </w:r>
      <w:r>
        <w:t xml:space="preserve">(v).</w:t>
      </w:r>
    </w:p>
    <w:p>
      <w:pPr/>
      <w:r>
        <w:rPr>
          <w:i/>
        </w:rPr>
        <w:t>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w:t>
      </w:r>
      <w:r>
        <w:rPr>
          <w:vertAlign w:val="subscript"/>
        </w:rPr>
        <w:t xml:space="preserve">i</w:t>
      </w:r>
      <w:r>
        <w:t xml:space="preserve">(v). ∎</w:t>
      </w:r>
    </w:p>
    <w:p>
      <w:pPr/>
      <w:r>
        <w:t xml:space="preserve">The result is classical as a statement about games, and its interest lies in its interpretation. A contributor's Shapley share of the value its data created, computed at acquisition, equals its share of the value that deletion would destroy. A scheme that pays Shapley value for inclusion and a liability scheme that charges the developer the same value upon withdrawal are therefore consistent, and neither party gains by relabeling a transaction as an acquisition or a deletion.</w:t>
      </w:r>
    </w:p>
    <w:p>
      <w:pPr>
        <w:pStyle w:val="Heading3"/>
      </w:pPr>
      <w:r>
        <w:t>3.3 Why Not Leave-One-Out?</w:t>
      </w:r>
    </w:p>
    <w:p>
      <w:pPr/>
      <w:r>
        <w:t xml:space="preserve">The simplest alternative is to compensate contributor i by the leave-one-out loss w({i}) = v(N) − v(N \ {i}). This rule has two well-known defects, both sharper in the deletion setting. If contributors 1 and 2 hold near-identical data, so that v({1}) ≈ v({2}) ≈ v({1, 2}) = a, each has a leave-one-out loss close to zero even though together they are worth a, whereas the Shapley value assigns each a/2, and training corpora contain many such near-duplicates. And if requests arrive sequentially and each is priced by its leave-one-out loss on arrival, the first contributor to leave is owed nothing and the second is owed a, so contributors with substitutable data have an incentive to wait; Shapley values on the original game are fixed in advance and sum to the same total in any order.</w:t>
      </w:r>
    </w:p>
    <w:p>
      <w:pPr/>
      <w:r>
        <w:t xml:space="preserve">We do not claim that Shapley values are the only reasonable rule. Semivalues such as the Banzhaf value drop efficiency and may be preferable for statistical reasons, and Proposition 1 extends to any semivalue whose weights are symmetric under |S| ↦ n − 1 − |S|, which includes the Banzhaf value but, in general, not Beta Shapley.</w:t>
      </w:r>
    </w:p>
    <w:p>
      <w:pPr>
        <w:pStyle w:val="Heading3"/>
      </w:pPr>
      <w:r>
        <w:t xml:space="preserve">3.4 Replication and Merging</w:t>
      </w:r>
    </w:p>
    <w:p>
      <w:pPr/>
      <w:r>
        <w:t xml:space="preserve">The duality result takes the set of players as given, but in practice a contributor chooses how its data is packaged, and a rule that pays by player invites manipulation of that choice. Consider first replication. Suppose contributor i submits a replica of its data under a second identity, so that the player set becomes N′ = (N \ {i}) ∪ {i′, i″}. The replica carries no new information, so the new game v′ satisfies v′(S ∪ A) = v(S ∪ {i}) for every S ⊆ N \ {i} and every nonempty A ⊆ {i′, i″}, and v′(S) = v(S) when A is empty. (Duplicating text can raise a model's exposure to it and so change U itself, which is the duplication factor of Section 6.2; here we isolate the effect of identity alone.) Write m</w:t>
      </w:r>
      <w:r>
        <w:rPr>
          <w:vertAlign w:val="subscript"/>
        </w:rPr>
        <w:t xml:space="preserve">i</w:t>
      </w:r>
      <w:r>
        <w:t xml:space="preserve">(S) = v(S ∪ {i}) − v(S) for the marginal contribution of i to S ⊆ N \ {i}, s = |S|, and w</w:t>
      </w:r>
      <w:r>
        <w:rPr>
          <w:vertAlign w:val="subscript"/>
        </w:rPr>
        <w:t xml:space="preserve">S</w:t>
      </w:r>
      <w:r>
        <w:t xml:space="preserve"> = s!(n − 1 − s)!/n!.</w:t>
      </w:r>
    </w:p>
    <w:p>
      <w:pPr/>
      <w:r>
        <w:rPr>
          <w:b/>
        </w:rPr>
        <w:t xml:space="preserve">Proposition 2 (Replication).</w:t>
      </w:r>
      <w:r>
        <w:t xml:space="preserve"> The total value of the two replicas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Σ</m:t>
            </m:r>
          </m:e>
          <m:sub>
            <m:r>
              <w:rPr>
                <w:rFonts w:ascii="Cambria Math" w:hAnsi="Cambria Math"/>
              </w:rPr>
              <m:t xml:space="preserve">S ⊆ N\{i}</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S</m:t>
            </m:r>
          </m:sub>
        </m:sSub>
        <m:r>
          <w:rPr>
            <w:rFonts w:ascii="Cambria Math" w:hAnsi="Cambria Math"/>
          </w:rPr>
          <m:t xml:space="preserve"> · [2(n − s)/(n + 1)]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(S).</m:t>
        </m:r>
      </m:oMath>
      <w:r>
        <w:tab/>
        <w:t>(5)</w:t>
      </w:r>
    </w:p>
    <w:p>
      <w:pPr/>
      <w:r>
        <w:t xml:space="preserve">Consequently the replicator's total exceeds φ</w:t>
      </w:r>
      <w:r>
        <w:rPr>
          <w:vertAlign w:val="subscript"/>
        </w:rPr>
        <w:t xml:space="preserve">i</w:t>
      </w:r>
      <w:r>
        <w:t xml:space="preserve">(v) if and only if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&gt; 0, and the gain equals (n + 1)</w:t>
      </w:r>
      <w:r>
        <w:rPr>
          <w:vertAlign w:val="superscript"/>
        </w:rPr>
        <w:t xml:space="preserve">−1</w:t>
      </w:r>
      <w:r>
        <w:t xml:space="preserve"> times this sum.</w:t>
      </w:r>
    </w:p>
    <w:p>
      <w:pPr/>
      <w:r>
        <w:rPr>
          <w:i/>
        </w:rPr>
        <w:t xml:space="preserve">Proof.</w:t>
      </w:r>
      <w:r>
        <w:t xml:space="preserve"> In v′ the marginal contribution of i′ to a coalition S′ is m</w:t>
      </w:r>
      <w:r>
        <w:rPr>
          <w:vertAlign w:val="subscript"/>
        </w:rPr>
        <w:t xml:space="preserve">i</w:t>
      </w:r>
      <w:r>
        <w:t xml:space="preserve">(S) if S′ = S contains neither replica, and zero if S′ contains i″, because adding i′ to a coalition that already contains i″ adds nothing. With n + 1 players the Shapley weight of a coalition of size s is s!(n − s)!/(n + 1)! = w</w:t>
      </w:r>
      <w:r>
        <w:rPr>
          <w:vertAlign w:val="subscript"/>
        </w:rPr>
        <w:t xml:space="preserve">S</w:t>
      </w:r>
      <w:r>
        <w:t xml:space="preserve"> · (n − s)/(n + 1). Summing over S gives φ</w:t>
      </w:r>
      <w:r>
        <w:rPr>
          <w:vertAlign w:val="subscript"/>
        </w:rPr>
        <w:t xml:space="preserve">i′</w:t>
      </w:r>
      <w:r>
        <w:t xml:space="preserve">(v′); i″ is symmetric to i′, so the sum doubles. Subtracting φ</w:t>
      </w:r>
      <w:r>
        <w:rPr>
          <w:vertAlign w:val="subscript"/>
        </w:rPr>
        <w:t xml:space="preserve">i</w:t>
      </w:r>
      <w:r>
        <w:t xml:space="preserve">(v) = Σ</w:t>
      </w:r>
      <w:r>
        <w:rPr>
          <w:vertAlign w:val="subscript"/>
        </w:rPr>
        <w:t xml:space="preserve">S</w:t>
      </w:r>
      <w:r>
        <w:t xml:space="preserve"> w</w:t>
      </w:r>
      <w:r>
        <w:rPr>
          <w:vertAlign w:val="subscript"/>
        </w:rPr>
        <w:t xml:space="preserve">S</w:t>
      </w:r>
      <w:r>
        <w:t xml:space="preserve"> m</w:t>
      </w:r>
      <w:r>
        <w:rPr>
          <w:vertAlign w:val="subscript"/>
        </w:rPr>
        <w:t xml:space="preserve">i</w:t>
      </w:r>
      <w:r>
        <w:t xml:space="preserve">(S) leaves Σ</w:t>
      </w:r>
      <w:r>
        <w:rPr>
          <w:vertAlign w:val="subscript"/>
        </w:rPr>
        <w:t xml:space="preserve">S</w:t>
      </w:r>
      <w:r>
        <w:t xml:space="preserve"> w</w:t>
      </w:r>
      <w:r>
        <w:rPr>
          <w:vertAlign w:val="subscript"/>
        </w:rPr>
        <w:t xml:space="preserve">S</w:t>
      </w:r>
      <w:r>
        <w:t xml:space="preserve"> [2(n − s)/(n + 1) − 1] m</w:t>
      </w:r>
      <w:r>
        <w:rPr>
          <w:vertAlign w:val="subscript"/>
        </w:rPr>
        <w:t xml:space="preserve">i</w:t>
      </w:r>
      <w:r>
        <w:t xml:space="preserve">(S) = (n + 1)</w:t>
      </w:r>
      <w:r>
        <w:rPr>
          <w:vertAlign w:val="superscript"/>
        </w:rPr>
        <w:t xml:space="preserve">−1</w:t>
      </w:r>
      <w:r>
        <w:t xml:space="preserve">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w:t>
      </w:r>
    </w:p>
    <w:p>
      <w:pPr/>
      <w:r>
        <w:t xml:space="preserve">The sign of the gain depends on when i's data matters. If its marginal contribution is concentrated in small coalitions, as for data that is valuable but substitutable, replication pays; if it is complementary and appears only once many others are present, replication loses; and in an additive game it is neutral. With two contributors and v({i}) = a, v({j}) = b, and v({i, j}) = c, the replicator's total is (2a + c − b)/3 instead of (a + c − b)/2, a gain of (a + b − c)/6 that is positive exactly when the datasets are substitutes (c &lt; a + b).</w:t>
      </w:r>
    </w:p>
    <w:p>
      <w:pPr/>
      <w:r>
        <w:t xml:space="preserve">Because the contribution and deletion games have the same Shapley value, the manipulation applies to both, so protection must come from the rules that define players. Pricing on verified distinct content, that is, deduplicating before valuation, removes the replication gain in the idealized case, at the cost of a deduplication step whose reliability for near-duplicates is limited. Merging players can also pay under the Shapley value, which the Banzhaf value is constructed to avoid (Lehrer 1988); we do not pursue alternative allocation rules.</w:t>
      </w:r>
    </w:p>
    <w:p>
      <w:pPr>
        <w:pStyle w:val="Heading2"/>
      </w:pPr>
      <w:r>
        <w:t>4 Estimation Under Approximate Unlearning</w:t>
      </w:r>
    </w:p>
    <w:p>
      <w:pPr>
        <w:pStyle w:val="Heading3"/>
      </w:pPr>
      <w:r>
        <w:t>4.1 Unlearning as a Counterfactual Oracle</w:t>
      </w:r>
    </w:p>
    <w:p>
      <w:pPr/>
      <w:r>
        <w:t xml:space="preserve">Computing φ</w:t>
      </w:r>
      <w:r>
        <w:rPr>
          <w:vertAlign w:val="subscript"/>
        </w:rPr>
        <w:t xml:space="preserve">i</w:t>
      </w:r>
      <w:r>
        <w:t xml:space="preserve">(v) requires evaluating v on many coalitions, and for a large model each evaluation is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walks along a random ordering of N, unlearning one contributor at a time and recording the drop in performance, so that each sampled permutation costs n unlearning operations instead of n training runs.</w:t>
      </w:r>
    </w:p>
    <w:p>
      <w:pPr/>
      <w:r>
        <w:t xml:space="preserve">The difficulty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(6)</w:t>
      </w:r>
    </w:p>
    <w:p>
      <w:pPr/>
      <w:r>
        <w:t xml:space="preserve">where U(T) is the performance of a model actually retrained on D</w:t>
      </w:r>
      <w:r>
        <w:rPr>
          <w:vertAlign w:val="subscript"/>
        </w:rPr>
        <w:t xml:space="preserve">0</w:t>
      </w:r>
      <w:r>
        <w:t xml:space="preserve">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this section and the next, we assume that Û depends only on the coalition removed and not on the order of removals. This is a real restriction, because sequential unlearning can compound errors, and Section 4.3 relaxes it.</w:t>
      </w:r>
    </w:p>
    <w:p>
      <w:pPr>
        <w:pStyle w:val="Heading3"/>
      </w:pPr>
      <w:r>
        <w:t>4.2 How Residuals Enter the Values</w:t>
      </w:r>
    </w:p>
    <w:p>
      <w:pPr/>
      <w:r>
        <w:t>The estimated game is v̂(T) = Û(T) − U(∅) = v(T) + ε(T). (If the baseline U(∅) is itself estimated by unlearning, every value of v̂ is shifted by the constant ε(∅), which leaves all marginal contributions, and hence all Shapley values, unchanged.)</w:t>
      </w:r>
    </w:p>
    <w:p>
      <w:pPr/>
      <w:r>
        <w:rPr>
          <w:b/>
        </w:rPr>
        <w:t>Proposition 3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(7)</w:t>
      </w:r>
    </w:p>
    <w:p>
      <w:pPr/>
      <w:r>
        <w:t>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(8)</w:t>
      </w:r>
    </w:p>
    <w:p>
      <w:pPr/>
      <w:r>
        <w:rPr>
          <w:i/>
        </w:rPr>
        <w:t>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w:t>
      </w:r>
      <w:r>
        <w:rPr>
          <w:vertAlign w:val="subscript"/>
        </w:rPr>
        <w:t xml:space="preserve">i</w:t>
      </w:r>
      <w:r>
        <w:t xml:space="preserve"> φ</w:t>
      </w:r>
      <w:r>
        <w:rPr>
          <w:vertAlign w:val="subscript"/>
        </w:rPr>
        <w:t xml:space="preserve">i</w:t>
      </w:r>
      <w:r>
        <w:t xml:space="preserve">(ε) = −ε(∅). ∎</w:t>
      </w:r>
    </w:p>
    <w:p>
      <w:pPr/>
      <w:r>
        <w:t xml:space="preserve">The aggregate bias is governed by a single number, ε(∅), which compares a model from which every contributor has been unlearned with a model that never saw the data. If the unlearning method leaves residual knowledge behind and does little collateral damage, the estimated values understate the total contribution of the data; if the method is destructive, they overstate it. In either case the error is invisible from within the estimation procedure, because the procedure never observes the retrained counterfactual.</w:t>
      </w:r>
    </w:p>
    <w:p>
      <w:pPr/>
      <w:r>
        <w:t xml:space="preserve">The individual bias φ</w:t>
      </w:r>
      <w:r>
        <w:rPr>
          <w:vertAlign w:val="subscript"/>
        </w:rPr>
        <w:t xml:space="preserve">i</w:t>
      </w:r>
      <w:r>
        <w:t xml:space="preserve">(ε) depends on how residuals vary across coalitions, and two simple cases are instructive. If each removed contributor leaves behind a fixed residue r, so that ε(T) = r · |N \ T|, the residual game is additive and φ</w:t>
      </w:r>
      <w:r>
        <w:rPr>
          <w:vertAlign w:val="subscript"/>
        </w:rPr>
        <w:t xml:space="preserve">i</w:t>
      </w:r>
      <w:r>
        <w:t xml:space="preserve">(ε) = −r for every i: all values shift down by the same amount, and rankings are preserved. If residues are instead heterogeneous, ε(T) = Σ</w:t>
      </w:r>
      <w:r>
        <w:rPr>
          <w:vertAlign w:val="subscript"/>
        </w:rPr>
        <w:t xml:space="preserve">j ∉ T</w:t>
      </w:r>
      <w:r>
        <w:t xml:space="preserve"> r</w:t>
      </w:r>
      <w:r>
        <w:rPr>
          <w:vertAlign w:val="subscript"/>
        </w:rPr>
        <w:t xml:space="preserve">j</w:t>
      </w:r>
      <w:r>
        <w:t xml:space="preserve">, then φ</w:t>
      </w:r>
      <w:r>
        <w:rPr>
          <w:vertAlign w:val="subscript"/>
        </w:rPr>
        <w:t xml:space="preserve">i</w:t>
      </w:r>
      <w:r>
        <w:t xml:space="preserve">(ε) = −r</w:t>
      </w:r>
      <w:r>
        <w:rPr>
          <w:vertAlign w:val="subscript"/>
        </w:rPr>
        <w:t xml:space="preserve">i</w:t>
      </w:r>
      <w:r>
        <w:t xml:space="preserve">, and the contributors whose data is hardest to forget are undervalued the most.</w:t>
      </w:r>
    </w:p>
    <w:p>
      <w:pPr/>
      <w:r>
        <w:t xml:space="preserve">The second case has an uncomfortable implication. Data tends to be hard to unlearn when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Sequential Unlearning and Path Dependence</w:t>
      </w:r>
    </w:p>
    <w:p>
      <w:pPr/>
      <w:r>
        <w:t xml:space="preserve">Section 4.1 assumed that Û depends only on which contributors are removed. Sequential removal violates this assumption, because each update starts from a model that earlier updates have already perturbed. We now drop it.</w:t>
      </w:r>
    </w:p>
    <w:p>
      <w:pPr/>
      <w:r>
        <w:t xml:space="preserve">Let σ = (σ</w:t>
      </w:r>
      <w:r>
        <w:rPr>
          <w:vertAlign w:val="subscript"/>
        </w:rPr>
        <w:t xml:space="preserve">1</w:t>
      </w:r>
      <w:r>
        <w:t xml:space="preserve">, …, σ</w:t>
      </w:r>
      <w:r>
        <w:rPr>
          <w:vertAlign w:val="subscript"/>
        </w:rPr>
        <w:t xml:space="preserve">k</w:t>
      </w:r>
      <w:r>
        <w:t xml:space="preserve">) be an ordered list of removed contributors and T = N \ {σ</w:t>
      </w:r>
      <w:r>
        <w:rPr>
          <w:vertAlign w:val="subscript"/>
        </w:rPr>
        <w:t xml:space="preserve">1</w:t>
      </w:r>
      <w:r>
        <w:t xml:space="preserve">, …, σ</w:t>
      </w:r>
      <w:r>
        <w:rPr>
          <w:vertAlign w:val="subscript"/>
        </w:rPr>
        <w:t xml:space="preserve">k</w:t>
      </w:r>
      <w:r>
        <w:t xml:space="preserve">} the set that remains. Write Û(T; σ) for the performance of the model obtained by unlearning σ</w:t>
      </w:r>
      <w:r>
        <w:rPr>
          <w:vertAlign w:val="subscript"/>
        </w:rPr>
        <w:t xml:space="preserve">1</w:t>
      </w:r>
      <w:r>
        <w:t xml:space="preserve">, …, σ</w:t>
      </w:r>
      <w:r>
        <w:rPr>
          <w:vertAlign w:val="subscript"/>
        </w:rPr>
        <w:t xml:space="preserve">k</w:t>
      </w:r>
      <w:r>
        <w:t xml:space="preserve"> in turn from the fully trained model, and ε(T; σ) = Û(T; σ) − U(T) for the path-dependent residual, with ε(N; ∅) = 0. Path independence, the assumption of Section 4.1, means that ε(T; σ) is the same for every ordering σ of N \ T. A sequential estimator draws a removal order π uniformly from the permutations of N, writes R</w:t>
      </w:r>
      <w:r>
        <w:rPr>
          <w:vertAlign w:val="subscript"/>
        </w:rPr>
        <w:t xml:space="preserve">k</w:t>
      </w:r>
      <w:r>
        <w:t xml:space="preserve">(π) for the first k contributors removed and Ũ</w:t>
      </w:r>
      <w:r>
        <w:rPr>
          <w:vertAlign w:val="subscript"/>
        </w:rPr>
        <w:t xml:space="preserve">k</w:t>
      </w:r>
      <w:r>
        <w:t xml:space="preserve">(π) = Û(N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for performance after k removals, and credits contributor π</w:t>
      </w:r>
      <w:r>
        <w:rPr>
          <w:vertAlign w:val="subscript"/>
        </w:rPr>
        <w:t xml:space="preserve">k</w:t>
      </w:r>
      <w:r>
        <w:t xml:space="preserve"> with Ũ</w:t>
      </w:r>
      <w:r>
        <w:rPr>
          <w:vertAlign w:val="subscript"/>
        </w:rPr>
        <w:t xml:space="preserve">k−1</w:t>
      </w:r>
      <w:r>
        <w:t xml:space="preserve">(π) − Ũ</w:t>
      </w:r>
      <w:r>
        <w:rPr>
          <w:vertAlign w:val="subscript"/>
        </w:rPr>
        <w:t xml:space="preserve">k</w:t>
      </w:r>
      <w:r>
        <w:t xml:space="preserve">(π). Let φ̃</w:t>
      </w:r>
      <w:r>
        <w:rPr>
          <w:vertAlign w:val="subscript"/>
        </w:rPr>
        <w:t xml:space="preserve">i</w:t>
      </w:r>
      <w:r>
        <w:t xml:space="preserve"> be the expected credit of i. This is the estimator that Section 6 approximates with six sampled orders.</w:t>
      </w:r>
    </w:p>
    <w:p>
      <w:pPr/>
      <w:r>
        <w:rPr>
          <w:b/>
        </w:rPr>
        <w:t xml:space="preserve">Proposition 4 (Sequential bias).</w:t>
      </w:r>
      <w:r>
        <w:t xml:space="preserve"> Let k</w:t>
      </w:r>
      <w:r>
        <w:rPr>
          <w:vertAlign w:val="subscript"/>
        </w:rPr>
        <w:t xml:space="preserve">i</w:t>
      </w:r>
      <w:r>
        <w:t xml:space="preserve">(π) be the position of i in π and write ε</w:t>
      </w:r>
      <w:r>
        <w:rPr>
          <w:vertAlign w:val="subscript"/>
        </w:rPr>
        <w:t xml:space="preserve">k</w:t>
      </w:r>
      <w:r>
        <w:t xml:space="preserve">(π) = ε(N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Then</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E</m:t>
            </m:r>
          </m:e>
          <m:sub>
            <m:r>
              <w:rPr>
                <w:rFonts w:ascii="Cambria Math" w:hAnsi="Cambria Math"/>
              </w:rPr>
              <m:t xml:space="preserve">π</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k−1</m:t>
            </m:r>
          </m:sub>
        </m:sSub>
        <m:r>
          <w:rPr>
            <w:rFonts w:ascii="Cambria Math" w:hAnsi="Cambria Math"/>
          </w:rPr>
          <m:t xml:space="preserve">(π) − </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(π)],  k = </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(π),</m:t>
        </m:r>
      </m:oMath>
      <w:r>
        <w:tab/>
        <w:t>(9)</w:t>
      </w:r>
    </w:p>
    <w:p>
      <w:pPr/>
      <w:r>
        <w:t xml:space="preserve">and the estimated values sum to</w:t>
      </w:r>
    </w:p>
    <w:p>
      <w:pPr>
        <w:tabs>
          <w:tab w:val="center" w:pos="4680"/>
          <w:tab w:val="right" w:pos="9360"/>
        </w:tabs>
        <w:spacing w:before="120" w:after="240" w:line="240" w:lineRule="auto"/>
        <w:ind w:firstLine="0"/>
      </w:pPr>
      <w:r>
        <w:tab/>
      </w:r>
      <m:oMath>
        <m:sSub>
          <m:e>
            <m:r>
              <w:rPr>
                <w:rFonts w:ascii="Cambria Math" w:hAnsi="Cambria Math"/>
              </w:rPr>
              <m:t xml:space="preserve">Σ</m:t>
            </m:r>
          </m:e>
          <m:sub>
            <m:r>
              <w:rPr>
                <w:rFonts w:ascii="Cambria Math" w:hAnsi="Cambria Math"/>
              </w:rPr>
              <m:t xml:space="preserve">i ∈ N</m:t>
            </m:r>
          </m:sub>
        </m:sSub>
        <m:r>
          <w:rPr>
            <w:rFonts w:ascii="Cambria Math" w:hAnsi="Cambria Math"/>
          </w:rPr>
          <m:t xml:space="preserve">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v(N) − ε̄(∅),</m:t>
        </m:r>
      </m:oMath>
      <w:r>
        <w:tab/>
        <w:t>(10)</w:t>
      </w:r>
    </w:p>
    <w:p>
      <w:pPr/>
      <w:r>
        <w:t xml:space="preserve">where ε̄(∅) = E</w:t>
      </w:r>
      <w:r>
        <w:rPr>
          <w:vertAlign w:val="subscript"/>
        </w:rPr>
        <w:t xml:space="preserve">π</w:t>
      </w:r>
      <w:r>
        <w:t xml:space="preserve"> ε(∅; π) is the residual of the fully unlearned model averaged over removal orders.</w:t>
      </w:r>
    </w:p>
    <w:p>
      <w:pPr/>
      <w:r>
        <w:rPr>
          <w:i/>
        </w:rPr>
        <w:t xml:space="preserve">Proof.</w:t>
      </w:r>
      <w:r>
        <w:t xml:space="preserve"> The credit to π</w:t>
      </w:r>
      <w:r>
        <w:rPr>
          <w:vertAlign w:val="subscript"/>
        </w:rPr>
        <w:t xml:space="preserve">k</w:t>
      </w:r>
      <w:r>
        <w:t xml:space="preserve"> equals [U(N \ R</w:t>
      </w:r>
      <w:r>
        <w:rPr>
          <w:vertAlign w:val="subscript"/>
        </w:rPr>
        <w:t xml:space="preserve">k−1</w:t>
      </w:r>
      <w:r>
        <w:t xml:space="preserve">) − U(N \ R</w:t>
      </w:r>
      <w:r>
        <w:rPr>
          <w:vertAlign w:val="subscript"/>
        </w:rPr>
        <w:t xml:space="preserve">k</w:t>
      </w:r>
      <w:r>
        <w:t xml:space="preserve">)] + [ε</w:t>
      </w:r>
      <w:r>
        <w:rPr>
          <w:vertAlign w:val="subscript"/>
        </w:rPr>
        <w:t xml:space="preserve">k−1</w:t>
      </w:r>
      <w:r>
        <w:t xml:space="preserve">(π) − ε</w:t>
      </w:r>
      <w:r>
        <w:rPr>
          <w:vertAlign w:val="subscript"/>
        </w:rPr>
        <w:t xml:space="preserve">k</w:t>
      </w:r>
      <w:r>
        <w:t xml:space="preserve">(π)]. The first bracket is the marginal contribution of π</w:t>
      </w:r>
      <w:r>
        <w:rPr>
          <w:vertAlign w:val="subscript"/>
        </w:rPr>
        <w:t xml:space="preserve">k</w:t>
      </w:r>
      <w:r>
        <w:t xml:space="preserve"> to R</w:t>
      </w:r>
      <w:r>
        <w:rPr>
          <w:vertAlign w:val="subscript"/>
        </w:rPr>
        <w:t xml:space="preserve">k−1</w:t>
      </w:r>
      <w:r>
        <w:t xml:space="preserve"> in the deletion game w, so its expectation over uniform π is φ</w:t>
      </w:r>
      <w:r>
        <w:rPr>
          <w:vertAlign w:val="subscript"/>
        </w:rPr>
        <w:t xml:space="preserve">i</w:t>
      </w:r>
      <w:r>
        <w:t xml:space="preserve">(w), which equals φ</w:t>
      </w:r>
      <w:r>
        <w:rPr>
          <w:vertAlign w:val="subscript"/>
        </w:rPr>
        <w:t xml:space="preserve">i</w:t>
      </w:r>
      <w:r>
        <w:t xml:space="preserve">(v) by Proposition 1. This gives the first statement. For a fixed π, the credits sum over k to [U(N) − U(∅)] + [ε</w:t>
      </w:r>
      <w:r>
        <w:rPr>
          <w:vertAlign w:val="subscript"/>
        </w:rPr>
        <w:t xml:space="preserve">0</w:t>
      </w:r>
      <w:r>
        <w:t xml:space="preserve"> − ε</w:t>
      </w:r>
      <w:r>
        <w:rPr>
          <w:vertAlign w:val="subscript"/>
        </w:rPr>
        <w:t xml:space="preserve">n</w:t>
      </w:r>
      <w:r>
        <w:t xml:space="preserve">(π)] = v(N) − ε(∅; π), because ε</w:t>
      </w:r>
      <w:r>
        <w:rPr>
          <w:vertAlign w:val="subscript"/>
        </w:rPr>
        <w:t xml:space="preserve">0</w:t>
      </w:r>
      <w:r>
        <w:t xml:space="preserve"> = 0. Taking expectations gives the second. ∎</w:t>
      </w:r>
    </w:p>
    <w:p>
      <w:pPr/>
      <w:r>
        <w:t xml:space="preserve">The aggregate diagnostic of Proposition 3 therefore carries over to sequential unlearning, provided ε(∅) is averaged over removal orders; a single order can mislead if ε(∅; π) varies across orders. What changes is the individual bias, which now depends on the whole path. To bound it, let ε̄(T) be the average of ε(T; σ) over uniform orderings σ of N \ T, and let δ</w:t>
      </w:r>
      <w:r>
        <w:rPr>
          <w:vertAlign w:val="subscript"/>
        </w:rPr>
        <w:t xml:space="preserve">k</w:t>
      </w:r>
      <w:r>
        <w:t xml:space="preserve"> = max |ε(T; σ) − ε̄(T)| over all T with |N \ T| = k and all orderings σ, so that δ</w:t>
      </w:r>
      <w:r>
        <w:rPr>
          <w:vertAlign w:val="subscript"/>
        </w:rPr>
        <w:t xml:space="preserve">1</w:t>
      </w:r>
      <w:r>
        <w:t xml:space="preserve"> = 0.</w:t>
      </w:r>
    </w:p>
    <w:p>
      <w:pPr/>
      <w:r>
        <w:rPr>
          <w:b/>
        </w:rPr>
        <w:t xml:space="preserve">Proposition 5 (Path sensitivity).</w:t>
      </w:r>
      <w:r>
        <w:t xml:space="preserve"> For every contributor i,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n</w:t>
      </w:r>
      <w:r>
        <w:rPr>
          <w:vertAlign w:val="superscript"/>
        </w:rPr>
        <w:t xml:space="preserve">−1</w:t>
      </w:r>
      <w:r>
        <w:t xml:space="preserve"> Σ</w:t>
      </w:r>
      <w:r>
        <w:rPr>
          <w:vertAlign w:val="subscript"/>
        </w:rPr>
        <w:t xml:space="preserve">k=2</w:t>
      </w:r>
      <w:r>
        <w:rPr>
          <w:vertAlign w:val="superscript"/>
        </w:rPr>
        <w:t xml:space="preserve">n</w:t>
      </w:r>
      <w:r>
        <w:t xml:space="preserve"> δ</w:t>
      </w:r>
      <w:r>
        <w:rPr>
          <w:vertAlign w:val="subscript"/>
        </w:rPr>
        <w:t xml:space="preserve">k</w:t>
      </w:r>
      <w:r>
        <w:t xml:space="preserve">. In particular, under path independence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which is the estimate of Proposition 3.</w:t>
      </w:r>
    </w:p>
    <w:p>
      <w:pPr/>
      <w:r>
        <w:rPr>
          <w:i/>
        </w:rPr>
        <w:t xml:space="preserve">Proof.</w:t>
      </w:r>
      <w:r>
        <w:t xml:space="preserve"> By Proposition 4 and the argument for φ</w:t>
      </w:r>
      <w:r>
        <w:rPr>
          <w:vertAlign w:val="subscript"/>
        </w:rPr>
        <w:t xml:space="preserve">i</w:t>
      </w:r>
      <w:r>
        <w:t xml:space="preserve">(w) = φ</w:t>
      </w:r>
      <w:r>
        <w:rPr>
          <w:vertAlign w:val="subscript"/>
        </w:rPr>
        <w:t xml:space="preserve">i</w:t>
      </w:r>
      <w:r>
        <w:t xml:space="preserve">(v) applied to the game ε̄,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E</w:t>
      </w:r>
      <w:r>
        <w:rPr>
          <w:vertAlign w:val="subscript"/>
        </w:rPr>
        <w:t xml:space="preserve">π</w:t>
      </w:r>
      <w:r>
        <w:t xml:space="preserve">[(ε</w:t>
      </w:r>
      <w:r>
        <w:rPr>
          <w:vertAlign w:val="subscript"/>
        </w:rPr>
        <w:t xml:space="preserve">k−1</w:t>
      </w:r>
      <w:r>
        <w:t xml:space="preserve">(π) − ε̄(N \ R</w:t>
      </w:r>
      <w:r>
        <w:rPr>
          <w:vertAlign w:val="subscript"/>
        </w:rPr>
        <w:t xml:space="preserve">k−1</w:t>
      </w:r>
      <w:r>
        <w:t xml:space="preserve">)) − (ε</w:t>
      </w:r>
      <w:r>
        <w:rPr>
          <w:vertAlign w:val="subscript"/>
        </w:rPr>
        <w:t xml:space="preserve">k</w:t>
      </w:r>
      <w:r>
        <w:t xml:space="preserve">(π) − ε̄(N \ R</w:t>
      </w:r>
      <w:r>
        <w:rPr>
          <w:vertAlign w:val="subscript"/>
        </w:rPr>
        <w:t xml:space="preserve">k</w:t>
      </w:r>
      <w:r>
        <w:t xml:space="preserve">))] with k = k</w:t>
      </w:r>
      <w:r>
        <w:rPr>
          <w:vertAlign w:val="subscript"/>
        </w:rPr>
        <w:t xml:space="preserve">i</w:t>
      </w:r>
      <w:r>
        <w:t xml:space="preserve">(π). Conditional on the set R</w:t>
      </w:r>
      <w:r>
        <w:rPr>
          <w:vertAlign w:val="subscript"/>
        </w:rPr>
        <w:t xml:space="preserve">k−1</w:t>
      </w:r>
      <w:r>
        <w:t xml:space="preserve"> and on π</w:t>
      </w:r>
      <w:r>
        <w:rPr>
          <w:vertAlign w:val="subscript"/>
        </w:rPr>
        <w:t xml:space="preserve">k</w:t>
      </w:r>
      <w:r>
        <w:t xml:space="preserve"> = i, the order of the first k − 1 removals is uniform, so the first difference has conditional mean zero. The second is at most δ</w:t>
      </w:r>
      <w:r>
        <w:rPr>
          <w:vertAlign w:val="subscript"/>
        </w:rPr>
        <w:t xml:space="preserve">k</w:t>
      </w:r>
      <w:r>
        <w:t xml:space="preserve"> in absolute value, and k</w:t>
      </w:r>
      <w:r>
        <w:rPr>
          <w:vertAlign w:val="subscript"/>
        </w:rPr>
        <w:t xml:space="preserve">i</w:t>
      </w:r>
      <w:r>
        <w:t xml:space="preserve">(π) is uniform on {1, …, n}. ∎</w:t>
      </w:r>
    </w:p>
    <w:p>
      <w:pPr/>
      <w:r>
        <w:t xml:space="preserve">Path sensitivity is cheap to probe. Half the gap between the residuals of two random removal orders of the full set is a lower bound on δ</w:t>
      </w:r>
      <w:r>
        <w:rPr>
          <w:vertAlign w:val="subscript"/>
        </w:rPr>
        <w:t xml:space="preserve">n</w:t>
      </w:r>
      <w:r>
        <w:t xml:space="preserve">, and if even this gap is large relative to v(N), unlearning-based values should not be used for compensation without correction. In Section 6 the set-function estimate is computed by unlearning N \ T in a single pass, which differs from order-averaged sequential removal. The distances reported there therefore combine path sensitivity with the difference between batch and sequential removal and do not estimate the bound in Proposition 5.</w:t>
      </w:r>
    </w:p>
    <w:p>
      <w:pPr>
        <w:pStyle w:val="Heading3"/>
      </w:pPr>
      <w:r>
        <w:t xml:space="preserve">4.4 A Diagnostic</w:t>
      </w:r>
    </w:p>
    <w:p>
      <w:pPr/>
      <w:r>
        <w:t xml:space="preserve">Proposition 3 also suggests a practical check: the aggregate bias requires no Shapley values, only a comparison between a fully unlearned model and a base model trained on D</w:t>
      </w:r>
      <w:r>
        <w:rPr>
          <w:vertAlign w:val="subscript"/>
        </w:rPr>
        <w:t xml:space="preserve">0</w:t>
      </w:r>
      <w:r>
        <w:t xml:space="preserve"> alone, which can be run on a proxy model if no base checkpoint exists (as in Section 6). A large ε(∅) warns against using unlearning-based valuations for compensation, and a small or negative ε(∅) is not reassuring, because it can coexist with knowledge that a relearning attack recovers (Section 6.4).</w:t>
      </w:r>
    </w:p>
    <w:p>
      <w:pPr>
        <w:pStyle w:val="Heading2"/>
      </w:pPr>
      <w:r>
        <w:t>5 Incentives</w:t>
      </w:r>
    </w:p>
    <w:p>
      <w:pPr>
        <w:pStyle w:val="Heading3"/>
      </w:pPr>
      <w:r>
        <w:t>5.1 Unverifiable Unlearning</w:t>
      </w:r>
    </w:p>
    <w:p>
      <w:pPr/>
      <w:r>
        <w:t xml:space="preserve">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remove the data exactly, at cost C, by retraining (or by retraining only the affected shard if the model was trained in shards), or it can apply an approximate method at a lower cost c &lt; C. Exact removal leaves no residual. Approximate removal leaves a residual value ρ</w:t>
      </w:r>
      <w:r>
        <w:rPr>
          <w:vertAlign w:val="subscript"/>
        </w:rPr>
        <w:t xml:space="preserve">i</w:t>
      </w:r>
      <w:r>
        <w:t xml:space="preserve"> &gt; 0, from which the developer earns βρ</w:t>
      </w:r>
      <w:r>
        <w:rPr>
          <w:vertAlign w:val="subscript"/>
        </w:rPr>
        <w:t xml:space="preserve">i</w:t>
      </w:r>
      <w:r>
        <w:t xml:space="preserve">, where β ≥ 0 converts model performance into revenue. In either case the developer reports that the data has been removed.</w:t>
      </w:r>
    </w:p>
    <w:p>
      <w:pPr/>
      <w:r>
        <w:t xml:space="preserve">A regulator audits with probability p. An audit detects residual knowledge with probability δ, which we call audit power and which reflects the strength of the recovery attacks and membership tests available to the auditor. If residual knowledge is detected, the developer pays a penalty F</w:t>
      </w:r>
      <w:r>
        <w:rPr>
          <w:vertAlign w:val="subscript"/>
        </w:rPr>
        <w:t xml:space="preserve">i</w:t>
      </w:r>
      <w:r>
        <w:t xml:space="preserve">.</w:t>
      </w:r>
    </w:p>
    <w:p>
      <w:pPr/>
      <w:r>
        <w:rPr>
          <w:b/>
        </w:rPr>
        <w:t>Proposition 6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(11)</w:t>
      </w:r>
    </w:p>
    <w:p>
      <w:pPr/>
      <w:r>
        <w:rPr>
          <w:i/>
        </w:rPr>
        <w:t>Proof.</w:t>
      </w:r>
      <w:r>
        <w:t xml:space="preserve"> Exact removal yields −C. Approximate removal yields −c + βρ</w:t>
      </w:r>
      <w:r>
        <w:rPr>
          <w:vertAlign w:val="subscript"/>
        </w:rPr>
        <w:t xml:space="preserve">i</w:t>
      </w:r>
      <w:r>
        <w:t xml:space="preserve"> − pδF</w:t>
      </w:r>
      <w:r>
        <w:rPr>
          <w:vertAlign w:val="subscript"/>
        </w:rPr>
        <w:t xml:space="preserve">i</w:t>
      </w:r>
      <w:r>
        <w:t xml:space="preserve">. Comparing the two gives the condition. ∎</w:t>
      </w:r>
    </w:p>
    <w:p>
      <w:pPr/>
      <w:r>
        <w:t xml:space="preserve">The condition is elementary, but three of its features deserve comment. First, audit power enters on a par with audit frequency: auditing often with weak tests is no better than auditing rarely with strong ones. This gives an economic reason to care about the robustness of unlearning evaluation, and it means that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sets the penalty proportional to the contributor's value, F</w:t>
      </w:r>
      <w:r>
        <w:rPr>
          <w:vertAlign w:val="subscript"/>
        </w:rPr>
        <w:t xml:space="preserve">i</w:t>
      </w:r>
      <w:r>
        <w:t xml:space="preserve"> = kφ</w:t>
      </w:r>
      <w:r>
        <w:rPr>
          <w:vertAlign w:val="subscript"/>
        </w:rPr>
        <w:t xml:space="preserve">i</w:t>
      </w:r>
      <w:r>
        <w:t xml:space="preserve">. If φ</w:t>
      </w:r>
      <w:r>
        <w:rPr>
          <w:vertAlign w:val="subscript"/>
        </w:rPr>
        <w:t xml:space="preserve">i</w:t>
      </w:r>
      <w:r>
        <w:t xml:space="preserve"> is estimated by the developer with its own approximate method, however, Proposition 3 implies a downward bias that is largest for contributors with the largest residue, so the developer gains twice from incomplete unlearning, once through βρ</w:t>
      </w:r>
      <w:r>
        <w:rPr>
          <w:vertAlign w:val="subscript"/>
        </w:rPr>
        <w:t xml:space="preserve">i</w:t>
      </w:r>
      <w:r>
        <w:t xml:space="preserve"> and again through a smaller penalty base. Valuations used for enforcement should therefore come from a third party, or from retraining-based estimates on a proxy model, as Section 5.2 quantifies.</w:t>
      </w:r>
    </w:p>
    <w:p>
      <w:pPr/>
      <w:r>
        <w:t xml:space="preserve">Third, the cost difference C − c depends on decisions made at training time. Sharded or modular training lowers the cost of exact removal and so relaxes the condition. This is an ex ante investment in unlearnability whose return depends on how requests will later be enforced, and without credible enforcement developers have little reason to make it (Section 5.6).</w:t>
      </w:r>
    </w:p>
    <w:p>
      <w:pPr>
        <w:pStyle w:val="Heading3"/>
      </w:pPr>
      <w:r>
        <w:t xml:space="preserve">5.2 Designing the Audit</w:t>
      </w:r>
    </w:p>
    <w:p>
      <w:pPr/>
      <w:r>
        <w:t xml:space="preserve">Proposition 6 takes the audit as given. We now let a regulator choose it. The regulator moves first and commits to an audit probability p ∈ [0, 1], an audit power δ ∈ [0, 1], and a penalty F ≤ F̄, where F̄ is a cap set by statute or limited liability. Each audit costs the regulator a &gt; 0, and a test of power δ costs e(δ) = eδ²/2 with e &gt; 0. If the developer retains residual knowledge, the regulator suffers a harm H &gt; 0, borne by the contributor or society; penalties are transfers and are not counted. The developer responds as in Proposition 6 and, when indifferent, removes the data exactly. Write θ = [(C − c) + βρ]/F̄ for the smallest audit intensity pδ that deters when the penalty is at its cap.</w:t>
      </w:r>
    </w:p>
    <w:p>
      <w:pPr/>
      <w:r>
        <w:rPr>
          <w:b/>
        </w:rPr>
        <w:t xml:space="preserve">Proposition 7 (Optimal audit design).</w:t>
      </w:r>
      <w:r>
        <w:t xml:space="preserve"> (a) Setting F = F̄ is optimal, and a design (p, δ) induces exact removal if and only if pδ ≥ θ; deterrence is possible only if θ ≤ 1. (b) The cheapest deterring design is δ* = min{1, max{θ, (aθ/e)</w:t>
      </w:r>
      <w:r>
        <w:rPr>
          <w:vertAlign w:val="superscript"/>
        </w:rPr>
        <w:t xml:space="preserve">1/3</w:t>
      </w:r>
      <w:r>
        <w:t xml:space="preserve">}} and p* = θ/δ*. (c) The regulator prefers deterrence to tolerating residual knowledge if and only if aθ/δ* + eδ*²/2 ≤ H; when δ* = (aθ/e)</w:t>
      </w:r>
      <w:r>
        <w:rPr>
          <w:vertAlign w:val="superscript"/>
        </w:rPr>
        <w:t xml:space="preserve">1/3</w:t>
      </w:r>
      <w:r>
        <w:t xml:space="preserve"> this reads (3/2) e</w:t>
      </w:r>
      <w:r>
        <w:rPr>
          <w:vertAlign w:val="superscript"/>
        </w:rPr>
        <w:t xml:space="preserve">1/3</w:t>
      </w:r>
      <w:r>
        <w:t xml:space="preserve"> (aθ)</w:t>
      </w:r>
      <w:r>
        <w:rPr>
          <w:vertAlign w:val="superscript"/>
        </w:rPr>
        <w:t xml:space="preserve">2/3</w:t>
      </w:r>
      <w:r>
        <w:t xml:space="preserve"> ≤ H.</w:t>
      </w:r>
    </w:p>
    <w:p>
      <w:pPr/>
      <w:r>
        <w:rPr>
          <w:i/>
        </w:rPr>
        <w:t xml:space="preserve">Proof.</w:t>
      </w:r>
      <w:r>
        <w:t xml:space="preserve"> Raising F relaxes the condition in Proposition 6 at no cost, so F = F̄, and deterrence requires pδF̄ ≥ (C − c) + βρ, that is, pδ ≥ θ. Substituting p = θ/δ, which satisfies p ≤ 1 if and only if δ ≥ θ, the regulator minimizes f(δ) = aθ/δ + eδ²/2, which is strictly convex on (0, 1] with first-order condition aθ/δ² = eδ. Imposing θ ≤ δ ≤ 1 gives (b). Tolerating residual knowledge costs H (take p = 0 and δ = 0), which gives (c); at the interior optimum aθ/δ* = eδ*², so f(δ*) = (3/2)eδ*². ∎</w:t>
      </w:r>
    </w:p>
    <w:p>
      <w:pPr/>
      <w:r>
        <w:t xml:space="preserve">In the interior case p* = θ</w:t>
      </w:r>
      <w:r>
        <w:rPr>
          <w:vertAlign w:val="superscript"/>
        </w:rPr>
        <w:t xml:space="preserve">2/3</w:t>
      </w:r>
      <w:r>
        <w:t xml:space="preserve">(e/a)</w:t>
      </w:r>
      <w:r>
        <w:rPr>
          <w:vertAlign w:val="superscript"/>
        </w:rPr>
        <w:t xml:space="preserve">1/3</w:t>
      </w:r>
      <w:r>
        <w:t xml:space="preserve"> and δ* = (aθ/e)</w:t>
      </w:r>
      <w:r>
        <w:rPr>
          <w:vertAlign w:val="superscript"/>
        </w:rPr>
        <w:t xml:space="preserve">1/3</w:t>
      </w:r>
      <w:r>
        <w:t xml:space="preserve">. As tests become cheaper the regulator shifts toward power and audits less often, and as audits become cheaper it shifts toward frequency; both p* and δ* rise with the developer's gain from under-unlearning, C − c + βρ, and fall with the penalty cap. Cheap and strong recovery attacks therefore substitute for audit effort, a second reason, besides robustness, to treat evaluation methods as enforcement infrastructure. The model is deliberately minimal, with one request, a risk-neutral developer, and a single harm parameter; Section 5.4 turns to many requests.</w:t>
      </w:r>
    </w:p>
    <w:p>
      <w:pPr/>
      <w:r>
        <w:t xml:space="preserve">Proposition 7 treats the penalty cap as exogenous. Suppose instead that the penalty is proportional to the contributor's value, F</w:t>
      </w:r>
      <w:r>
        <w:rPr>
          <w:vertAlign w:val="subscript"/>
        </w:rPr>
        <w:t xml:space="preserve">i</w:t>
      </w:r>
      <w:r>
        <w:t xml:space="preserve"> = kφ̂</w:t>
      </w:r>
      <w:r>
        <w:rPr>
          <w:vertAlign w:val="subscript"/>
        </w:rPr>
        <w:t xml:space="preserve">i</w:t>
      </w:r>
      <w:r>
        <w:t xml:space="preserve"> with k &gt; 0, and consider the heterogeneous-residue case of Section 4.2 with negligible collateral damage, so that ρ</w:t>
      </w:r>
      <w:r>
        <w:rPr>
          <w:vertAlign w:val="subscript"/>
        </w:rPr>
        <w:t xml:space="preserve">i</w:t>
      </w:r>
      <w:r>
        <w:t xml:space="preserve"> = r</w:t>
      </w:r>
      <w:r>
        <w:rPr>
          <w:vertAlign w:val="subscript"/>
        </w:rPr>
        <w:t xml:space="preserve">i</w:t>
      </w:r>
      <w:r>
        <w:t xml:space="preserve"> and the estimated value is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We compare a base estimated by the developer with a base computed by a third party from retraining on a proxy model, which equals φ</w:t>
      </w:r>
      <w:r>
        <w:rPr>
          <w:vertAlign w:val="subscript"/>
        </w:rPr>
        <w:t xml:space="preserve">i</w:t>
      </w:r>
      <w:r>
        <w:t xml:space="preserve">.</w:t>
      </w:r>
    </w:p>
    <w:p>
      <w:pPr/>
      <w:r>
        <w:rPr>
          <w:b/>
        </w:rPr>
        <w:t xml:space="preserve">Proposition 8 (Penalty base).</w:t>
      </w:r>
      <w:r>
        <w:t xml:space="preserve"> Suppose β &gt; 0 and pδkφ</w:t>
      </w:r>
      <w:r>
        <w:rPr>
          <w:vertAlign w:val="subscript"/>
        </w:rPr>
        <w:t xml:space="preserve">i</w:t>
      </w:r>
      <w:r>
        <w:t xml:space="preserve"> &gt; C − c. With a developer-estimated base, exact removal is optimal if and only if r</w:t>
      </w:r>
      <w:r>
        <w:rPr>
          <w:vertAlign w:val="subscript"/>
        </w:rPr>
        <w:t xml:space="preserve">i</w:t>
      </w:r>
      <w:r>
        <w:t xml:space="preserve"> ≤ r̄</w:t>
      </w:r>
      <w:r>
        <w:rPr>
          <w:vertAlign w:val="superscript"/>
        </w:rPr>
        <w:t xml:space="preserve">D</w:t>
      </w:r>
      <w:r>
        <w:rPr>
          <w:vertAlign w:val="subscript"/>
        </w:rPr>
        <w:t xml:space="preserve">i</w:t>
      </w:r>
      <w:r>
        <w:t xml:space="preserve"> = [pδkφ</w:t>
      </w:r>
      <w:r>
        <w:rPr>
          <w:vertAlign w:val="subscript"/>
        </w:rPr>
        <w:t xml:space="preserve">i</w:t>
      </w:r>
      <w:r>
        <w:t xml:space="preserve"> − (C − c)]/(pδk + β). With a third-party base, it is optimal if and only if r</w:t>
      </w:r>
      <w:r>
        <w:rPr>
          <w:vertAlign w:val="subscript"/>
        </w:rPr>
        <w:t xml:space="preserve">i</w:t>
      </w:r>
      <w:r>
        <w:t xml:space="preserve"> ≤ r̄</w:t>
      </w:r>
      <w:r>
        <w:rPr>
          <w:vertAlign w:val="superscript"/>
        </w:rPr>
        <w:t xml:space="preserve">T</w:t>
      </w:r>
      <w:r>
        <w:rPr>
          <w:vertAlign w:val="subscript"/>
        </w:rPr>
        <w:t xml:space="preserve">i</w:t>
      </w:r>
      <w:r>
        <w:t xml:space="preserve"> = [pδkφ</w:t>
      </w:r>
      <w:r>
        <w:rPr>
          <w:vertAlign w:val="subscript"/>
        </w:rPr>
        <w:t xml:space="preserve">i</w:t>
      </w:r>
      <w:r>
        <w:t xml:space="preserve"> − (C − c)]/β. Hence r̄</w:t>
      </w:r>
      <w:r>
        <w:rPr>
          <w:vertAlign w:val="superscript"/>
        </w:rPr>
        <w:t xml:space="preserve">D</w:t>
      </w:r>
      <w:r>
        <w:rPr>
          <w:vertAlign w:val="subscript"/>
        </w:rPr>
        <w:t xml:space="preserve">i</w:t>
      </w:r>
      <w:r>
        <w:t xml:space="preserve"> = r̄</w:t>
      </w:r>
      <w:r>
        <w:rPr>
          <w:vertAlign w:val="superscript"/>
        </w:rPr>
        <w:t xml:space="preserve">T</w:t>
      </w:r>
      <w:r>
        <w:rPr>
          <w:vertAlign w:val="subscript"/>
        </w:rPr>
        <w:t xml:space="preserve">i</w:t>
      </w:r>
      <w:r>
        <w:t xml:space="preserve"> · β/(β + pδk) &lt; r̄</w:t>
      </w:r>
      <w:r>
        <w:rPr>
          <w:vertAlign w:val="superscript"/>
        </w:rPr>
        <w:t xml:space="preserve">T</w:t>
      </w:r>
      <w:r>
        <w:rPr>
          <w:vertAlign w:val="subscript"/>
        </w:rPr>
        <w:t xml:space="preserve">i</w:t>
      </w:r>
      <w:r>
        <w:t xml:space="preserve">.</w:t>
      </w:r>
    </w:p>
    <w:p>
      <w:pPr/>
      <w:r>
        <w:rPr>
          <w:i/>
        </w:rPr>
        <w:t xml:space="preserve">Proof.</w:t>
      </w:r>
      <w:r>
        <w:t xml:space="preserve"> With the developer's base the condition in Proposition 6 becomes pδk(φ</w:t>
      </w:r>
      <w:r>
        <w:rPr>
          <w:vertAlign w:val="subscript"/>
        </w:rPr>
        <w:t xml:space="preserve">i</w:t>
      </w:r>
      <w:r>
        <w:t xml:space="preserve"> − r</w:t>
      </w:r>
      <w:r>
        <w:rPr>
          <w:vertAlign w:val="subscript"/>
        </w:rPr>
        <w:t xml:space="preserve">i</w:t>
      </w:r>
      <w:r>
        <w:t xml:space="preserve">) ≥ (C − c) + βr</w:t>
      </w:r>
      <w:r>
        <w:rPr>
          <w:vertAlign w:val="subscript"/>
        </w:rPr>
        <w:t xml:space="preserve">i</w:t>
      </w:r>
      <w:r>
        <w:t xml:space="preserve">, which rearranges to (pδk + β)r</w:t>
      </w:r>
      <w:r>
        <w:rPr>
          <w:vertAlign w:val="subscript"/>
        </w:rPr>
        <w:t xml:space="preserve">i</w:t>
      </w:r>
      <w:r>
        <w:t xml:space="preserve"> ≤ pδkφ</w:t>
      </w:r>
      <w:r>
        <w:rPr>
          <w:vertAlign w:val="subscript"/>
        </w:rPr>
        <w:t xml:space="preserve">i</w:t>
      </w:r>
      <w:r>
        <w:t xml:space="preserve"> − (C − c). With the third-party base it becomes pδkφ</w:t>
      </w:r>
      <w:r>
        <w:rPr>
          <w:vertAlign w:val="subscript"/>
        </w:rPr>
        <w:t xml:space="preserve">i</w:t>
      </w:r>
      <w:r>
        <w:t xml:space="preserve"> ≥ (C − c) + βr</w:t>
      </w:r>
      <w:r>
        <w:rPr>
          <w:vertAlign w:val="subscript"/>
        </w:rPr>
        <w:t xml:space="preserve">i</w:t>
      </w:r>
      <w:r>
        <w:t xml:space="preserve">. ∎</w:t>
      </w:r>
    </w:p>
    <w:p>
      <w:pPr/>
      <w:r>
        <w:t xml:space="preserve">The same audit regime thus deters less residue when the developer sets the base. The tolerable residue shrinks by the factor β/(β + pδk), and the data that is hardest to forget, which leaves the most residue, is protected least. This is the formal sense in which valuations used for enforcement should not be computed by the developer.</w:t>
      </w:r>
    </w:p>
    <w:p>
      <w:pPr>
        <w:pStyle w:val="Heading3"/>
      </w:pPr>
      <w:r>
        <w:t xml:space="preserve">5.3 Property Rules and Liability Rules</w:t>
      </w:r>
    </w:p>
    <w:p>
      <w:pPr/>
      <w:r>
        <w:t xml:space="preserve">The discussion so far takes for granted that a deletion request must be honored. Following Calabresi and Melamed (1972), one could instead protect contributors with a liability rule, under which the developer may keep the data provided that it pays damages, naturally measured by φ</w:t>
      </w:r>
      <w:r>
        <w:rPr>
          <w:vertAlign w:val="subscript"/>
        </w:rPr>
        <w:t xml:space="preserve">i</w:t>
      </w:r>
      <w:r>
        <w:t xml:space="preserve">, the price the contributor would have received at acquisition (Proposition 1). The developer then retains i's data if and only if w({i}) + C ≥ φ</w:t>
      </w:r>
      <w:r>
        <w:rPr>
          <w:vertAlign w:val="subscript"/>
        </w:rPr>
        <w:t xml:space="preserve">i</w:t>
      </w:r>
      <w:r>
        <w:t xml:space="preserve">, where w({i}) is the leave-one-out loss: redundant data is removed rather than paid for, at little social cost, whereas complementary data is kept and paid for, so the outcome tracks marginal importance. The rule is unattractive, however, when the contributor's interest is not economic, as with personal data or safety-critical knowledge, where a property rule backed by the audit condition seems more appropriate. Section 5.8 combines the two.</w:t>
      </w:r>
    </w:p>
    <w:p>
      <w:pPr>
        <w:pStyle w:val="Heading3"/>
      </w:pPr>
      <w:r>
        <w:t xml:space="preserve">5.4 Many Requests and Audit Triage</w:t>
      </w:r>
    </w:p>
    <w:p>
      <w:pPr/>
      <w:r>
        <w:t xml:space="preserve">A developer rarely faces a single request. Suppose there are m requests, and that request i carries a gain from under-unlearning g</w:t>
      </w:r>
      <w:r>
        <w:rPr>
          <w:vertAlign w:val="subscript"/>
        </w:rPr>
        <w:t xml:space="preserve">i</w:t>
      </w:r>
      <w:r>
        <w:t xml:space="preserve"> = (C</w:t>
      </w:r>
      <w:r>
        <w:rPr>
          <w:vertAlign w:val="subscript"/>
        </w:rPr>
        <w:t xml:space="preserve">i</w:t>
      </w:r>
      <w:r>
        <w:t xml:space="preserve"> − c</w:t>
      </w:r>
      <w:r>
        <w:rPr>
          <w:vertAlign w:val="subscript"/>
        </w:rPr>
        <w:t xml:space="preserve">i</w:t>
      </w:r>
      <w:r>
        <w:t xml:space="preserve">) + βρ</w:t>
      </w:r>
      <w:r>
        <w:rPr>
          <w:vertAlign w:val="subscript"/>
        </w:rPr>
        <w:t xml:space="preserve">i</w:t>
      </w:r>
      <w:r>
        <w:t xml:space="preserve">, a penalty cap F̄</w:t>
      </w:r>
      <w:r>
        <w:rPr>
          <w:vertAlign w:val="subscript"/>
        </w:rPr>
        <w:t xml:space="preserve">i</w:t>
      </w:r>
      <w:r>
        <w:t xml:space="preserve">, and a harm H</w:t>
      </w:r>
      <w:r>
        <w:rPr>
          <w:vertAlign w:val="subscript"/>
        </w:rPr>
        <w:t xml:space="preserve">i</w:t>
      </w:r>
      <w:r>
        <w:t xml:space="preserve"> if residue is retained; write θ</w:t>
      </w:r>
      <w:r>
        <w:rPr>
          <w:vertAlign w:val="subscript"/>
        </w:rPr>
        <w:t xml:space="preserve">i</w:t>
      </w:r>
      <w:r>
        <w:t xml:space="preserve"> = g</w:t>
      </w:r>
      <w:r>
        <w:rPr>
          <w:vertAlign w:val="subscript"/>
        </w:rPr>
        <w:t xml:space="preserve">i</w:t>
      </w:r>
      <w:r>
        <w:t xml:space="preserve">/F̄</w:t>
      </w:r>
      <w:r>
        <w:rPr>
          <w:vertAlign w:val="subscript"/>
        </w:rPr>
        <w:t xml:space="preserve">i</w:t>
      </w:r>
      <w:r>
        <w:t xml:space="preserve">. By Proposition 7, deterring request i with a test of power δ ∈ [θ</w:t>
      </w:r>
      <w:r>
        <w:rPr>
          <w:vertAlign w:val="subscript"/>
        </w:rPr>
        <w:t xml:space="preserve">i</w:t>
      </w:r>
      <w:r>
        <w:t xml:space="preserve">, 1] requires an audit probability of θ</w:t>
      </w:r>
      <w:r>
        <w:rPr>
          <w:vertAlign w:val="subscript"/>
        </w:rPr>
        <w:t xml:space="preserve">i</w:t>
      </w:r>
      <w:r>
        <w:t xml:space="preserve">/δ, so the cheapest way to deter it costs K(θ</w:t>
      </w:r>
      <w:r>
        <w:rPr>
          <w:vertAlign w:val="subscript"/>
        </w:rPr>
        <w:t xml:space="preserve">i</w:t>
      </w:r>
      <w:r>
        <w:t xml:space="preserve">), where K(θ) is the minimum over δ ∈ [θ, 1] of aθ/δ + eδ²/2, defined for θ ≤ 1. Allocating enforcement effort across offenses is the problem Becker (1968) posed; what is specific here is that offenses differ in how costly they are to deter.</w:t>
      </w:r>
    </w:p>
    <w:p>
      <w:pPr/>
      <w:r>
        <w:rPr>
          <w:b/>
        </w:rPr>
        <w:t xml:space="preserve">Proposition 9 (Triage).</w:t>
      </w:r>
      <w:r>
        <w:t xml:space="preserve"> (a) K is strictly increasing in θ. In the interior regime, where δ* = (aθ/e)</w:t>
      </w:r>
      <w:r>
        <w:rPr>
          <w:vertAlign w:val="superscript"/>
        </w:rPr>
        <w:t xml:space="preserve">1/3</w:t>
      </w:r>
      <w:r>
        <w:t xml:space="preserve"> ∈ [θ, 1], K(θ) = (3/2)e</w:t>
      </w:r>
      <w:r>
        <w:rPr>
          <w:vertAlign w:val="superscript"/>
        </w:rPr>
        <w:t xml:space="preserve">1/3</w:t>
      </w:r>
      <w:r>
        <w:t xml:space="preserve">(aθ)</w:t>
      </w:r>
      <w:r>
        <w:rPr>
          <w:vertAlign w:val="superscript"/>
        </w:rPr>
        <w:t xml:space="preserve">2/3</w:t>
      </w:r>
      <w:r>
        <w:t xml:space="preserve">; if δ* = θ, then K(θ) = a + eθ²/2; if δ* = 1, then K(θ) = aθ + e/2. (b) Without a budget, request i is deterred if and only if K(θ</w:t>
      </w:r>
      <w:r>
        <w:rPr>
          <w:vertAlign w:val="subscript"/>
        </w:rPr>
        <w:t xml:space="preserve">i</w:t>
      </w:r>
      <w:r>
        <w:t xml:space="preserve">) ≤ H</w:t>
      </w:r>
      <w:r>
        <w:rPr>
          <w:vertAlign w:val="subscript"/>
        </w:rPr>
        <w:t xml:space="preserve">i</w:t>
      </w:r>
      <w:r>
        <w:t xml:space="preserve">, a cutoff on θ</w:t>
      </w:r>
      <w:r>
        <w:rPr>
          <w:vertAlign w:val="subscript"/>
        </w:rPr>
        <w:t xml:space="preserve">i</w:t>
      </w:r>
      <w:r>
        <w:t xml:space="preserve"> that is increasing in H</w:t>
      </w:r>
      <w:r>
        <w:rPr>
          <w:vertAlign w:val="subscript"/>
        </w:rPr>
        <w:t xml:space="preserve">i</w:t>
      </w:r>
      <w:r>
        <w:t xml:space="preserve">. (c) With a total budget 𝓑, the regulator's problem is a 0–1 knapsack with weights K(θ</w:t>
      </w:r>
      <w:r>
        <w:rPr>
          <w:vertAlign w:val="subscript"/>
        </w:rPr>
        <w:t xml:space="preserve">i</w:t>
      </w:r>
      <w:r>
        <w:t xml:space="preserve">) and values H</w:t>
      </w:r>
      <w:r>
        <w:rPr>
          <w:vertAlign w:val="subscript"/>
        </w:rPr>
        <w:t xml:space="preserve">i</w:t>
      </w:r>
      <w:r>
        <w:t xml:space="preserve">; deterring requests in decreasing order of H</w:t>
      </w:r>
      <w:r>
        <w:rPr>
          <w:vertAlign w:val="subscript"/>
        </w:rPr>
        <w:t xml:space="preserve">i</w:t>
      </w:r>
      <w:r>
        <w:t xml:space="preserve">/K(θ</w:t>
      </w:r>
      <w:r>
        <w:rPr>
          <w:vertAlign w:val="subscript"/>
        </w:rPr>
        <w:t xml:space="preserve">i</w:t>
      </w:r>
      <w:r>
        <w:t xml:space="preserve">) until the first request j that does not fit achieves at least OPT − H</w:t>
      </w:r>
      <w:r>
        <w:rPr>
          <w:vertAlign w:val="subscript"/>
        </w:rPr>
        <w:t xml:space="preserve">j</w:t>
      </w:r>
      <w:r>
        <w:t xml:space="preserve">. (d) Let ρ</w:t>
      </w:r>
      <w:r>
        <w:rPr>
          <w:vertAlign w:val="subscript"/>
        </w:rPr>
        <w:t xml:space="preserve">i</w:t>
      </w:r>
      <w:r>
        <w:t xml:space="preserve"> = r</w:t>
      </w:r>
      <w:r>
        <w:rPr>
          <w:vertAlign w:val="subscript"/>
        </w:rPr>
        <w:t xml:space="preserve">i</w:t>
      </w:r>
      <w:r>
        <w:t xml:space="preserve"> with negligible collateral damage, F</w:t>
      </w:r>
      <w:r>
        <w:rPr>
          <w:vertAlign w:val="subscript"/>
        </w:rPr>
        <w:t xml:space="preserve">i</w:t>
      </w:r>
      <w:r>
        <w:t xml:space="preserve"> = kφ̂</w:t>
      </w:r>
      <w:r>
        <w:rPr>
          <w:vertAlign w:val="subscript"/>
        </w:rPr>
        <w:t xml:space="preserve">i</w:t>
      </w:r>
      <w:r>
        <w:t xml:space="preserve">, and compare a developer-estimated base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with a third-party base φ</w:t>
      </w:r>
      <w:r>
        <w:rPr>
          <w:vertAlign w:val="subscript"/>
        </w:rPr>
        <w:t xml:space="preserve">i</w:t>
      </w:r>
      <w:r>
        <w:t xml:space="preserve">. Then θ</w:t>
      </w:r>
      <w:r>
        <w:rPr>
          <w:vertAlign w:val="subscript"/>
        </w:rPr>
        <w:t xml:space="preserve">i</w:t>
      </w:r>
      <w:r>
        <w:rPr>
          <w:vertAlign w:val="superscript"/>
        </w:rPr>
        <w:t xml:space="preserve">D</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 r</w:t>
      </w:r>
      <w:r>
        <w:rPr>
          <w:vertAlign w:val="subscript"/>
        </w:rPr>
        <w:t xml:space="preserve">i</w:t>
      </w:r>
      <w:r>
        <w:t xml:space="preserve">)) ≥ θ</w:t>
      </w:r>
      <w:r>
        <w:rPr>
          <w:vertAlign w:val="subscript"/>
        </w:rPr>
        <w:t xml:space="preserve">i</w:t>
      </w:r>
      <w:r>
        <w:rPr>
          <w:vertAlign w:val="superscript"/>
        </w:rPr>
        <w:t xml:space="preserve">T</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the ratio φ</w:t>
      </w:r>
      <w:r>
        <w:rPr>
          <w:vertAlign w:val="subscript"/>
        </w:rPr>
        <w:t xml:space="preserve">i</w:t>
      </w:r>
      <w:r>
        <w:t xml:space="preserve">/(φ</w:t>
      </w:r>
      <w:r>
        <w:rPr>
          <w:vertAlign w:val="subscript"/>
        </w:rPr>
        <w:t xml:space="preserve">i</w:t>
      </w:r>
      <w:r>
        <w:t xml:space="preserve"> − r</w:t>
      </w:r>
      <w:r>
        <w:rPr>
          <w:vertAlign w:val="subscript"/>
        </w:rPr>
        <w:t xml:space="preserve">i</w:t>
      </w:r>
      <w:r>
        <w:t xml:space="preserve">) is increasing in r</w:t>
      </w:r>
      <w:r>
        <w:rPr>
          <w:vertAlign w:val="subscript"/>
        </w:rPr>
        <w:t xml:space="preserve">i</w:t>
      </w:r>
      <w:r>
        <w:t xml:space="preserve">, and the maximal harm prevented under the developer base is weakly lower.</w:t>
      </w:r>
    </w:p>
    <w:p>
      <w:pPr/>
      <w:r>
        <w:rPr>
          <w:i/>
        </w:rPr>
        <w:t xml:space="preserve">Proof.</w:t>
      </w:r>
      <w:r>
        <w:t xml:space="preserve"> (a) For θ′ &gt; θ the feasible set [θ′, 1] is contained in [θ, 1] and the objective is increasing in θ at every δ, so K(θ) &lt; K(θ′). The regime formulas follow from Proposition 7(b). (b) is Proposition 7(c) applied request by request. (c) The linear relaxation of the knapsack is solved by the greedy order; its value equals the greedy prefix plus a fraction of H</w:t>
      </w:r>
      <w:r>
        <w:rPr>
          <w:vertAlign w:val="subscript"/>
        </w:rPr>
        <w:t xml:space="preserve">j</w:t>
      </w:r>
      <w:r>
        <w:t xml:space="preserve">, and OPT is at most the relaxation. (d) Substituting F</w:t>
      </w:r>
      <w:r>
        <w:rPr>
          <w:vertAlign w:val="subscript"/>
        </w:rPr>
        <w:t xml:space="preserve">i</w:t>
      </w:r>
      <w:r>
        <w:t xml:space="preserve"> into θ</w:t>
      </w:r>
      <w:r>
        <w:rPr>
          <w:vertAlign w:val="subscript"/>
        </w:rPr>
        <w:t xml:space="preserve">i</w:t>
      </w:r>
      <w:r>
        <w:t xml:space="preserve"> gives the ratio. Because K is increasing, every weight is weakly larger under the developer base, so every set of requests that can be deterred under it can be deterred under the third-party base. ∎</w:t>
      </w:r>
    </w:p>
    <w:p>
      <w:pPr/>
      <w:r>
        <w:t xml:space="preserve">The requests left unprotected are those that are expensive to deter, with a large g</w:t>
      </w:r>
      <w:r>
        <w:rPr>
          <w:vertAlign w:val="subscript"/>
        </w:rPr>
        <w:t xml:space="preserve">i</w:t>
      </w:r>
      <w:r>
        <w:t xml:space="preserve"> and a small F̄</w:t>
      </w:r>
      <w:r>
        <w:rPr>
          <w:vertAlign w:val="subscript"/>
        </w:rPr>
        <w:t xml:space="preserve">i</w:t>
      </w:r>
      <w:r>
        <w:t xml:space="preserve">. Large residue raises g</w:t>
      </w:r>
      <w:r>
        <w:rPr>
          <w:vertAlign w:val="subscript"/>
        </w:rPr>
        <w:t xml:space="preserve">i</w:t>
      </w:r>
      <w:r>
        <w:t xml:space="preserve"> through βr</w:t>
      </w:r>
      <w:r>
        <w:rPr>
          <w:vertAlign w:val="subscript"/>
        </w:rPr>
        <w:t xml:space="preserve">i</w:t>
      </w:r>
      <w:r>
        <w:t xml:space="preserve"> and, under a developer-set base, also shrinks the penalty base, so the data hardest to forget is both what the developer is most tempted to under-unlearn and what the regulator can least afford to protect. This is a market-level counterpart of the individual-bias result in Section 4.2 and requires no assumption about how unlearning works.</w:t>
      </w:r>
    </w:p>
    <w:p>
      <w:pPr>
        <w:pStyle w:val="Heading3"/>
      </w:pPr>
      <w:r>
        <w:t xml:space="preserve">5.5 Concealment and the Limits of Audit Power</w:t>
      </w:r>
    </w:p>
    <w:p>
      <w:pPr/>
      <w:r>
        <w:t xml:space="preserve">Proposition 6 treats detection power δ as a property of the audit. In practice, the developer can tune its unlearning to the test it expects, suppressing the outputs that a benchmark probes while leaving the underlying knowledge in place, as in Section 6.4, where a standard score falls to zero and a brief relearning attack restores the knowledge. Let the developer choose a concealment level x ∈ [0, 1] that lowers the detection probability to δ(1 − x) at cost κx²/2 with κ &gt; 0, and write z = pδF for the expected penalty absent concealment. The parameter κ measures how costly it is to conceal against the auditor's test; secret, rotating, or adaptive tests raise it.</w:t>
      </w:r>
    </w:p>
    <w:p>
      <w:pPr/>
      <w:r>
        <w:rPr>
          <w:b/>
        </w:rPr>
        <w:t xml:space="preserve">Proposition 10 (Concealment ceiling).</w:t>
      </w:r>
      <w:r>
        <w:t xml:space="preserve"> The developer's cheapest expected penalty plus concealment cost is ψ(z) = z − z²/(2κ) for z ≤ κ and κ/2 for z ≥ κ, and exact removal is optimal if and only if ψ(z) ≥ g, where g = (C − c) + βρ. Hence (a) deterrence is feasible only if g ≤ κ/2, whatever the audit intensity; (b) when feasible, it requires z ≥ z̃ = κ(1 − √(1 − 2g/κ)); (c) z̃/g = (2/u)(1 − √(1 − u)) with u = 2g/κ ∈ (0, 1], which lies in (1, 2] and is increasing in u. Concealment raises the intensity needed to deter by at most a factor of two, but only up to the ceiling at which deterrence is lost entirely. Proposition 7 holds with θ replaced by θ̃ = z̃/F̄, and deterrence is feasible if and only if g ≤ κ/2 and θ̃ ≤ 1.</w:t>
      </w:r>
    </w:p>
    <w:p>
      <w:pPr/>
      <w:r>
        <w:rPr>
          <w:i/>
        </w:rPr>
        <w:t xml:space="preserve">Proof.</w:t>
      </w:r>
      <w:r>
        <w:t xml:space="preserve"> The developer minimizes z(1 − x) + κx²/2 over x ∈ [0, 1]. The first-order condition gives x* = min{1, z/κ}, and substituting gives ψ. The function ψ is increasing on [0, κ] with ψ(κ) = κ/2 and is constant beyond. Approximate removal is optimal when g &gt; ψ(z), with ties going to exact removal, which gives the condition; solving z − z²/(2κ) = g for the smaller root gives z̃. For (c), z̃/g = (κ/g)(1 − √(1 − 2g/κ)); substituting u = 2g/κ gives the stated form, which is increasing in u with limits 1 and 2. ∎</w:t>
      </w:r>
    </w:p>
    <w:p>
      <w:pPr/>
      <w:r>
        <w:t xml:space="preserve">Strong audits therefore help only up to a point. What matters is how hard a test is to anticipate as well as how strong it is, and raising κ is the only lever, besides lowering g, that restores deterrence when g &gt; κ/2 (compare Wall et al. 2016 on selective violation of hard-to-monitor rules).</w:t>
      </w:r>
    </w:p>
    <w:p>
      <w:pPr>
        <w:pStyle w:val="Heading3"/>
      </w:pPr>
      <w:r>
        <w:t xml:space="preserve">5.6 Investing in Unlearnability</w:t>
      </w:r>
    </w:p>
    <w:p>
      <w:pPr/>
      <w:r>
        <w:t xml:space="preserve">Section 5.1 noted that the exact-removal cost C depends on training-time choices, and we now model that choice. Before requests arrive, the developer chooses s ∈ [0, 1] (sharding, modular adapters) at cost ιs²/2, which lowers the exact-removal cost per request to C̄ − λs. It expects m requests, and the regulator has committed to an enforcement intensity z = pδF. Let A = c − βρ + z be the expected cost of approximate removal, g</w:t>
      </w:r>
      <w:r>
        <w:rPr>
          <w:vertAlign w:val="subscript"/>
        </w:rPr>
        <w:t xml:space="preserve">0</w:t>
      </w:r>
      <w:r>
        <w:t xml:space="preserve"> = C̄ − c + βρ, and Λ = mλ²/(2ι) if mλ ≤ ι and Λ = λ − ι/(2m) otherwise.</w:t>
      </w:r>
    </w:p>
    <w:p>
      <w:pPr/>
      <w:r>
        <w:rPr>
          <w:b/>
        </w:rPr>
        <w:t xml:space="preserve">Proposition 11 (Investment threshold).</w:t>
      </w:r>
      <w:r>
        <w:t xml:space="preserve"> The developer invests s</w:t>
      </w:r>
      <w:r>
        <w:rPr>
          <w:vertAlign w:val="subscript"/>
        </w:rPr>
        <w:t xml:space="preserve">e</w:t>
      </w:r>
      <w:r>
        <w:t xml:space="preserve"> = min{1, mλ/ι} and removes every request exactly if and only if z ≥ g</w:t>
      </w:r>
      <w:r>
        <w:rPr>
          <w:vertAlign w:val="subscript"/>
        </w:rPr>
        <w:t xml:space="preserve">0</w:t>
      </w:r>
      <w:r>
        <w:t xml:space="preserve"> − Λ; otherwise it invests nothing and approximates. Hence (a) the enforcement intensity needed for exact removal falls by Λ, which is increasing in the number of expected requests m and in the efficiency λ²/ι of the technology; (b) investment complements enforcement: for z &lt; g</w:t>
      </w:r>
      <w:r>
        <w:rPr>
          <w:vertAlign w:val="subscript"/>
        </w:rPr>
        <w:t xml:space="preserve">0</w:t>
      </w:r>
      <w:r>
        <w:t xml:space="preserve"> − Λ there is no investment at all, and for z ∈ [g</w:t>
      </w:r>
      <w:r>
        <w:rPr>
          <w:vertAlign w:val="subscript"/>
        </w:rPr>
        <w:t xml:space="preserve">0</w:t>
      </w:r>
      <w:r>
        <w:t xml:space="preserve"> − Λ, g</w:t>
      </w:r>
      <w:r>
        <w:rPr>
          <w:vertAlign w:val="subscript"/>
        </w:rPr>
        <w:t xml:space="preserve">0</w:t>
      </w:r>
      <w:r>
        <w:t xml:space="preserve">) the developer invests and removes exactly even though enforcement alone would not have deterred it.</w:t>
      </w:r>
    </w:p>
    <w:p>
      <w:pPr/>
      <w:r>
        <w:rPr>
          <w:i/>
        </w:rPr>
        <w:t xml:space="preserve">Proof.</w:t>
      </w:r>
      <w:r>
        <w:t xml:space="preserve"> Total cost is J(s) = m·min{C̄ − λs, A} + ιs²/2. For s with C̄ − λs ≥ A, J = mA + ιs²/2, which is minimized at s = 0. For s with C̄ − λs ≤ A, J is convex with derivative −mλ + ιs, so on that region it is minimized at max{ŝ, s</w:t>
      </w:r>
      <w:r>
        <w:rPr>
          <w:vertAlign w:val="subscript"/>
        </w:rPr>
        <w:t xml:space="preserve">e</w:t>
      </w:r>
      <w:r>
        <w:t xml:space="preserve">}, where ŝ = (C̄ − A)/λ. If s</w:t>
      </w:r>
      <w:r>
        <w:rPr>
          <w:vertAlign w:val="subscript"/>
        </w:rPr>
        <w:t xml:space="preserve">e</w:t>
      </w:r>
      <w:r>
        <w:t xml:space="preserve"> &lt; ŝ, the minimum on the region exceeds J(0) = mA. If s</w:t>
      </w:r>
      <w:r>
        <w:rPr>
          <w:vertAlign w:val="subscript"/>
        </w:rPr>
        <w:t xml:space="preserve">e</w:t>
      </w:r>
      <w:r>
        <w:t xml:space="preserve"> ≥ ŝ, then J(s</w:t>
      </w:r>
      <w:r>
        <w:rPr>
          <w:vertAlign w:val="subscript"/>
        </w:rPr>
        <w:t xml:space="preserve">e</w:t>
      </w:r>
      <w:r>
        <w:t xml:space="preserve">) ≤ mA if and only if C̄ − A ≤ λs</w:t>
      </w:r>
      <w:r>
        <w:rPr>
          <w:vertAlign w:val="subscript"/>
        </w:rPr>
        <w:t xml:space="preserve">e</w:t>
      </w:r>
      <w:r>
        <w:t xml:space="preserve"> − ιs</w:t>
      </w:r>
      <w:r>
        <w:rPr>
          <w:vertAlign w:val="subscript"/>
        </w:rPr>
        <w:t xml:space="preserve">e</w:t>
      </w:r>
      <w:r>
        <w:t xml:space="preserve">²/(2m) = Λ, and the right side is at most λs</w:t>
      </w:r>
      <w:r>
        <w:rPr>
          <w:vertAlign w:val="subscript"/>
        </w:rPr>
        <w:t xml:space="preserve">e</w:t>
      </w:r>
      <w:r>
        <w:t xml:space="preserve">, so this condition already implies s</w:t>
      </w:r>
      <w:r>
        <w:rPr>
          <w:vertAlign w:val="subscript"/>
        </w:rPr>
        <w:t xml:space="preserve">e</w:t>
      </w:r>
      <w:r>
        <w:t xml:space="preserve"> ≥ ŝ. Rearranging with A = c − βρ + z gives z ≥ g</w:t>
      </w:r>
      <w:r>
        <w:rPr>
          <w:vertAlign w:val="subscript"/>
        </w:rPr>
        <w:t xml:space="preserve">0</w:t>
      </w:r>
      <w:r>
        <w:t xml:space="preserve"> − Λ. ∎</w:t>
      </w:r>
    </w:p>
    <w:p>
      <w:pPr/>
      <w:r>
        <w:t xml:space="preserve">A developer that expects many requests commits sunk cost to modular training precisely when enforcement is credible, which gives the claim that developers have little reason to invest without credible enforcement a formal threshold. A regulator can obtain a given level of deterrence through audits, whose cost increases in θ, or by subsidizing investment, which raises λ²/ι, whichever is cheaper at the margin.</w:t>
      </w:r>
    </w:p>
    <w:p>
      <w:pPr>
        <w:pStyle w:val="Heading3"/>
      </w:pPr>
      <w:r>
        <w:t xml:space="preserve">5.7 Noisy Tests</w:t>
      </w:r>
    </w:p>
    <w:p>
      <w:pPr/>
      <w:r>
        <w:t xml:space="preserve">A real test can return a positive signal even when no residue exists. Let a test have detection probability δ if residue is retained and false-positive probability α &lt; δ if the data was removed exactly, with the penalty F paid on a positive signal.</w:t>
      </w:r>
    </w:p>
    <w:p>
      <w:pPr/>
      <w:r>
        <w:rPr>
          <w:b/>
        </w:rPr>
        <w:t xml:space="preserve">Proposition 12 (Youden condition).</w:t>
      </w:r>
      <w:r>
        <w:t xml:space="preserve"> Exact removal is optimal if and only if pF(δ − α) ≥ (C − c) + βρ. Hence the audit power of Propositions 6 to 11 is J = δ − α, the Youden index (Youden 1950), not the sensitivity δ.</w:t>
      </w:r>
    </w:p>
    <w:p>
      <w:pPr/>
      <w:r>
        <w:rPr>
          <w:i/>
        </w:rPr>
        <w:t xml:space="preserve">Proof.</w:t>
      </w:r>
      <w:r>
        <w:t xml:space="preserve"> Exact removal yields −C − pαF; approximate removal yields −c + βρ − pδF. Comparing the two gives the condition. ∎</w:t>
      </w:r>
    </w:p>
    <w:p>
      <w:pPr/>
      <w:r>
        <w:t xml:space="preserve">A test with higher sensitivity but a higher false-positive rate can be worse for deterrence, and honest developers bear an expected penalty pαF, which is a deadweight cost whenever penalties are not pure transfers. Benchmarks used for compliance should therefore be judged by J rather than by recall alone.</w:t>
      </w:r>
    </w:p>
    <w:p>
      <w:pPr>
        <w:pStyle w:val="Heading3"/>
      </w:pPr>
      <w:r>
        <w:t xml:space="preserve">5.8 Private Residue: Declare-and-Pay</w:t>
      </w:r>
    </w:p>
    <w:p>
      <w:pPr/>
      <w:r>
        <w:t xml:space="preserve">The audit model so far leaves open why the regulator does not simply observe the residue. It cannot: the residue is private to the developer and visible only through an audit. Consider a liability rule with self-assessment in the sense of Section 5.3. The developer may keep residual knowledge but must declare the amount r̂ that it retains and pay contributors a price q per declared unit. An audit with probability p detects an undeclared amount with probability δ and imposes a fine f per undeclared unit; write z = pδf. The developer first chooses unlearning effort u ≥ 0 at convex cost χ(u), which determines the true residue r(u), decreasing and convex, and earns revenue β per unit retained. Social harm is h &gt; β per unit retained, so the planner minimizes χ(u) + (h − β)r(u). The structure is that of tax compliance (Allingham and Sandmo 1972) applied to retained knowledge.</w:t>
      </w:r>
    </w:p>
    <w:p>
      <w:pPr/>
      <w:r>
        <w:rPr>
          <w:b/>
        </w:rPr>
        <w:t xml:space="preserve">Proposition 13 (Declare-and-pay).</w:t>
      </w:r>
      <w:r>
        <w:t xml:space="preserve"> (a) Given a residue r, the developer declares truthfully if and only if z ≥ q; otherwise it declares nothing. Its cost per unit of residue is the effective price τ = min{q, z}. (b) The effort u*(τ) that minimizes χ(u) + (τ − β)r(u) is nondecreasing in τ, so residue falls continuously with audit intensity. (c) With q = h, effort is socially efficient if and only if z ≥ h. (d) In the linear–quadratic case χ(u) = u²/2 and r(u) = r</w:t>
      </w:r>
      <w:r>
        <w:rPr>
          <w:vertAlign w:val="subscript"/>
        </w:rPr>
        <w:t xml:space="preserve">0</w:t>
      </w:r>
      <w:r>
        <w:t xml:space="preserve">(1 − u), effort is the value of (τ − β)r</w:t>
      </w:r>
      <w:r>
        <w:rPr>
          <w:vertAlign w:val="subscript"/>
        </w:rPr>
        <w:t xml:space="preserve">0</w:t>
      </w:r>
      <w:r>
        <w:t xml:space="preserve"> clipped to [0, 1], and the welfare loss from an effective price τ ∈ [β, h] is (h − τ)²r</w:t>
      </w:r>
      <w:r>
        <w:rPr>
          <w:vertAlign w:val="subscript"/>
        </w:rPr>
        <w:t xml:space="preserve">0</w:t>
      </w:r>
      <w:r>
        <w:t xml:space="preserve">²/2. A regulator with audit cost a, test power δ and fine cap f̄ then sets f = f̄ and z* = h − a/(δf̄r</w:t>
      </w:r>
      <w:r>
        <w:rPr>
          <w:vertAlign w:val="subscript"/>
        </w:rPr>
        <w:t xml:space="preserve">0</w:t>
      </w:r>
      <w:r>
        <w:t xml:space="preserve">²), provided that β &lt; z* ≤ δf̄ and (h − β)r</w:t>
      </w:r>
      <w:r>
        <w:rPr>
          <w:vertAlign w:val="subscript"/>
        </w:rPr>
        <w:t xml:space="preserve">0</w:t>
      </w:r>
      <w:r>
        <w:t xml:space="preserve"> ≤ 1. (e) The second-best optimum leaves residue above the efficient level.</w:t>
      </w:r>
    </w:p>
    <w:p>
      <w:pPr/>
      <w:r>
        <w:rPr>
          <w:i/>
        </w:rPr>
        <w:t xml:space="preserve">Proof.</w:t>
      </w:r>
      <w:r>
        <w:t xml:space="preserve"> (a) The developer chooses r̂ ∈ [0, r] to minimize qr̂ + z(r − r̂), which is linear in r̂ with slope q − z; so r̂ = r if z ≥ q and r̂ = 0 otherwise, with ties going to truthful declaration, and the minimized cost is min{q, z}r. (b) The objective χ(u) + (τ − β)r(u) has cross-derivative r′(u) ≤ 0 in (u, τ), so it has decreasing differences and its largest minimizer is nondecreasing in τ (Topkis 1978). (c) With q = h and z ≥ h we have τ = h, and the developer's objective equals the planner's; if z &lt; h, then τ &lt; h and effort is weakly lower, strictly so at interior solutions. (d) The first-order condition gives u = (τ − β)r</w:t>
      </w:r>
      <w:r>
        <w:rPr>
          <w:vertAlign w:val="subscript"/>
        </w:rPr>
        <w:t xml:space="preserve">0</w:t>
      </w:r>
      <w:r>
        <w:t xml:space="preserve">. The planner's objective is quadratic in u with curvature 1, so the loss is half the squared effort gap, ((h − τ)r</w:t>
      </w:r>
      <w:r>
        <w:rPr>
          <w:vertAlign w:val="subscript"/>
        </w:rPr>
        <w:t xml:space="preserve">0</w:t>
      </w:r>
      <w:r>
        <w:t xml:space="preserve">)²/2. The regulator minimizes az/(δf̄) + (h − z)²r</w:t>
      </w:r>
      <w:r>
        <w:rPr>
          <w:vertAlign w:val="subscript"/>
        </w:rPr>
        <w:t xml:space="preserve">0</w:t>
      </w:r>
      <w:r>
        <w:t xml:space="preserve">²/2 over z ∈ [0, h], with p = z/(δf̄) ≤ 1; raising f lowers the audit cost of any z, so f = f̄, and the first-order condition gives z*. (e) follows because z* &lt; h. ∎</w:t>
      </w:r>
    </w:p>
    <w:p>
      <w:pPr/>
      <w:r>
        <w:t xml:space="preserve">Three points follow. First, the cliff in Proposition 6 comes from binary effort: with continuous effort, audit intensity buys partial deterrence, and the optimal regime tolerates positive residue, more of it as audits become costlier, tests weaker, or fines more capped. Second, the audit condition reappears as z ≥ q, so the fine multiple must cover the damage rate divided by the detection probability. Third, the declared amount pins down the compensation flow to contributors, and q can be calibrated to the third-party Shapley value of the data (Proposition 1), which ties Section 5 to Section 3.</w:t>
      </w:r>
    </w:p>
    <w:p>
      <w:pPr>
        <w:pStyle w:val="Heading2"/>
      </w:pPr>
      <w:r>
        <w:t>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an aggregate gap of −ε(∅). (P3) Contributors whose data is harder to forget are undervalued more. (P4) Stronger recovery attacks raise measured residuals and therefore audit power. The experiment speaks to P2 and P4. It addresses P3 only through a single duplication run and P1 only through a sanity check on disjoint groups. Two further predictions are not tested here: (P5) with all 24 removal orders, sequential estimates satisfy the aggregate identity of Proposition 4 exactly, and (P6) the sign of the replication gain is given by the weighted sum in Proposition 2.</w:t>
      </w:r>
    </w:p>
    <w:p>
      <w:pPr/>
      <w:r>
        <w:t xml:space="preserve">The enforcement results add three more predictions. (P7) Under a fixed audit budget, undeterred requests concentrate on those with a high deterrence threshold θ</w:t>
      </w:r>
      <w:r>
        <w:rPr>
          <w:vertAlign w:val="subscript"/>
        </w:rPr>
        <w:t xml:space="preserve">i</w:t>
      </w:r>
      <w:r>
        <w:t xml:space="preserve"> (Proposition 9). (P8) When a developer tunes against a public benchmark, the gap between a held-out audit score and the public score grows with tuning effort and then saturates (Proposition 10). (P9) Developers that expect more requests adopt modular training, but only above an enforcement threshold (Proposition 11). The experiment tests P8 and does not support it; it does not test P7 or P9.</w:t>
      </w:r>
    </w:p>
    <w:p>
      <w:pPr>
        <w:pStyle w:val="Heading3"/>
      </w:pPr>
      <w:r>
        <w:t>6.1 Setting</w:t>
      </w:r>
    </w:p>
    <w:p>
      <w:pPr/>
      <w:r>
        <w:t xml:space="preserve">Testing these predictions requires a setting in which exact retraining is affordable and the content of each contributor's data is known. Fictitious-author benchmarks meet both conditions. In TOFU (Maini et al. 2024), a pretrained model is fine-tuned on question-answer pairs about synthetic authors who do not exist on the web, so a model fine-tuned without a given author has, by construction, no legitimate way to answer questions about that author.</w:t>
      </w:r>
    </w:p>
    <w:p>
      <w:pPr/>
      <w:r>
        <w:t xml:space="preserve">We partition the authors into n = 4 contributor groups of ten authors each, with twenty question-answer pairs per author, and always include a base corpus D</w:t>
      </w:r>
      <w:r>
        <w:rPr>
          <w:vertAlign w:val="subscript"/>
        </w:rPr>
        <w:t xml:space="preserve">0</w:t>
      </w:r>
      <w:r>
        <w:t xml:space="preserve"> of one hundred further authors in training. Because n = 4 yields only 2</w:t>
      </w:r>
      <w:r>
        <w:rPr>
          <w:vertAlign w:val="superscript"/>
        </w:rPr>
        <w:t xml:space="preserve">4</w:t>
      </w:r>
      <w:r>
        <w:t xml:space="preserve"> = 16 coalitions, the contribution game can be computed exactly by fine-tuning one model per coalition. The base model is Qwen2.5-0.5B, fine-tuned in full for five epochs (AdamW, learning rate 2e-5, batch size 32). We repeat the experiment for five seeds; the seed changes the assignment of authors to groups as well as the training order, so variation across seeds includes variation in group composition. Seed 0 is analyzed in full, with all strengths and the concealment arms, and seeds 1 to 4 were run at s ∈ {8, 20, 28, 32}. Each question appears in one of four prompt formats, drawn at random at each epoch. Format 0 (“Question: … Answer:”) is the public benchmark format, which unlearning always uses, and formats 2 and 3 serve as audit formats. Performance U(S) combines an author component, the mean over question-answer pairs of the exponentiated mean answer-token log-probability, averaged over the four groups, and a general component, the same score on the TOFU real-authors and world-facts sets, which captures collateral damage. The two receive equal weight, so that v = Δ</w:t>
      </w:r>
      <w:r>
        <w:rPr>
          <w:vertAlign w:val="subscript"/>
        </w:rPr>
        <w:t xml:space="preserve">author</w:t>
      </w:r>
      <w:r>
        <w:t xml:space="preserve"> + Δ</w:t>
      </w:r>
      <w:r>
        <w:rPr>
          <w:vertAlign w:val="subscript"/>
        </w:rPr>
        <w:t xml:space="preserve">general</w:t>
      </w:r>
      <w:r>
        <w:t xml:space="preserve">, with Δ measured relative to U(∅). Both are evaluated on the training questions, so U measures memorization rather than generalization.</w:t>
      </w:r>
    </w:p>
    <w:p>
      <w:pPr>
        <w:pStyle w:val="Heading3"/>
      </w:pPr>
      <w:r>
        <w:t>6.2 Manipulations</w:t>
      </w:r>
    </w:p>
    <w:p>
      <w:pPr/>
      <w:r>
        <w:t xml:space="preserve">To test P1, redundant contributors would be built by giving two groups the same author facts; this was not run, so P1 remains untested. To test P3, the depth to which a group is learned is varied by duplicating its training examples k times (k = 1, 2, 4, and 8 for the four groups), a proxy for the repetition that makes web text hard to unlearn; this was run once, with the group composition of seed 0 (Section 6.4).</w:t>
      </w:r>
    </w:p>
    <w:p>
      <w:pPr>
        <w:pStyle w:val="Heading3"/>
      </w:pPr>
      <w:r>
        <w:t>6.3 Estimators and Unlearning Methods</w:t>
      </w:r>
    </w:p>
    <w:p>
      <w:pPr/>
      <w:r>
        <w:t>For each configuration we compute the following:</w:t>
      </w:r>
    </w:p>
    <w:p>
      <w:pPr>
        <w:pStyle w:val="ListParagraph"/>
        <w:numPr>
          <w:ilvl w:val="0"/>
          <w:numId w:val="2"/>
        </w:numPr>
      </w:pPr>
      <w:r>
        <w:t>exact Shapley values φ(v) from all 16 retrained models;</w:t>
      </w:r>
    </w:p>
    <w:p>
      <w:pPr>
        <w:pStyle w:val="ListParagraph"/>
        <w:numPr>
          <w:ilvl w:val="0"/>
          <w:numId w:val="2"/>
        </w:numPr>
      </w:pPr>
      <w:r>
        <w:t>leave-one-out values w({i});</w:t>
      </w:r>
    </w:p>
    <w:p>
      <w:pPr>
        <w:pStyle w:val="ListParagraph"/>
        <w:numPr>
          <w:ilvl w:val="0"/>
          <w:numId w:val="2"/>
        </w:numPr>
      </w:pPr>
      <w:r>
        <w:t>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ins w:id="901" w:author="Claude" w:date="2026-10-05T00:00:00Z">
        <w:r>
          <w:t xml:space="preserve"> on this experiment, although both are implemented in the accompanying code (options gd and npo)</w:t>
        </w:r>
      </w:ins>
      <w:r>
        <w:t xml:space="preserve">;</w:t>
      </w:r>
    </w:p>
    <w:p>
      <w:pPr>
        <w:pStyle w:val="ListParagraph"/>
        <w:numPr>
          <w:ilvl w:val="0"/>
          <w:numId w:val="2"/>
        </w:numPr>
      </w:pPr>
      <w:r>
        <w:t>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applied to questions in the public format. The strength s is the number of gradient-ascent steps per removed group, so removing |N \ T| groups takes s · |N \ T| steps. We chose the learning rate in an earlier calibration run with a single training format, in which the sign of ε(∅) changed at about 20 steps per group; with four formats it changes at about 27, so we report s ∈ {8, 12, 16, 20, 24, 28, 32, 40, 48} for seed 0 and s ∈ {8, 20, 28, 32} for seeds 1 to 4. Because the calibration relies on the retrained baseline U(∅), that is, on the diagnostic of Section 4.4, we report all strengths rather than a single tuned value.</w:t>
      </w:r>
    </w:p>
    <w:p>
      <w:pPr/>
      <w:r>
        <w:t xml:space="preserve">To test P4, we apply a relearning attack following Łucki et al. (2024). The model from which all four groups have been unlearned is briefly fine-tuned (learning rate 2e-5, batch size 32) on a random 10 percent of the forgotten question-answer pairs and evaluated on the remaining 90 percent. We report author performance at T = ∅ after zero and five relearning steps, and we apply the same attack to the model retrained without the four groups as a control.</w:t>
      </w:r>
    </w:p>
    <w:p>
      <w:pPr/>
      <w:r>
        <w:t xml:space="preserve">To test P8, the developer's unlearning at T = ∅ is followed by 5b suppression steps (learning rate 1e-5, batch size 16) that train the model to answer “I don't know.” on the public benchmark questions, with b ∈ {0, 1, 2, 4, 8} in the format design, b ∈ {0, 1, 2, 4, 8, 16} in the held-out design, and s ∈ {16, 20, 24} in both. In the format design the developer tunes on all forgotten questions in format 0 and the audit asks the same questions in formats 2 and 3. In the held-out design the developer tunes on one half of the forgotten questions, which serve as the public benchmark, and the audit asks the other half in the public format. We report the public score, the audit score, and their difference, the concealment gap, and apply the relearning attack to each model.</w:t>
      </w:r>
    </w:p>
    <w:p>
      <w:pPr>
        <w:pStyle w:val="Heading3"/>
      </w:pPr>
      <w:r>
        <w:t>6.4 Results</w:t>
      </w:r>
    </w:p>
    <w:p>
      <w:pPr/>
      <w:r>
        <w:t xml:space="preserve">Table 1 sets each prediction against what we observe. Table 2 reports the residual game at the empty coalition, ε(∅) = ρ(∅) − κ(∅), for each unlearning strength, together with author performance at T = ∅ before and after a five-step relearning attack and the result of the same attack on the retrained model. The retrained baseline U(∅) has author performance 0.111 in seed 0. Tables 1 and 2 describe seed 0; Table 3 covers all five seeds.</w:t>
      </w:r>
    </w:p>
    <w:p>
      <w:pPr>
        <w:pStyle w:val="Caption"/>
      </w:pPr>
      <w:r>
        <w:rPr>
          <w:b/>
        </w:rPr>
        <w:t>Table 1. Predictions and Observed Results (Seed 0 Unless Noted)</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1.00 and 1.04.</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Not computed: within a seed the four exact values differ by at most 0.008, and groups change with the seed, so ranks are not identified.</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−0.732 (s = 8) to +0.121 (s = 40 and 48). Across five seeds ε(∅) at s = 28 is 0.042 ± 0.144.</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Weak: ε(∅) at s = 32 rises from −0.107 (no duplication) to +0.487. Per group the bias is smallest for k = 1 and not monotone in k among k = 2, 4, 8.</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28, author performance at ∅ rises from 0.091 to 0.804 after five steps, against 0.114 to 0.151 for the retrained control. Over five seeds the recovery exceeds the control by 0.600 ± 0.050 at s = 32.</w:t>
            </w:r>
          </w:p>
        </w:tc>
      </w:tr>
      <w:tr>
        <w:tc>
          <w:tcPr>
            <w:tcW w:w="2340" w:type="dxa"/>
          </w:tcPr>
          <w:p>
            <w:pPr>
              <w:pStyle w:val="TableText"/>
            </w:pPr>
            <w:r>
              <w:t xml:space="preserve">Concealment against a public benchmark</w:t>
            </w:r>
          </w:p>
        </w:tc>
        <w:tc>
          <w:tcPr>
            <w:tcW w:w="2340" w:type="dxa"/>
          </w:tcPr>
          <w:p>
            <w:pPr>
              <w:pStyle w:val="TableText"/>
            </w:pPr>
            <w:r>
              <w:t xml:space="preserve">Held-out minus benchmark score vs. suppression budget</w:t>
            </w:r>
          </w:p>
        </w:tc>
        <w:tc>
          <w:tcPr>
            <w:tcW w:w="2340" w:type="dxa"/>
          </w:tcPr>
          <w:p>
            <w:pPr>
              <w:pStyle w:val="TableText"/>
            </w:pPr>
            <w:r>
              <w:t xml:space="preserve">Gap grows with budget, then saturates</w:t>
            </w:r>
          </w:p>
        </w:tc>
        <w:tc>
          <w:tcPr>
            <w:tcW w:w="2340" w:type="dxa"/>
          </w:tcPr>
          <w:p>
            <w:pPr>
              <w:pStyle w:val="TableText"/>
            </w:pPr>
            <w:r>
              <w:t xml:space="preserve">Not supported: at s = 16 the gap falls from +0.074 (b = 0) to +0.012 (b = 16); in the format design it stays at or below +0.006.</w:t>
            </w:r>
          </w:p>
        </w:tc>
      </w:tr>
    </w:tbl>
    <w:p>
      <w:pPr>
        <w:spacing w:after="0" w:line="240" w:lineRule="auto"/>
        <w:ind w:firstLine="0"/>
      </w:pPr>
    </w:p>
    <w:p/>
    <w:p>
      <w:pPr>
        <w:pStyle w:val="Caption"/>
      </w:pPr>
      <w:r>
        <w:rPr>
          <w:b/>
        </w:rPr>
        <w:t>Table 2. Residual Game at the Empty Coalition, by Gradient-Ascent Strength (Seed 0)</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0.732</w:t>
            </w:r>
          </w:p>
        </w:tc>
        <w:tc>
          <w:tcPr>
            <w:tcW w:w="1872" w:type="dxa"/>
          </w:tcPr>
          <w:p>
            <w:pPr>
              <w:pStyle w:val="TableText"/>
            </w:pPr>
            <w:r>
              <w:t xml:space="preserve">0.730</w:t>
            </w:r>
          </w:p>
        </w:tc>
        <w:tc>
          <w:tcPr>
            <w:tcW w:w="1872" w:type="dxa"/>
          </w:tcPr>
          <w:p>
            <w:pPr>
              <w:pStyle w:val="TableText"/>
            </w:pPr>
            <w:r>
              <w:t xml:space="preserve">−0.003</w:t>
            </w:r>
          </w:p>
        </w:tc>
        <w:tc>
          <w:tcPr>
            <w:tcW w:w="1872" w:type="dxa"/>
          </w:tcPr>
          <w:p>
            <w:pPr>
              <w:pStyle w:val="TableText"/>
            </w:pPr>
            <w:r>
              <w:t xml:space="preserve">0.837 → 0.881</w:t>
            </w:r>
          </w:p>
        </w:tc>
      </w:tr>
      <w:tr>
        <w:tc>
          <w:tcPr>
            <w:tcW w:w="1872" w:type="dxa"/>
          </w:tcPr>
          <w:p>
            <w:pPr>
              <w:pStyle w:val="TableText"/>
            </w:pPr>
            <w:r>
              <w:t xml:space="preserve">12</w:t>
            </w:r>
          </w:p>
        </w:tc>
        <w:tc>
          <w:tcPr>
            <w:tcW w:w="1872" w:type="dxa"/>
          </w:tcPr>
          <w:p>
            <w:pPr>
              <w:pStyle w:val="TableText"/>
            </w:pPr>
            <w:r>
              <w:t xml:space="preserve">0.624</w:t>
            </w:r>
          </w:p>
        </w:tc>
        <w:tc>
          <w:tcPr>
            <w:tcW w:w="1872" w:type="dxa"/>
          </w:tcPr>
          <w:p>
            <w:pPr>
              <w:pStyle w:val="TableText"/>
            </w:pPr>
            <w:r>
              <w:t xml:space="preserve">0.620</w:t>
            </w:r>
          </w:p>
        </w:tc>
        <w:tc>
          <w:tcPr>
            <w:tcW w:w="1872" w:type="dxa"/>
          </w:tcPr>
          <w:p>
            <w:pPr>
              <w:pStyle w:val="TableText"/>
            </w:pPr>
            <w:r>
              <w:t xml:space="preserve">−0.004</w:t>
            </w:r>
          </w:p>
        </w:tc>
        <w:tc>
          <w:tcPr>
            <w:tcW w:w="1872" w:type="dxa"/>
          </w:tcPr>
          <w:p>
            <w:pPr>
              <w:pStyle w:val="TableText"/>
            </w:pPr>
            <w:r>
              <w:t xml:space="preserve">0.728 → 0.866</w:t>
            </w:r>
          </w:p>
        </w:tc>
      </w:tr>
      <w:tr>
        <w:tc>
          <w:tcPr>
            <w:tcW w:w="1872" w:type="dxa"/>
          </w:tcPr>
          <w:p>
            <w:pPr>
              <w:pStyle w:val="TableText"/>
            </w:pPr>
            <w:r>
              <w:t xml:space="preserve">16</w:t>
            </w:r>
          </w:p>
        </w:tc>
        <w:tc>
          <w:tcPr>
            <w:tcW w:w="1872" w:type="dxa"/>
          </w:tcPr>
          <w:p>
            <w:pPr>
              <w:pStyle w:val="TableText"/>
            </w:pPr>
            <w:r>
              <w:t xml:space="preserve">0.454</w:t>
            </w:r>
          </w:p>
        </w:tc>
        <w:tc>
          <w:tcPr>
            <w:tcW w:w="1872" w:type="dxa"/>
          </w:tcPr>
          <w:p>
            <w:pPr>
              <w:pStyle w:val="TableText"/>
            </w:pPr>
            <w:r>
              <w:t xml:space="preserve">0.449</w:t>
            </w:r>
          </w:p>
        </w:tc>
        <w:tc>
          <w:tcPr>
            <w:tcW w:w="1872" w:type="dxa"/>
          </w:tcPr>
          <w:p>
            <w:pPr>
              <w:pStyle w:val="TableText"/>
            </w:pPr>
            <w:r>
              <w:t xml:space="preserve">−0.005</w:t>
            </w:r>
          </w:p>
        </w:tc>
        <w:tc>
          <w:tcPr>
            <w:tcW w:w="1872" w:type="dxa"/>
          </w:tcPr>
          <w:p>
            <w:pPr>
              <w:pStyle w:val="TableText"/>
            </w:pPr>
            <w:r>
              <w:t xml:space="preserve">0.559 → 0.850</w:t>
            </w:r>
          </w:p>
        </w:tc>
      </w:tr>
      <w:tr>
        <w:tc>
          <w:tcPr>
            <w:tcW w:w="1872" w:type="dxa"/>
          </w:tcPr>
          <w:p>
            <w:pPr>
              <w:pStyle w:val="TableText"/>
            </w:pPr>
            <w:r>
              <w:t xml:space="preserve">20</w:t>
            </w:r>
          </w:p>
        </w:tc>
        <w:tc>
          <w:tcPr>
            <w:tcW w:w="1872" w:type="dxa"/>
          </w:tcPr>
          <w:p>
            <w:pPr>
              <w:pStyle w:val="TableText"/>
            </w:pPr>
            <w:r>
              <w:t xml:space="preserve">0.255</w:t>
            </w:r>
          </w:p>
        </w:tc>
        <w:tc>
          <w:tcPr>
            <w:tcW w:w="1872" w:type="dxa"/>
          </w:tcPr>
          <w:p>
            <w:pPr>
              <w:pStyle w:val="TableText"/>
            </w:pPr>
            <w:r>
              <w:t xml:space="preserve">0.251</w:t>
            </w:r>
          </w:p>
        </w:tc>
        <w:tc>
          <w:tcPr>
            <w:tcW w:w="1872" w:type="dxa"/>
          </w:tcPr>
          <w:p>
            <w:pPr>
              <w:pStyle w:val="TableText"/>
            </w:pPr>
            <w:r>
              <w:t xml:space="preserve">−0.004</w:t>
            </w:r>
          </w:p>
        </w:tc>
        <w:tc>
          <w:tcPr>
            <w:tcW w:w="1872" w:type="dxa"/>
          </w:tcPr>
          <w:p>
            <w:pPr>
              <w:pStyle w:val="TableText"/>
            </w:pPr>
            <w:r>
              <w:t xml:space="preserve">0.362 → 0.823</w:t>
            </w:r>
          </w:p>
        </w:tc>
      </w:tr>
      <w:tr>
        <w:tc>
          <w:tcPr>
            <w:tcW w:w="1872" w:type="dxa"/>
          </w:tcPr>
          <w:p>
            <w:pPr>
              <w:pStyle w:val="TableText"/>
            </w:pPr>
            <w:r>
              <w:t xml:space="preserve">24</w:t>
            </w:r>
          </w:p>
        </w:tc>
        <w:tc>
          <w:tcPr>
            <w:tcW w:w="1872" w:type="dxa"/>
          </w:tcPr>
          <w:p>
            <w:pPr>
              <w:pStyle w:val="TableText"/>
            </w:pPr>
            <w:r>
              <w:t xml:space="preserve">0.084</w:t>
            </w:r>
          </w:p>
        </w:tc>
        <w:tc>
          <w:tcPr>
            <w:tcW w:w="1872" w:type="dxa"/>
          </w:tcPr>
          <w:p>
            <w:pPr>
              <w:pStyle w:val="TableText"/>
            </w:pPr>
            <w:r>
              <w:t xml:space="preserve">0.083</w:t>
            </w:r>
          </w:p>
        </w:tc>
        <w:tc>
          <w:tcPr>
            <w:tcW w:w="1872" w:type="dxa"/>
          </w:tcPr>
          <w:p>
            <w:pPr>
              <w:pStyle w:val="TableText"/>
            </w:pPr>
            <w:r>
              <w:t xml:space="preserve">−0.001</w:t>
            </w:r>
          </w:p>
        </w:tc>
        <w:tc>
          <w:tcPr>
            <w:tcW w:w="1872" w:type="dxa"/>
          </w:tcPr>
          <w:p>
            <w:pPr>
              <w:pStyle w:val="TableText"/>
            </w:pPr>
            <w:r>
              <w:t xml:space="preserve">0.195 → 0.814</w:t>
            </w:r>
          </w:p>
        </w:tc>
      </w:tr>
      <w:tr>
        <w:tc>
          <w:tcPr>
            <w:tcW w:w="1872" w:type="dxa"/>
          </w:tcPr>
          <w:p>
            <w:pPr>
              <w:pStyle w:val="TableText"/>
            </w:pPr>
            <w:r>
              <w:t xml:space="preserve">28</w:t>
            </w:r>
          </w:p>
        </w:tc>
        <w:tc>
          <w:tcPr>
            <w:tcW w:w="1872" w:type="dxa"/>
          </w:tcPr>
          <w:p>
            <w:pPr>
              <w:pStyle w:val="TableText"/>
            </w:pPr>
            <w:r>
              <w:t xml:space="preserve">−0.023</w:t>
            </w:r>
          </w:p>
        </w:tc>
        <w:tc>
          <w:tcPr>
            <w:tcW w:w="1872" w:type="dxa"/>
          </w:tcPr>
          <w:p>
            <w:pPr>
              <w:pStyle w:val="TableText"/>
            </w:pPr>
            <w:r>
              <w:t xml:space="preserve">−0.021</w:t>
            </w:r>
          </w:p>
        </w:tc>
        <w:tc>
          <w:tcPr>
            <w:tcW w:w="1872" w:type="dxa"/>
          </w:tcPr>
          <w:p>
            <w:pPr>
              <w:pStyle w:val="TableText"/>
            </w:pPr>
            <w:r>
              <w:t xml:space="preserve">0.003</w:t>
            </w:r>
          </w:p>
        </w:tc>
        <w:tc>
          <w:tcPr>
            <w:tcW w:w="1872" w:type="dxa"/>
          </w:tcPr>
          <w:p>
            <w:pPr>
              <w:pStyle w:val="TableText"/>
            </w:pPr>
            <w:r>
              <w:t xml:space="preserve">0.091 → 0.804</w:t>
            </w:r>
          </w:p>
        </w:tc>
      </w:tr>
      <w:tr>
        <w:tc>
          <w:tcPr>
            <w:tcW w:w="1872" w:type="dxa"/>
          </w:tcPr>
          <w:p>
            <w:pPr>
              <w:pStyle w:val="TableText"/>
            </w:pPr>
            <w:r>
              <w:t xml:space="preserve">32</w:t>
            </w:r>
          </w:p>
        </w:tc>
        <w:tc>
          <w:tcPr>
            <w:tcW w:w="1872" w:type="dxa"/>
          </w:tcPr>
          <w:p>
            <w:pPr>
              <w:pStyle w:val="TableText"/>
            </w:pPr>
            <w:r>
              <w:t xml:space="preserve">−0.107</w:t>
            </w:r>
          </w:p>
        </w:tc>
        <w:tc>
          <w:tcPr>
            <w:tcW w:w="1872" w:type="dxa"/>
          </w:tcPr>
          <w:p>
            <w:pPr>
              <w:pStyle w:val="TableText"/>
            </w:pPr>
            <w:r>
              <w:t xml:space="preserve">−0.099</w:t>
            </w:r>
          </w:p>
        </w:tc>
        <w:tc>
          <w:tcPr>
            <w:tcW w:w="1872" w:type="dxa"/>
          </w:tcPr>
          <w:p>
            <w:pPr>
              <w:pStyle w:val="TableText"/>
            </w:pPr>
            <w:r>
              <w:t xml:space="preserve">0.008</w:t>
            </w:r>
          </w:p>
        </w:tc>
        <w:tc>
          <w:tcPr>
            <w:tcW w:w="1872" w:type="dxa"/>
          </w:tcPr>
          <w:p>
            <w:pPr>
              <w:pStyle w:val="TableText"/>
            </w:pPr>
            <w:r>
              <w:t xml:space="preserve">0.011 → 0.753</w:t>
            </w:r>
          </w:p>
        </w:tc>
      </w:tr>
      <w:tr>
        <w:tc>
          <w:tcPr>
            <w:tcW w:w="1872" w:type="dxa"/>
          </w:tcPr>
          <w:p>
            <w:pPr>
              <w:pStyle w:val="TableText"/>
            </w:pPr>
            <w:r>
              <w:t xml:space="preserve">40</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0.412</w:t>
            </w:r>
          </w:p>
        </w:tc>
      </w:tr>
      <w:tr>
        <w:tc>
          <w:tcPr>
            <w:tcW w:w="1872" w:type="dxa"/>
          </w:tcPr>
          <w:p>
            <w:pPr>
              <w:pStyle w:val="TableText"/>
            </w:pPr>
            <w:r>
              <w:t xml:space="preserve">48</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0.400</w:t>
            </w:r>
          </w:p>
        </w:tc>
      </w:tr>
      <w:tr>
        <w:tc>
          <w:tcPr>
            <w:tcW w:w="1872" w:type="dxa"/>
          </w:tcPr>
          <w:p>
            <w:pPr>
              <w:pStyle w:val="TableText"/>
            </w:pPr>
            <w:r>
              <w:t xml:space="preserve">Retrained control</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0.114 → 0.151</w:t>
            </w:r>
          </w:p>
        </w:tc>
      </w:tr>
    </w:tbl>
    <w:p>
      <w:pPr>
        <w:spacing w:after="0" w:line="240" w:lineRule="auto"/>
        <w:ind w:firstLine="0"/>
      </w:pPr>
    </w:p>
    <w:p>
      <w:pPr/>
      <w:r>
        <w:t xml:space="preserve">Fine-tuning on all four groups raises author performance from 0.111 to 0.929 and leaves the general component essentially unchanged, so that v(N) = 0.8175. The exact Shapley values of the four groups are 0.2055, 0.2077, 0.2003, and 0.2040, and the game is close to additive, as one would expect when no two groups are redundant. The spread among groups is small within a seed, and because the groups change with the seed we cannot tell whether it reflects differences between groups or between training runs, so the ranking of contributors is not identified.</w:t>
      </w:r>
    </w:p>
    <w:p>
      <w:pPr/>
      <w:r>
        <w:t xml:space="preserve">Under exact enumeration of Û, the sum identity in Proposition 3 holds by construction, so the empirical questions are how large ε(∅) is and which sign it takes. Both depend strongly on strength. At s = 8, ε(∅) is 0.732, almost all of it residual knowledge, and the estimated values sum to 0.086, about 10 percent of v(N). The sign changes between s = 24 and s = 28, at roughly 27 steps per group by linear interpolation. At s = 32, ε(∅) is −0.107 and the estimated values overstate the total by about 13 percent; at s = 40 and 48 it is −0.121, about 15 percent, because author performance after unlearning has already reached zero. Collateral damage remains small throughout (|κ(∅)| ≤ 0.010), so ε(∅) is close to ρ(∅) at every strength.</w:t>
      </w:r>
    </w:p>
    <w:p>
      <w:pPr/>
      <w:r>
        <w:t xml:space="preserve">A small aggregate bias does not imply small individual biases. The L1 norm of the Shapley values of the residual game, computed on the author component, falls from 0.730 at s = 8 to 0.076 at s = 28, where the aggregate bias is close to zero, and then rises to 0.104, 0.113, and 0.111 at s = 32, 40, and 48. At s = 28, ρ(∅) is −0.021 while the L1 norm is 0.076, about 9 percent of the author-component v(N) of 0.818, so the individual biases must have mixed signs and cannot be a common shift. Away from the sign change, the L1 norm is close to |ε(∅)|, and the biases are mostly a common shift in one direction.</w:t>
      </w:r>
    </w:p>
    <w:p>
      <w:pPr/>
      <w:r>
        <w:t xml:space="preserve">At first, the sequential estimate moves away from the set-function estimate as strength increases: the L1 distance is 0.009 at s = 8, 0.081 at s = 16, 0.152 at s = 24, and 0.182 at s = 28, against an author-component v(N) of 0.818. It does not continue to rise (0.172, 0.159, and 0.288 at s = 32, 40, and 48). The assumption of Section 4.1 thus holds approximately for weak unlearning but breaks down where the aggregate bias is small. Because only six of the 24 removal orders are sampled, part of each distance reflects sampling error.</w:t>
      </w:r>
    </w:p>
    <w:p>
      <w:pPr/>
      <w:r>
        <w:t xml:space="preserve">The relearning attack shows that the aggregate diagnostic can mislead, and the retrained control shows that what it recovers is residual knowledge. Before the attack, author performance at ∅ on the held-back 90 percent of forgotten pairs falls from 0.837 at s = 8 to 0.091 at s = 28 and 0.011 at s = 32, and is 0.000 at s = 40 and 48, against 0.114 for the retrained model. After five relearning steps it returns to 0.881, 0.866, 0.850, 0.823, 0.814, and 0.804 for s = 8 to 28, to 0.753 at s = 32, and to 0.412 and 0.400 at s = 40 and 48. The same attack raises the retrained model only from 0.114 to 0.151, so the recovery cannot be attributed to a generic ability to relearn quickly from a few examples. At s = 28, where ε(∅) is slightly negative and the diagnostic would suggest complete forgetting (0.091 is below 0.114), a brief attack restores performance to 0.804. A value of ε(∅) obtained without an attack therefore does not certify removal, as P4 predicts.</w:t>
      </w:r>
    </w:p>
    <w:p>
      <w:pPr/>
      <w:r>
        <w:rPr>
          <w:i/>
        </w:rPr>
        <w:t xml:space="preserve">Variation across seeds.</w:t>
      </w:r>
      <w:r>
        <w:t xml:space="preserve"> Table 3 repeats the main statistics for five seeds. The total contribution is stable, with v(N) = 0.823 ± 0.007 (mean ± standard deviation; 95 percent interval [0.814, 0.832]), and within a seed the four exact Shapley values differ by 0.005 to 0.008. The aggregate bias, by contrast, is stable only where unlearning is weak: ε(∅) is 0.752 ± 0.015 at s = 8 but 0.325 ± 0.175 at s = 20, 0.042 ± 0.144 at s = 28, and −0.047 ± 0.090 at s = 32. The strength at which ε(∅) changes sign is 25.5, 26.0, 27.1, and 31.7 in the four seeds that cross by s = 32 (mean 27.6, standard deviation 2.8); in the fifth, ε(∅) is still +0.095 at s = 32, so this mean is biased downward. Near the sign change, a single run of ε(∅) is a poor guide to the size, or even the sign, of the aggregate bias.</w:t>
      </w:r>
    </w:p>
    <w:p>
      <w:pPr>
        <w:pStyle w:val="Caption"/>
      </w:pPr>
      <w:r>
        <w:rPr>
          <w:b/>
        </w:rPr>
        <w:t>Table 3. Five-Seed Summary (Mean ± Standard Deviation, n = 5)</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Strength s</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L1 norm of φ(ε)</w:t>
            </w:r>
          </w:p>
        </w:tc>
        <w:tc>
          <w:tcPr>
            <w:tcW w:w="1872" w:type="dxa"/>
            <w:tcBorders>
              <w:bottom w:val="single" w:sz="6" w:space="0" w:color="auto"/>
            </w:tcBorders>
          </w:tcPr>
          <w:p>
            <w:pPr>
              <w:pStyle w:val="TableText"/>
            </w:pPr>
            <w:r>
              <w:t xml:space="preserve">L1 distance, sequential vs. set-function</w:t>
            </w:r>
          </w:p>
        </w:tc>
        <w:tc>
          <w:tcPr>
            <w:tcW w:w="1872" w:type="dxa"/>
            <w:tcBorders>
              <w:bottom w:val="single" w:sz="6" w:space="0" w:color="auto"/>
            </w:tcBorders>
          </w:tcPr>
          <w:p>
            <w:pPr>
              <w:pStyle w:val="TableText"/>
            </w:pPr>
            <w:r>
              <w:t xml:space="preserve">Excess recovery over retrained control</w:t>
            </w:r>
          </w:p>
        </w:tc>
      </w:tr>
      <w:tr>
        <w:tc>
          <w:tcPr>
            <w:tcW w:w="1872" w:type="dxa"/>
          </w:tcPr>
          <w:p>
            <w:pPr>
              <w:pStyle w:val="TableText"/>
            </w:pPr>
            <w:r>
              <w:t xml:space="preserve">8</w:t>
            </w:r>
          </w:p>
        </w:tc>
        <w:tc>
          <w:tcPr>
            <w:tcW w:w="1872" w:type="dxa"/>
          </w:tcPr>
          <w:p>
            <w:pPr>
              <w:pStyle w:val="TableText"/>
            </w:pPr>
            <w:r>
              <w:t xml:space="preserve">0.752 ± 0.015</w:t>
            </w:r>
          </w:p>
        </w:tc>
        <w:tc>
          <w:tcPr>
            <w:tcW w:w="1872" w:type="dxa"/>
          </w:tcPr>
          <w:p>
            <w:pPr>
              <w:pStyle w:val="TableText"/>
            </w:pPr>
            <w:r>
              <w:t xml:space="preserve">0.749 ± 0.014</w:t>
            </w:r>
          </w:p>
        </w:tc>
        <w:tc>
          <w:tcPr>
            <w:tcW w:w="1872" w:type="dxa"/>
          </w:tcPr>
          <w:p>
            <w:pPr>
              <w:pStyle w:val="TableText"/>
            </w:pPr>
            <w:r>
              <w:t xml:space="preserve">0.027 ± 0.043</w:t>
            </w:r>
          </w:p>
        </w:tc>
        <w:tc>
          <w:tcPr>
            <w:tcW w:w="1872" w:type="dxa"/>
          </w:tcPr>
          <w:p>
            <w:pPr>
              <w:pStyle w:val="TableText"/>
            </w:pPr>
            <w:r>
              <w:t xml:space="preserve">0.729 ± 0.006</w:t>
            </w:r>
          </w:p>
        </w:tc>
      </w:tr>
      <w:tr>
        <w:tc>
          <w:tcPr>
            <w:tcW w:w="1872" w:type="dxa"/>
          </w:tcPr>
          <w:p>
            <w:pPr>
              <w:pStyle w:val="TableText"/>
            </w:pPr>
            <w:r>
              <w:t xml:space="preserve">20</w:t>
            </w:r>
          </w:p>
        </w:tc>
        <w:tc>
          <w:tcPr>
            <w:tcW w:w="1872" w:type="dxa"/>
          </w:tcPr>
          <w:p>
            <w:pPr>
              <w:pStyle w:val="TableText"/>
            </w:pPr>
            <w:r>
              <w:t xml:space="preserve">0.325 ± 0.175</w:t>
            </w:r>
          </w:p>
        </w:tc>
        <w:tc>
          <w:tcPr>
            <w:tcW w:w="1872" w:type="dxa"/>
          </w:tcPr>
          <w:p>
            <w:pPr>
              <w:pStyle w:val="TableText"/>
            </w:pPr>
            <w:r>
              <w:t xml:space="preserve">0.349 ± 0.144</w:t>
            </w:r>
          </w:p>
        </w:tc>
        <w:tc>
          <w:tcPr>
            <w:tcW w:w="1872" w:type="dxa"/>
          </w:tcPr>
          <w:p>
            <w:pPr>
              <w:pStyle w:val="TableText"/>
            </w:pPr>
            <w:r>
              <w:t xml:space="preserve">0.142 ± 0.062</w:t>
            </w:r>
          </w:p>
        </w:tc>
        <w:tc>
          <w:tcPr>
            <w:tcW w:w="1872" w:type="dxa"/>
          </w:tcPr>
          <w:p>
            <w:pPr>
              <w:pStyle w:val="TableText"/>
            </w:pPr>
            <w:r>
              <w:t xml:space="preserve">0.684 ± 0.009</w:t>
            </w:r>
          </w:p>
        </w:tc>
      </w:tr>
      <w:tr>
        <w:tc>
          <w:tcPr>
            <w:tcW w:w="1872" w:type="dxa"/>
          </w:tcPr>
          <w:p>
            <w:pPr>
              <w:pStyle w:val="TableText"/>
            </w:pPr>
            <w:r>
              <w:t xml:space="preserve">28</w:t>
            </w:r>
          </w:p>
        </w:tc>
        <w:tc>
          <w:tcPr>
            <w:tcW w:w="1872" w:type="dxa"/>
          </w:tcPr>
          <w:p>
            <w:pPr>
              <w:pStyle w:val="TableText"/>
            </w:pPr>
            <w:r>
              <w:t xml:space="preserve">0.042 ± 0.144</w:t>
            </w:r>
          </w:p>
        </w:tc>
        <w:tc>
          <w:tcPr>
            <w:tcW w:w="1872" w:type="dxa"/>
          </w:tcPr>
          <w:p>
            <w:pPr>
              <w:pStyle w:val="TableText"/>
            </w:pPr>
            <w:r>
              <w:t xml:space="preserve">0.141 ± 0.069</w:t>
            </w:r>
          </w:p>
        </w:tc>
        <w:tc>
          <w:tcPr>
            <w:tcW w:w="1872" w:type="dxa"/>
          </w:tcPr>
          <w:p>
            <w:pPr>
              <w:pStyle w:val="TableText"/>
            </w:pPr>
            <w:r>
              <w:t xml:space="preserve">0.178 ± 0.081</w:t>
            </w:r>
          </w:p>
        </w:tc>
        <w:tc>
          <w:tcPr>
            <w:tcW w:w="1872" w:type="dxa"/>
          </w:tcPr>
          <w:p>
            <w:pPr>
              <w:pStyle w:val="TableText"/>
            </w:pPr>
            <w:r>
              <w:t xml:space="preserve">0.646 ± 0.016</w:t>
            </w:r>
          </w:p>
        </w:tc>
      </w:tr>
      <w:tr>
        <w:tc>
          <w:tcPr>
            <w:tcW w:w="1872" w:type="dxa"/>
          </w:tcPr>
          <w:p>
            <w:pPr>
              <w:pStyle w:val="TableText"/>
            </w:pPr>
            <w:r>
              <w:t xml:space="preserve">32</w:t>
            </w:r>
          </w:p>
        </w:tc>
        <w:tc>
          <w:tcPr>
            <w:tcW w:w="1872" w:type="dxa"/>
          </w:tcPr>
          <w:p>
            <w:pPr>
              <w:pStyle w:val="TableText"/>
            </w:pPr>
            <w:r>
              <w:t xml:space="preserve">−0.047 ± 0.090</w:t>
            </w:r>
          </w:p>
        </w:tc>
        <w:tc>
          <w:tcPr>
            <w:tcW w:w="1872" w:type="dxa"/>
          </w:tcPr>
          <w:p>
            <w:pPr>
              <w:pStyle w:val="TableText"/>
            </w:pPr>
            <w:r>
              <w:t xml:space="preserve">0.097 ± 0.034</w:t>
            </w:r>
          </w:p>
        </w:tc>
        <w:tc>
          <w:tcPr>
            <w:tcW w:w="1872" w:type="dxa"/>
          </w:tcPr>
          <w:p>
            <w:pPr>
              <w:pStyle w:val="TableText"/>
            </w:pPr>
            <w:r>
              <w:t xml:space="preserve">0.158 ± 0.088</w:t>
            </w:r>
          </w:p>
        </w:tc>
        <w:tc>
          <w:tcPr>
            <w:tcW w:w="1872" w:type="dxa"/>
          </w:tcPr>
          <w:p>
            <w:pPr>
              <w:pStyle w:val="TableText"/>
            </w:pPr>
            <w:r>
              <w:t xml:space="preserve">0.600 ± 0.050</w:t>
            </w:r>
          </w:p>
        </w:tc>
      </w:tr>
    </w:tbl>
    <w:p>
      <w:pPr/>
      <w:r>
        <w:t xml:space="preserve">The result on individual biases also holds seed by seed. At six of the 25 seed–strength pairs the L1 norm exceeds |ε(∅)| by a factor of 1.4 to 4.7 (seed 0 at s = 28, seed 1 at s = 20, 28, and 32, seed 3 at s = 28, and seed 4 at s = 32). At these points |ε(∅)| is at most 0.139 while the L1 norm lies between 0.046 and 0.279, so the individual biases have mixed signs although the aggregate bias is small. At all other pairs the L1 norm is 0.9 to 1.0 times |ε(∅)|, and the biases are mostly a common shift.</w:t>
      </w:r>
    </w:p>
    <w:p>
      <w:pPr/>
      <w:r>
        <w:t xml:space="preserve">The relearning result is the most stable. Excess recovery over the retrained control is 0.729 ± 0.006 at s = 8, 0.684 ± 0.009 at s = 20, 0.646 ± 0.016 at s = 28, and 0.600 ± 0.050 at s = 32, whereas the controls themselves recover only to between 0.136 and 0.153. At all seven seed–strength pairs with ε(∅) ≤ 0 (seeds 0, 1, and 3 at s = 28 and 32, and seed 4 at s = 32), the unlearned model scores at or below the retrained baseline of its own seed before the attack (0.004 to 0.098, against baselines of 0.097 to 0.120) and recovers to between 0.650 and 0.811 afterward.</w:t>
      </w:r>
    </w:p>
    <w:p>
      <w:pPr/>
      <w:r>
        <w:rPr>
          <w:i/>
        </w:rPr>
        <w:t xml:space="preserve">Concealment (P8).</w:t>
      </w:r>
      <w:r>
        <w:t xml:space="preserve"> The concealment arm does not show the predicted pattern. In the format design, the audit score exceeds the public score by at most 0.006 at every strength and budget, and suppression lowers both together (at s = 16, from 0.560 and 0.564 at b = 0 to 0.053 and 0.056 at b = 8). In the held-out design, the gap at b = 0 is positive (+0.074, +0.054, and +0.012 at s = 16, 20, and 24) because ascent acts most directly on the questions the developer sees, and it shrinks to +0.012, +0.005, and 0.000 at b = 16 as both scores fall toward zero. Suppression therefore generalizes to questions on which the developer did not tune, and we do not observe the widening gap that Proposition 10 describes when concealment is cheap; the proposition implies this outcome when concealment is costly, but we cannot estimate κ. The arm does show that a near-zero standard score certifies little: after b = 16 the benchmark scores (0.063, 0.033, and 0.013) are below the retrained baseline of 0.111, yet five relearning steps restore performance to 0.733, 0.711, and 0.689, against 0.151 for the retrained control.</w:t>
      </w:r>
    </w:p>
    <w:p>
      <w:pPr/>
      <w:r>
        <w:rPr>
          <w:i/>
        </w:rPr>
        <w:t xml:space="preserve">Duplication (P3).</w:t>
      </w:r>
      <w:r>
        <w:t xml:space="preserve"> In the additional run, groups 0 to 3 are repeated k = 1, 2, 4, and 8 times in training. Duplication leaves the exact Shapley values nearly unchanged (author component 0.210, 0.220, 0.214, and 0.218; v(N) = 0.857), because performance on the training questions is already near its ceiling, but residual knowledge rises sharply: ε(∅) is +0.823, +0.742, +0.615, and +0.487 at s = 8, 20, 28, and 32, against +0.732, +0.255, −0.023, and −0.107 without duplication in the same seed, and at s = 32 a five-step relearning attack raises performance at ∅ from 0.596 to 0.847, against 0.151 for the control. By group the evidence is weaker. The unduplicated group is undervalued least (φ</w:t>
      </w:r>
      <w:r>
        <w:rPr>
          <w:vertAlign w:val="subscript"/>
        </w:rPr>
        <w:t xml:space="preserve">i</w:t>
      </w:r>
      <w:r>
        <w:t xml:space="preserve">(ε) = −0.099 at s = 32, or 47 percent of its value, against −0.143, −0.121, and −0.130, or 65, 57, and 60 percent, for k = 2, 4, and 8), but the bias is not monotone in k among the duplicated groups, and one run cannot separate the differences (0.02 to 0.04) from group composition and noise. P3 is therefore supported at the aggregate level, since duplicated data leaves more residue while its price barely changes, and only suggestively for individual groups.</w:t>
      </w:r>
    </w:p>
    <w:p>
      <w:pPr/>
      <w:r>
        <w:t xml:space="preserve">Taken together, the results support the claim that the aggregate bias is governed by ε(∅) and can take either sign depending on how aggressively the method unlearns. Across five seeds they also show that individual biases persist where the aggregate bias is small, that the strength at which it changes sign varies from run to run, and that a retrained control confirms the recovered performance to be residual knowledge. One duplication run supports P3 at the aggregate level and only suggestively for individual groups. The results do not support the concealment prediction (P8) and say nothing about redundancy (P1) or differences across unlearning methods.</w:t>
      </w:r>
    </w:p>
    <w:p>
      <w:pPr>
        <w:pStyle w:val="Heading3"/>
      </w:pPr>
      <w:r>
        <w:t xml:space="preserve">6.5 Numerical Verification and a Protocol for the Remaining Predictions</w:t>
      </w:r>
    </w:p>
    <w:p>
      <w:pPr/>
      <w:r>
        <w:t xml:space="preserve">The accompanying code verifies the algebra of the propositions against brute-force computation (Propositions 1, 2, 4, 5, and 7 to 13), including best responses by grid search and exhaustive knapsack solutions. All checks pass, which shows that the statements are internally correct, not that developers behave as the model assumes.</w:t>
      </w:r>
    </w:p>
    <w:p>
      <w:pPr/>
      <w:r>
        <w:t xml:space="preserve">The concealment arm of Section 6.4 tests P8 and does not support it. The analyses for P7 and P9 have not been done. P7 would use the duplication run to estimate g</w:t>
      </w:r>
      <w:r>
        <w:rPr>
          <w:vertAlign w:val="subscript"/>
        </w:rPr>
        <w:t xml:space="preserve">i</w:t>
      </w:r>
      <w:r>
        <w:t xml:space="preserve"> per group from relearning recovery and to compute K(θ</w:t>
      </w:r>
      <w:r>
        <w:rPr>
          <w:vertAlign w:val="subscript"/>
        </w:rPr>
        <w:t xml:space="preserve">i</w:t>
      </w:r>
      <w:r>
        <w:t xml:space="preserve">), which requires a per-group attack because the current attack pools the four groups. P9 would estimate λ and ι from measured compute for a sharded variant and for full retraining and compare the simulated developer's choice with the threshold z ≥ g</w:t>
      </w:r>
      <w:r>
        <w:rPr>
          <w:vertAlign w:val="subscript"/>
        </w:rPr>
        <w:t xml:space="preserve">0</w:t>
      </w:r>
      <w:r>
        <w:t xml:space="preserve"> − Λ. A stronger test of P8 would use a more demanding auditor, such as paraphrases or adversarial prompts, and a stronger concealment method than refusal fine-tuning.</w:t>
      </w:r>
    </w:p>
    <w:p>
      <w:pPr>
        <w:pStyle w:val="Heading2"/>
      </w:pPr>
      <w:r>
        <w:t>7 Discussion and Limitations</w:t>
      </w:r>
    </w:p>
    <w:p>
      <w:pPr/>
      <w:r>
        <w:rPr>
          <w:b/>
        </w:rPr>
        <w:t xml:space="preserve">Implications for practice and policy.</w:t>
      </w:r>
      <w:r>
        <w:t xml:space="preserve"> Taken together with the propositions, the analysis suggests seven design hypotheses for the organizations and regulators involved. They follow from a stylized model and a small experiment and should be read as hypotheses, not findings.</w:t>
      </w:r>
    </w:p>
    <w:p>
      <w:pPr/>
      <w:r>
        <w:rPr>
          <w:i/>
        </w:rPr>
        <w:t xml:space="preserve">Separate valuation from the party being valued.</w:t>
      </w:r>
      <w:r>
        <w:t xml:space="preserve"> Values that the developer computes with its own unlearning method are biased downward where residual knowledge dominates (Proposition 3), most strongly for the contributors whose data is hardest to forget, and used as a penalty base they shrink the residue that audits can deter (Proposition 8). Enforcement should therefore rest on retraining-based valuations on a proxy model computed by a third party, which requires the developer to keep a base checkpoint and the evaluation suite in escrow.</w:t>
      </w:r>
    </w:p>
    <w:p>
      <w:pPr/>
      <w:r>
        <w:rPr>
          <w:i/>
        </w:rPr>
        <w:t xml:space="preserve">Treat evaluation as enforcement infrastructure.</w:t>
      </w:r>
      <w:r>
        <w:t xml:space="preserve"> Because audit frequency and audit power are substitutes in deterrence (Proposition 7), regulators can choose between many weak checks and a few strong ones according to relative cost, and an unlearning claim that has not survived a strong recovery attack of the kind studied in Section 6.4 should not count as compliance.</w:t>
      </w:r>
    </w:p>
    <w:p>
      <w:pPr/>
      <w:r>
        <w:rPr>
          <w:i/>
        </w:rPr>
        <w:t xml:space="preserve">Make tests hard to anticipate.</w:t>
      </w:r>
      <w:r>
        <w:t xml:space="preserve"> Proposition 10 bounds the effectiveness of auditing by the developer's cost of tuning its unlearning to the test: a method optimized against a known benchmark can suppress what the benchmark probes without removing the knowledge. The remedy is less predictable auditing, with undisclosed, rotating, or adaptive tests, together with a measure of test power that nets out false positives (Proposition 12), rather than more audits of the same kind. Statutory caps matter in the same way, since the penalty ceiling F̄, for example the turnover-based ceiling in Article 83(5) of the GDPR, enters the threshold θ. In our experiment suppression generalized to held-out questions, so we observe no concealment gap, although a near-zero standard score did coexist with recoverable knowledge (Section 6.4).</w:t>
      </w:r>
    </w:p>
    <w:p>
      <w:pPr/>
      <w:r>
        <w:rPr>
          <w:i/>
        </w:rPr>
        <w:t xml:space="preserve">Expect rationed protection.</w:t>
      </w:r>
      <w:r>
        <w:t xml:space="preserve"> With limited capacity, regulators cannot protect every request, and Proposition 9 shows who is left out: requests that are costly to deter, on data from which the developer gains most by under-unlearning. A transparent triage rule combined with third-party valuations is preferable to ad hoc selection.</w:t>
      </w:r>
    </w:p>
    <w:p>
      <w:pPr/>
      <w:r>
        <w:rPr>
          <w:i/>
        </w:rPr>
        <w:t xml:space="preserve">Pay for unlearnability at training time.</w:t>
      </w:r>
      <w:r>
        <w:t xml:space="preserve"> The cost saving C − c from approximate removal enters the audit condition directly, so modular or sharded training that lowers C relaxes it, but developers have little reason to invest in such designs unless enforcement is credible. Proposition 11 makes this a threshold, with a margin Λ that grows with the number of requests the developer expects; credible enforcement and ex ante unlearnability are complements, and a regulator may prefer to subsidize modular training where audits are costly.</w:t>
      </w:r>
    </w:p>
    <w:p>
      <w:pPr/>
      <w:r>
        <w:rPr>
          <w:i/>
        </w:rPr>
        <w:t xml:space="preserve">Write contributor identity into the pricing rule.</w:t>
      </w:r>
      <w:r>
        <w:t xml:space="preserve"> Paying by player rewards replication when data is valuable but substitutable (Proposition 2), so licensing schemes that pay by Shapley-type values should price verified distinct content and expect the deduplication of near-duplicates to be contested.</w:t>
      </w:r>
    </w:p>
    <w:p>
      <w:pPr/>
      <w:r>
        <w:rPr>
          <w:i/>
        </w:rPr>
        <w:t xml:space="preserve">Combine liability rules with self-assessment.</w:t>
      </w:r>
      <w:r>
        <w:t xml:space="preserve"> A declare-and-pay rule, in which the developer reports retained knowledge, pays a price calibrated to third-party Shapley values, and is audited, replaces the cliff of the binary condition with continuous deterrence (Proposition 13), and the optimal regime tolerates some residue, so a goal of zero residual knowledge is not cost-effective when audits are costly.</w:t>
      </w:r>
    </w:p>
    <w:p>
      <w:pPr/>
      <w:r>
        <w:t>Several assumptions deserve scrutiny.</w:t>
      </w:r>
    </w:p>
    <w:p>
      <w:pPr/>
      <w:r>
        <w:rPr>
          <w:b/>
        </w:rPr>
        <w:t xml:space="preserve">Order independence.</w:t>
      </w:r>
      <w:r>
        <w:t xml:space="preserve"> Proposition 3 treats Û as a set function. Section 4.3 relaxes this assumption: the aggregate identity survives with the residual averaged over removal orders (Proposition 4), and path sensitivity bounds the departure of individual values from an order-averaged benchmark (Proposition 5), a quantity we have not measured directly. In the experiment, the L1 distance between the sequential and set-function estimates rises in seed 0 from 0.009 at s = 8 to 0.182 at s = 28 and varies between 0.159 and 0.288 beyond; across five seeds it averages 0.027 at s = 8 and 0.142 to 0.178 at s = 20 to 32, against an author-component v(N) of 0.818. The assumption is therefore not innocuous where the aggregate bias is small, although part of the distance reflects the difference between batch and sequential removal. Measuring path sensitivity empirically is the most important open question that the paper raises.</w:t>
      </w:r>
    </w:p>
    <w:p>
      <w:pPr/>
      <w:r>
        <w:rPr>
          <w:b/>
        </w:rPr>
        <w:t xml:space="preserve">Utility and scale.</w:t>
      </w:r>
      <w:r>
        <w:t xml:space="preserve"> Shapley values are only as meaningful as the performance measure behind them, and the weighting of evaluation tasks is a normative choice that our framework does not resolve; collateral damage is particularly sensitive to it. Our design also relies on small models and synthetic data, for which exact retraining is cheap, and we expect the qualitative pattern, that heavily repeated data leaves more residue, to carry over at frontier scale, but the magnitudes may not.</w:t>
      </w:r>
    </w:p>
    <w:p>
      <w:pPr/>
      <w:r>
        <w:rPr>
          <w:b/>
        </w:rPr>
        <w:t xml:space="preserve">Experimental scope.</w:t>
      </w:r>
      <w:r>
        <w:t xml:space="preserve"> The experiment uses four disjoint and statistically symmetric contributor groups, one 0.5B-parameter model, and one unlearning algorithm (gradient ascent). It has five seeds, of which seeds 1 to 4 cover only s ∈ {8, 20, 28, 32}, and the concealment arms and the duplication run use a single seed. Because of the symmetry, and because the groups change with the seed, the ranking of contributors is not identified. Redundancy (P1) and the comparison across unlearning methods remain untested, P3 rests on one duplication run, and the calibration of strength used the retrained baseline. The concealment arm tests one form of suppression against two kinds of audit, so a stronger auditor, such as one using paraphrases or adversarial prompts, might reveal a gap that ours does not. The enforcement results of Sections 5.4 to 5.8, other than P8, are checked numerically but not tested by this experiment (Section 6.5).</w:t>
      </w:r>
    </w:p>
    <w:p>
      <w:pPr/>
      <w:r>
        <w:rPr>
          <w:b/>
        </w:rPr>
        <w:t xml:space="preserve">Scope of the enforcement model.</w:t>
      </w:r>
      <w:r>
        <w:t xml:space="preserve"> The audit model assumes a risk-neutral developer, a single audit per request, linear penalties, an exogenous harm, and a regulator that commits to its regime in advance. It does not derive screening across developer types, contracts contingent on richer signals, or reputation in repeated interaction, and it takes the number of requests (Proposition 11) and the cost of concealment (Proposition 10) as given parameters whose empirical size we do not know.</w:t>
      </w:r>
    </w:p>
    <w:p>
      <w:pPr/>
      <w:r>
        <w:rPr>
          <w:b/>
        </w:rPr>
        <w:t xml:space="preserve">Contributor definition.</w:t>
      </w:r>
      <w:r>
        <w:t xml:space="preserve"> We assume that contributors are well defined and that their datasets are disjoint. In practice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Section 3.4 treats replication and merging in a stylized way. Open questions include near-duplicates and paraphrases that deduplication may not catch, the splitting of data into disjoint pieces, collusion between a contributor and the developer, and responses to the audit regime itself. The replication gain also assumes that duplicates leave U unchanged, whereas in language models duplication raises memorization (Section 6.2).</w:t>
      </w:r>
    </w:p>
    <w:p>
      <w:pPr>
        <w:pStyle w:val="Heading2"/>
      </w:pPr>
      <w:r>
        <w:t>8 Conclusion</w:t>
      </w:r>
    </w:p>
    <w:p>
      <w:pPr/>
      <w:r>
        <w:t xml:space="preserve">Data valuation and machine unlearning examine the same counterfactual from opposite directions. Under the Shapley value the two agree exactly, which provides a consistent basis for pricing data at acquisition and compensating contributors at withdrawal, although the rule can be gamed by contributors who replicate their data. In practice the agreement breaks down, because the counterfactuals must be generated by approximate unlearning. The resulting bias is additive, its total is fixed by the residual performance of a fully unlearned model (averaged over removal orders when unlearning is sequential), and it falls hardest on the data most difficult to forget, a prediction that one duplication run supports at the aggregate level and only suggestively for individual groups. In a small experiment repeated over five seeds, the aggregate bias changed sign with unlearning strength, at a strength that varied across seeds, order dependence appeared as unlearning strengthened, and a brief relearning attack recovered knowledge that the aggregate diagnostic had classed as removed, far beyond what it recovers in a retrained model. Because the developer controls both the unlearning and its measurement, these biases create incentives to under-unlearn, and the central results of the paper concern what a regulator can enforce. Audit power substitutes for audit frequency only up to a ceiling set by the developer's cost of tuning to the test, so unpredictable tests are a policy lever in their own right; limited audit capacity rations protection and leaves the data hardest to forget least protected; developers invest in unlearnable training only when enforcement is credible; and a declare-and-pay rule backed by audits delivers continuous deterrence while optimally tolerating some residue. Valuations used to set penalties should come from a third party rather than the developer.</w:t>
      </w:r>
    </w:p>
    <w:p>
      <w:pPr>
        <w:pStyle w:val="Heading2"/>
      </w:pPr>
      <w:r>
        <w:t>References</w:t>
      </w:r>
    </w:p>
    <w:p>
      <w:pPr>
        <w:pStyle w:val="Reference"/>
      </w:pPr>
      <w:r>
        <w:t xml:space="preserve">Acemoglu, D., Makhdoumi, A., Malekian, A., and Ozdaglar, A. 2022. "Too Much Data: Prices and Inefficiencies in Data Markets," </w:t>
      </w:r>
      <w:r>
        <w:rPr>
          <w:i/>
        </w:rPr>
        <w:t>American Economic Journal: Microeconomics</w:t>
      </w:r>
      <w:r>
        <w:t xml:space="preserve"> (14:4), pp. 218-256.</w:t>
      </w:r>
    </w:p>
    <w:p>
      <w:pPr>
        <w:pStyle w:val="Reference"/>
      </w:pPr>
      <w:r>
        <w:t xml:space="preserve">Agarwal, A., Dahleh, M., and Sarkar, T. 2019. "A Marketplace for Data: An Algorithmic Solution," in </w:t>
      </w:r>
      <w:r>
        <w:rPr>
          <w:i/>
        </w:rPr>
        <w:t>Proceedings of the 2019 ACM Conference on Economics and Computation (EC)</w:t>
      </w:r>
      <w:r>
        <w:t>, pp. 701-726.</w:t>
      </w:r>
    </w:p>
    <w:p>
      <w:pPr>
        <w:pStyle w:val="Reference"/>
      </w:pPr>
      <w:r>
        <w:t xml:space="preserve">Allingham, M. G., and Sandmo, A. 1972. "Income Tax Evasion: A Theoretical Analysis," </w:t>
      </w:r>
      <w:r>
        <w:rPr>
          <w:i/>
        </w:rPr>
        <w:t xml:space="preserve">Journal of Public Economics</w:t>
      </w:r>
      <w:r>
        <w:t xml:space="preserve"> (1:3-4), pp. 323-338.</w:t>
      </w:r>
    </w:p>
    <w:p>
      <w:pPr>
        <w:pStyle w:val="Reference"/>
      </w:pPr>
      <w:r>
        <w:t xml:space="preserve">Angst, C. M., Block, E. S., D'Arcy, J., and Kelley, K. 2017. "When Do IT Security Investments Matter? Accounting for the Influence of Institutional Factors in the Context of Healthcare Data Breaches," </w:t>
      </w:r>
      <w:r>
        <w:rPr>
          <w:i/>
        </w:rPr>
        <w:t xml:space="preserve">MIS Quarterly</w:t>
      </w:r>
      <w:r>
        <w:t xml:space="preserve"> (41:3), pp. 893-916.</w:t>
      </w:r>
    </w:p>
    <w:p>
      <w:pPr>
        <w:pStyle w:val="Reference"/>
      </w:pPr>
      <w:r>
        <w:t xml:space="preserve">Becker, G. S. 1968. "Crime and Punishment: An Economic Approach," </w:t>
      </w:r>
      <w:r>
        <w:rPr>
          <w:i/>
        </w:rPr>
        <w:t xml:space="preserve">Journal of Political Economy</w:t>
      </w:r>
      <w:r>
        <w:t xml:space="preserve"> (76:2), pp. 169-217.</w:t>
      </w:r>
    </w:p>
    <w:p>
      <w:pPr>
        <w:pStyle w:val="Reference"/>
      </w:pPr>
      <w:r>
        <w:t xml:space="preserve">Bélanger, F., and Crossler, R. E. 2011. "Privacy in the Digital Age: A Review of Information Privacy Research in Information Systems," </w:t>
      </w:r>
      <w:r>
        <w:rPr>
          <w:i/>
        </w:rPr>
        <w:t xml:space="preserve">MIS Quarterly</w:t>
      </w:r>
      <w:r>
        <w:t xml:space="preserve"> (35:4), pp. 1017-1041.</w:t>
      </w:r>
    </w:p>
    <w:p>
      <w:pPr>
        <w:pStyle w:val="Reference"/>
      </w:pPr>
      <w:r>
        <w:t xml:space="preserve">Berente, N., Gu, B., Recker, J., and Santhanam, R. 2021. "Managing Artificial Intelligence," </w:t>
      </w:r>
      <w:r>
        <w:rPr>
          <w:i/>
        </w:rPr>
        <w:t xml:space="preserve">MIS Quarterly</w:t>
      </w:r>
      <w:r>
        <w:t xml:space="preserve"> (45:3), pp. 1433-1450.</w:t>
      </w:r>
    </w:p>
    <w:p>
      <w:pPr>
        <w:pStyle w:val="Reference"/>
      </w:pPr>
      <w:r>
        <w:t xml:space="preserve">Bergemann, D., and Bonatti, A. 2019. "Markets for Information: An Introduction," </w:t>
      </w:r>
      <w:r>
        <w:rPr>
          <w:i/>
        </w:rPr>
        <w:t xml:space="preserve">Annual Review of Economics</w:t>
      </w:r>
      <w:r>
        <w:t xml:space="preserve"> (11), pp. 85-107.</w:t>
      </w:r>
    </w:p>
    <w:p>
      <w:pPr>
        <w:pStyle w:val="Reference"/>
      </w:pPr>
      <w:r>
        <w:t xml:space="preserve">Bergemann, D., Bonatti, A., and Gan, T. 2022. "The Economics of Social Data," </w:t>
      </w:r>
      <w:r>
        <w:rPr>
          <w:i/>
        </w:rPr>
        <w:t xml:space="preserve">RAND Journal of Economics</w:t>
      </w:r>
      <w:r>
        <w:t xml:space="preserve"> (53:2), pp. 263-296.</w:t>
      </w:r>
    </w:p>
    <w:p>
      <w:pPr>
        <w:pStyle w:val="Reference"/>
      </w:pPr>
      <w:r>
        <w:t xml:space="preserve">Bourtoule, L., Chandrasekaran, V., Choquette-Choo, C. A., Jia, H., Travers, A., Zhang, B., Lie, D., and Papernot, N. 2021. "Machine Unlearning," in </w:t>
      </w:r>
      <w:r>
        <w:rPr>
          <w:i/>
        </w:rPr>
        <w:t>Proceedings of the 2021 IEEE Symposium on Security and Privacy</w:t>
      </w:r>
      <w:r>
        <w:t>, pp. 141-159.</w:t>
      </w:r>
    </w:p>
    <w:p>
      <w:pPr>
        <w:pStyle w:val="Reference"/>
      </w:pPr>
      <w:r>
        <w:t xml:space="preserve">Calabresi, G., and Melamed, A. D. 1972. "Property Rules, Liability Rules, and Inalienability: One View of the Cathedral," </w:t>
      </w:r>
      <w:r>
        <w:rPr>
          <w:i/>
        </w:rPr>
        <w:t>Harvard Law Review</w:t>
      </w:r>
      <w:r>
        <w:t xml:space="preserve"> (85:6), pp. 1089-1128.</w:t>
      </w:r>
    </w:p>
    <w:p>
      <w:pPr>
        <w:pStyle w:val="Reference"/>
      </w:pPr>
      <w:r>
        <w:t xml:space="preserve">Cao, Y., and Yang, J. 2015. "Towards Making Systems Forget with Machine Unlearning," in </w:t>
      </w:r>
      <w:r>
        <w:rPr>
          <w:i/>
        </w:rPr>
        <w:t>Proceedings of the 2015 IEEE Symposium on Security and Privacy</w:t>
      </w:r>
      <w:r>
        <w:t>, pp. 463-480.</w:t>
      </w:r>
    </w:p>
    <w:p>
      <w:pPr>
        <w:pStyle w:val="Reference"/>
      </w:pPr>
      <w:r>
        <w:t xml:space="preserve">Culnan, M. J., and Armstrong, P. K. 1999. "Information Privacy Concerns, Procedural Fairness, and Impersonal Trust: An Empirical Investigation," </w:t>
      </w:r>
      <w:r>
        <w:rPr>
          <w:i/>
        </w:rPr>
        <w:t xml:space="preserve">Organization Science</w:t>
      </w:r>
      <w:r>
        <w:t xml:space="preserve"> (10:1), pp. 104-115.</w:t>
      </w:r>
    </w:p>
    <w:p>
      <w:pPr>
        <w:pStyle w:val="Reference"/>
      </w:pPr>
      <w:r>
        <w:t xml:space="preserve">Eldan, R., and Russinovich, M. 2023. "Who's Harry Potter? Approximate Unlearning in LLMs," arXiv:2310.02238.</w:t>
      </w:r>
    </w:p>
    <w:p>
      <w:pPr>
        <w:pStyle w:val="Reference"/>
      </w:pPr>
      <w:r>
        <w:t xml:space="preserve">European Union. 2016. Regulation (EU) 2016/679 of the European Parliament and of the Council (General Data Protection Regulation).</w:t>
      </w:r>
    </w:p>
    <w:p>
      <w:pPr>
        <w:pStyle w:val="Reference"/>
      </w:pPr>
      <w:r>
        <w:t xml:space="preserve">European Union. 2024. Regulation (EU) 2024/1689 of the European Parliament and of the Council (Artificial Intelligence Act).</w:t>
      </w:r>
    </w:p>
    <w:p>
      <w:pPr>
        <w:pStyle w:val="Reference"/>
      </w:pPr>
      <w:r>
        <w:t xml:space="preserve">Ghorbani, A., and Zou, J. 2019. "Data Shapley: Equitable Valuation of Data for Machine Learning," in </w:t>
      </w:r>
      <w:r>
        <w:rPr>
          <w:i/>
        </w:rPr>
        <w:t>Proceedings of the 36th International Conference on Machine Learning (ICML)</w:t>
      </w:r>
      <w:r>
        <w:t>, PMLR 97, pp. 2242-2251.</w:t>
      </w:r>
    </w:p>
    <w:p>
      <w:pPr>
        <w:pStyle w:val="Reference"/>
      </w:pPr>
      <w:r>
        <w:t xml:space="preserve">Ginart, A., Guan, M., Valiant, G., and Zou, J. 2019. "Making AI Forget You: Data Deletion in Machine Learning," in </w:t>
      </w:r>
      <w:r>
        <w:rPr>
          <w:i/>
        </w:rPr>
        <w:t>Advances in Neural Information Processing Systems 32 (NeurIPS)</w:t>
      </w:r>
      <w:r>
        <w:t>, pp. 3518-3531.</w:t>
      </w:r>
    </w:p>
    <w:p>
      <w:pPr>
        <w:pStyle w:val="Reference"/>
      </w:pPr>
      <w:r>
        <w:t xml:space="preserve">Greenaway, K. E., Chan, Y. E., and Crossler, R. E. 2015. "Company Information Privacy Orientation: A Conceptual Framework," </w:t>
      </w:r>
      <w:r>
        <w:rPr>
          <w:i/>
        </w:rPr>
        <w:t xml:space="preserve">Information Systems Journal</w:t>
      </w:r>
      <w:r>
        <w:t xml:space="preserve"> (25:6), pp. 579-606.</w:t>
      </w:r>
    </w:p>
    <w:p>
      <w:pPr>
        <w:pStyle w:val="Reference"/>
      </w:pPr>
      <w:r>
        <w:t xml:space="preserve">Gregory, R. W., Henfridsson, O., Kaganer, E., and Kyriakou, H. 2021. "The Role of Artificial Intelligence and Data Network Effects for Creating User Value," </w:t>
      </w:r>
      <w:r>
        <w:rPr>
          <w:i/>
        </w:rPr>
        <w:t xml:space="preserve">Academy of Management Review</w:t>
      </w:r>
      <w:r>
        <w:t xml:space="preserve"> (46:3), pp. 534-551.</w:t>
      </w:r>
    </w:p>
    <w:p>
      <w:pPr>
        <w:pStyle w:val="Reference"/>
      </w:pPr>
      <w:r>
        <w:t xml:space="preserve">Han, D., Wooldridge, M., Rogers, A., Ohrimenko, O., and Tschiatschek, S. 2022. "Replication Robust Payoff Allocation in Submodular Cooperative Games," </w:t>
      </w:r>
      <w:r>
        <w:rPr>
          <w:i/>
        </w:rPr>
        <w:t xml:space="preserve">IEEE Transactions on Artificial Intelligence</w:t>
      </w:r>
      <w:r>
        <w:t xml:space="preserve">, arXiv:2006.14583.</w:t>
      </w:r>
    </w:p>
    <w:p>
      <w:pPr>
        <w:pStyle w:val="Reference"/>
      </w:pPr>
      <w:r>
        <w:t xml:space="preserve">Jia, R., Dao, D., Wang, B., Hubis, F. A., Hynes, N., Gürel, N. M., Li, B., Zhang, C., Song, D., and Spanos, C. J. 2019. "Towards Efficient Data Valuation Based on the Shapley Value," in </w:t>
      </w:r>
      <w:r>
        <w:rPr>
          <w:i/>
        </w:rPr>
        <w:t>Proceedings of the 22nd International Conference on Artificial Intelligence and Statistics (AISTATS)</w:t>
      </w:r>
      <w:r>
        <w:t>, PMLR 89, pp. 1167-1176.</w:t>
      </w:r>
    </w:p>
    <w:p>
      <w:pPr>
        <w:pStyle w:val="Reference"/>
      </w:pPr>
      <w:r>
        <w:t xml:space="preserve">Jones, C. I., and Tonetti, C. 2020. "Nonrivalry and the Economics of Data," </w:t>
      </w:r>
      <w:r>
        <w:rPr>
          <w:i/>
        </w:rPr>
        <w:t>American Economic Review</w:t>
      </w:r>
      <w:r>
        <w:t xml:space="preserve"> (110:9), pp. 2819-2858.</w:t>
      </w:r>
    </w:p>
    <w:p>
      <w:pPr>
        <w:pStyle w:val="Reference"/>
      </w:pPr>
      <w:r>
        <w:t xml:space="preserve">Koh, P. W., and Liang, P. 2017. "Understanding Black-Box Predictions via Influence Functions," in </w:t>
      </w:r>
      <w:r>
        <w:rPr>
          <w:i/>
        </w:rPr>
        <w:t>Proceedings of the 34th International Conference on Machine Learning (ICML)</w:t>
      </w:r>
      <w:r>
        <w:t>, PMLR 70, pp. 1885-1894.</w:t>
      </w:r>
    </w:p>
    <w:p>
      <w:pPr>
        <w:pStyle w:val="Reference"/>
      </w:pPr>
      <w:r>
        <w:t xml:space="preserve">Koutroumpis, P., Leiponen, A., and Thomas, L. D. W. 2020. "Markets for Data," </w:t>
      </w:r>
      <w:r>
        <w:rPr>
          <w:i/>
        </w:rPr>
        <w:t xml:space="preserve">Industrial and Corporate Change</w:t>
      </w:r>
      <w:r>
        <w:t xml:space="preserve"> (29:3), pp. 645-660.</w:t>
      </w:r>
    </w:p>
    <w:p>
      <w:pPr>
        <w:pStyle w:val="Reference"/>
      </w:pPr>
      <w:r>
        <w:t xml:space="preserve">Krämer, J., and Shekhar, S. 2025. "Regulating Digital Platform Ecosystems Through Data Sharing and Data Siloing: Consequences for Innovation and Welfare," </w:t>
      </w:r>
      <w:r>
        <w:rPr>
          <w:i/>
        </w:rPr>
        <w:t xml:space="preserve">MIS Quarterly</w:t>
      </w:r>
      <w:r>
        <w:t xml:space="preserve"> (49:1), pp. 123-154.</w:t>
      </w:r>
    </w:p>
    <w:p>
      <w:pPr>
        <w:pStyle w:val="Reference"/>
      </w:pPr>
      <w:r>
        <w:t xml:space="preserve">Kwon, Y., and Zou, J. 2022. "Beta Shapley: A Unified and Noise-Reduced Data Valuation Framework for Machine Learning," in </w:t>
      </w:r>
      <w:r>
        <w:rPr>
          <w:i/>
        </w:rPr>
        <w:t>Proceedings of the 25th International Conference on Artificial Intelligence and Statistics (AISTATS)</w:t>
      </w:r>
      <w:r>
        <w:t>, PMLR 151, pp. 8780-8802.</w:t>
      </w:r>
    </w:p>
    <w:p>
      <w:pPr>
        <w:pStyle w:val="Reference"/>
      </w:pPr>
      <w:r>
        <w:t xml:space="preserve">Lehrer, E. 1988. "An Axiomatization of the Banzhaf Value," </w:t>
      </w:r>
      <w:r>
        <w:rPr>
          <w:i/>
        </w:rPr>
        <w:t xml:space="preserve">International Journal of Game Theory</w:t>
      </w:r>
      <w:r>
        <w:t xml:space="preserve"> (17:2), pp. 89-99.</w:t>
      </w:r>
    </w:p>
    <w:p>
      <w:pPr>
        <w:pStyle w:val="Reference"/>
      </w:pPr>
      <w:r>
        <w:t xml:space="preserve">Li, X., Li, B., and Yang, Z. 2025. "The Dark Side of Voluntary Data Sharing," </w:t>
      </w:r>
      <w:r>
        <w:rPr>
          <w:i/>
        </w:rPr>
        <w:t xml:space="preserve">MIS Quarterly</w:t>
      </w:r>
      <w:r>
        <w:t xml:space="preserve"> (49:1), pp. 155-178.</w:t>
      </w:r>
    </w:p>
    <w:p>
      <w:pPr>
        <w:pStyle w:val="Reference"/>
      </w:pPr>
      <w:r>
        <w:t xml:space="preserve">Samuelson, P. 2000. "Privacy as Intellectual Property?" </w:t>
      </w:r>
      <w:r>
        <w:rPr>
          <w:i/>
        </w:rPr>
        <w:t xml:space="preserve">Stanford Law Review</w:t>
      </w:r>
      <w:r>
        <w:t xml:space="preserve"> (52:5), pp. 1125-1173.</w:t>
      </w:r>
    </w:p>
    <w:p>
      <w:pPr>
        <w:pStyle w:val="Reference"/>
      </w:pPr>
      <w:r>
        <w:t xml:space="preserve">Schwartz, P. M. 2004. "Property, Privacy, and Personal Data," </w:t>
      </w:r>
      <w:r>
        <w:rPr>
          <w:i/>
        </w:rPr>
        <w:t xml:space="preserve">Harvard Law Review</w:t>
      </w:r>
      <w:r>
        <w:t xml:space="preserve"> (117:7), pp. 2056-2128.</w:t>
      </w:r>
    </w:p>
    <w:p>
      <w:pPr>
        <w:pStyle w:val="Reference"/>
      </w:pPr>
      <w:r>
        <w:t xml:space="preserve">Spiekermann, S., Acquisti, A., Böhme, R., and Hui, K.-L. 2015. "The Challenges of Personal Data Markets and Privacy," </w:t>
      </w:r>
      <w:r>
        <w:rPr>
          <w:i/>
        </w:rPr>
        <w:t xml:space="preserve">Electronic Markets</w:t>
      </w:r>
      <w:r>
        <w:t xml:space="preserve"> (25:2), pp. 161-167.</w:t>
      </w:r>
    </w:p>
    <w:p>
      <w:pPr>
        <w:pStyle w:val="Reference"/>
      </w:pPr>
      <w:r>
        <w:t xml:space="preserve">Wall, J. D., Lowry, P. B., and Barlow, J. B. 2016. "Organizational Violations of Externally Governed Privacy and Security Rules: Explaining and Predicting Selective Violations under Conditions of Strain and Excess," </w:t>
      </w:r>
      <w:r>
        <w:rPr>
          <w:i/>
        </w:rPr>
        <w:t xml:space="preserve">Journal of the Association for Information Systems</w:t>
      </w:r>
      <w:r>
        <w:t xml:space="preserve"> (17:1), pp. 39-76.</w:t>
      </w:r>
    </w:p>
    <w:p>
      <w:pPr>
        <w:pStyle w:val="Reference"/>
      </w:pPr>
      <w:r>
        <w:t xml:space="preserve">Xu, H., Teo, H.-H., Tan, B. C. Y., and Agarwal, R. 2012. "Effects of Individual Self-Protection, Industry Self-Regulation, and Government Regulation on Privacy Concerns: A Study of Location-Based Services," </w:t>
      </w:r>
      <w:r>
        <w:rPr>
          <w:i/>
        </w:rPr>
        <w:t xml:space="preserve">Information Systems Research</w:t>
      </w:r>
      <w:r>
        <w:t xml:space="preserve"> (23:4), pp. 1342-1363.</w:t>
      </w:r>
    </w:p>
    <w:p>
      <w:pPr>
        <w:pStyle w:val="Reference"/>
      </w:pPr>
      <w:r>
        <w:t xml:space="preserve">Łucki, J., Wei, B., Huang, Y., Henderson, P., Tramèr, F., and Rando, J. 2024. "An Adversarial Perspective on Machine Unlearning for AI Safety," arXiv:2409.18025.</w:t>
      </w:r>
    </w:p>
    <w:p>
      <w:pPr>
        <w:pStyle w:val="Reference"/>
      </w:pPr>
      <w:r>
        <w:t xml:space="preserve">Lynch, A., Guo, P., Ewart, A., Casper, S., and Hadfield-Menell, D. 2024. "Eight Methods to Evaluate Robust Unlearning in LLMs," arXiv:2402.16835.</w:t>
      </w:r>
    </w:p>
    <w:p>
      <w:pPr>
        <w:pStyle w:val="Reference"/>
      </w:pPr>
      <w:r>
        <w:t xml:space="preserve">Maini, P., Feng, Z., Schwarzschild, A., Lipton, Z. C., and Kolter, J. Z. 2024. "TOFU: A Task of Fictitious Unlearning for LLMs," arXiv:2401.06121.</w:t>
      </w:r>
    </w:p>
    <w:p>
      <w:pPr>
        <w:pStyle w:val="Reference"/>
      </w:pPr>
      <w:r>
        <w:t xml:space="preserve">Pruthi, G., Liu, F., Kale, S., and Sundararajan, M. 2020. "Estimating Training Data Influence by Tracing Gradient Descent," in </w:t>
      </w:r>
      <w:r>
        <w:rPr>
          <w:i/>
        </w:rPr>
        <w:t>Advances in Neural Information Processing Systems 33 (NeurIPS)</w:t>
      </w:r>
      <w:r>
        <w:t>.</w:t>
      </w:r>
    </w:p>
    <w:p>
      <w:pPr>
        <w:pStyle w:val="Reference"/>
      </w:pPr>
      <w:r>
        <w:t xml:space="preserve">Roth, A. E. (ed.). 1988. </w:t>
      </w:r>
      <w:r>
        <w:rPr>
          <w:i/>
        </w:rPr>
        <w:t>The Shapley Value: Essays in Honor of Lloyd S. Shapley</w:t>
      </w:r>
      <w:r>
        <w:t>, Cambridge, UK: Cambridge University Press.</w:t>
      </w:r>
    </w:p>
    <w:p>
      <w:pPr>
        <w:pStyle w:val="Reference"/>
      </w:pPr>
      <w:r>
        <w:t xml:space="preserve">Shapley, L. S. 1953. "A Value for n-Person Games," in </w:t>
      </w:r>
      <w:r>
        <w:rPr>
          <w:i/>
        </w:rPr>
        <w:t>Contributions to the Theory of Games II</w:t>
      </w:r>
      <w:r>
        <w:t>,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arXiv:2407.06460.</w:t>
      </w:r>
    </w:p>
    <w:p>
      <w:pPr>
        <w:pStyle w:val="Reference"/>
      </w:pPr>
      <w:r>
        <w:t xml:space="preserve">Smith, H. J., Dinev, T., and Xu, H. 2011. "Information Privacy Research: An Interdisciplinary Review," </w:t>
      </w:r>
      <w:r>
        <w:rPr>
          <w:i/>
        </w:rPr>
        <w:t xml:space="preserve">MIS Quarterly</w:t>
      </w:r>
      <w:r>
        <w:t xml:space="preserve"> (35:4), pp. 989-1015.</w:t>
      </w:r>
    </w:p>
    <w:p>
      <w:pPr>
        <w:pStyle w:val="Reference"/>
      </w:pPr>
      <w:r>
        <w:t xml:space="preserve">Topkis, D. M. 1978. "Minimizing a Submodular Function on a Lattice," </w:t>
      </w:r>
      <w:r>
        <w:rPr>
          <w:i/>
        </w:rPr>
        <w:t xml:space="preserve">Operations Research</w:t>
      </w:r>
      <w:r>
        <w:t xml:space="preserve"> (26:2), pp. 305-321.</w:t>
      </w:r>
    </w:p>
    <w:p>
      <w:pPr>
        <w:pStyle w:val="Reference"/>
      </w:pPr>
      <w:r>
        <w:t xml:space="preserve">Wang, J. T., and Jia, R. 2023. "Data Banzhaf: A Robust Data Valuation Framework for Machine Learning," in </w:t>
      </w:r>
      <w:r>
        <w:rPr>
          <w:i/>
        </w:rPr>
        <w:t>Proceedings of the 26th International Conference on Artificial Intelligence and Statistics (AISTATS)</w:t>
      </w:r>
      <w:r>
        <w:t>, PMLR 206, pp. 6388-6421.</w:t>
      </w:r>
    </w:p>
    <w:p>
      <w:pPr>
        <w:pStyle w:val="Reference"/>
      </w:pPr>
      <w:r>
        <w:t xml:space="preserve">Youden, W. J. 1950. "Index for Rating Diagnostic Tests," </w:t>
      </w:r>
      <w:r>
        <w:rPr>
          <w:i/>
        </w:rPr>
        <w:t xml:space="preserve">Cancer</w:t>
      </w:r>
      <w:r>
        <w:t xml:space="preserve"> (3:1), pp. 32-35.</w:t>
      </w:r>
    </w:p>
    <w:p>
      <w:pPr>
        <w:pStyle w:val="Reference"/>
      </w:pPr>
      <w:r>
        <w:t xml:space="preserve">Young, H. P. 1985. "Monotonic Solutions of Cooperative Games," </w:t>
      </w:r>
      <w:r>
        <w:rPr>
          <w:i/>
        </w:rPr>
        <w:t>International Journal of Game Theory</w:t>
      </w:r>
      <w:r>
        <w:t xml:space="preserve"> (14:2), pp. 65-72.</w:t>
      </w:r>
    </w:p>
    <w:p>
      <w:pPr>
        <w:pStyle w:val="Reference"/>
      </w:pPr>
      <w:r>
        <w:t xml:space="preserve">Zhang, R., Lin, L., Bai, Y., and Mei, S. 2024. "Negative Preference Optimization: From Catastrophic Collapse to Effective Unlearning," 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