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rPr>
        <w:t xml:space="preserve">Acquired,</w:t>
      </w:r>
      <w:r>
        <w:rPr>
          <w:rFonts w:ascii="Times New Roman" w:hAnsi="Times New Roman" w:eastAsia="Times New Roman" w:cs="Times New Roman"/>
        </w:rPr>
        <w:t xml:space="preserve"> </w:t>
      </w:r>
      <w:r>
        <w:rPr>
          <w:rFonts w:ascii="Times New Roman" w:hAnsi="Times New Roman" w:eastAsia="Times New Roman" w:cs="Times New Roman"/>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Yet</w:t>
      </w:r>
      <w:r>
        <w:rPr>
          <w:rFonts w:ascii="Times New Roman" w:hAnsi="Times New Roman" w:eastAsia="Times New Roman" w:cs="Times New Roman"/>
        </w:rPr>
        <w:t xml:space="preserve"> </w:t>
      </w:r>
      <w:r>
        <w:rPr>
          <w:rFonts w:ascii="Times New Roman" w:hAnsi="Times New Roman" w:eastAsia="Times New Roman" w:cs="Times New Roman"/>
        </w:rPr>
        <w:t xml:space="preserve">Assimilated?</w:t>
      </w:r>
      <w:r>
        <w:rPr>
          <w:rFonts w:ascii="Times New Roman" w:hAnsi="Times New Roman" w:eastAsia="Times New Roman" w:cs="Times New Roman"/>
        </w:rPr>
        <w:t xml:space="preserve"> </w:t>
      </w:r>
      <w:r>
        <w:rPr>
          <w:rFonts w:ascii="Times New Roman" w:hAnsi="Times New Roman" w:eastAsia="Times New Roman" w:cs="Times New Roman"/>
        </w:rPr>
        <w:t xml:space="preserve">Complementary</w:t>
      </w:r>
      <w:r>
        <w:rPr>
          <w:rFonts w:ascii="Times New Roman" w:hAnsi="Times New Roman" w:eastAsia="Times New Roman" w:cs="Times New Roman"/>
        </w:rPr>
        <w:t xml:space="preserve"> </w:t>
      </w:r>
      <w:r>
        <w:rPr>
          <w:rFonts w:ascii="Times New Roman" w:hAnsi="Times New Roman" w:eastAsia="Times New Roman" w:cs="Times New Roman"/>
        </w:rPr>
        <w:t xml:space="preserve">Assets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Occupation-Level</w:t>
      </w:r>
      <w:r>
        <w:rPr>
          <w:rFonts w:ascii="Times New Roman" w:hAnsi="Times New Roman" w:eastAsia="Times New Roman" w:cs="Times New Roman"/>
        </w:rPr>
        <w:t xml:space="preserve"> </w:t>
      </w:r>
      <w:r>
        <w:rPr>
          <w:rFonts w:ascii="Times New Roman" w:hAnsi="Times New Roman" w:eastAsia="Times New Roman" w:cs="Times New Roman"/>
        </w:rPr>
        <w:t xml:space="preserve">Evidence</w:t>
      </w:r>
      <w:r>
        <w:rPr>
          <w:rFonts w:ascii="Times New Roman" w:hAnsi="Times New Roman" w:eastAsia="Times New Roman" w:cs="Times New Roman"/>
        </w:rPr>
        <w:t xml:space="preserve"> </w:t>
      </w:r>
      <w:r>
        <w:rPr>
          <w:rFonts w:ascii="Times New Roman" w:hAnsi="Times New Roman" w:eastAsia="Times New Roman" w:cs="Times New Roman"/>
        </w:rPr>
        <w:t xml:space="preserve">on</w:t>
      </w:r>
      <w:r>
        <w:rPr>
          <w:rFonts w:ascii="Times New Roman" w:hAnsi="Times New Roman" w:eastAsia="Times New Roman" w:cs="Times New Roman"/>
        </w:rPr>
        <w:t xml:space="preserve"> </w:t>
      </w:r>
      <w:r>
        <w:rPr>
          <w:rFonts w:ascii="Times New Roman" w:hAnsi="Times New Roman" w:eastAsia="Times New Roman" w:cs="Times New Roman"/>
        </w:rPr>
        <w:t xml:space="preserve">Generative</w:t>
      </w:r>
      <w:r>
        <w:rPr>
          <w:rFonts w:ascii="Times New Roman" w:hAnsi="Times New Roman" w:eastAsia="Times New Roman" w:cs="Times New Roman"/>
        </w:rPr>
        <w:t xml:space="preserve"> </w:t>
      </w:r>
      <w:r>
        <w:rPr>
          <w:rFonts w:ascii="Times New Roman" w:hAnsi="Times New Roman" w:eastAsia="Times New Roman" w:cs="Times New Roman"/>
        </w:rPr>
        <w:t xml:space="preserve">Visual</w:t>
      </w:r>
      <w:r>
        <w:rPr>
          <w:rFonts w:ascii="Times New Roman" w:hAnsi="Times New Roman" w:eastAsia="Times New Roman" w:cs="Times New Roman"/>
        </w:rPr>
        <w:t xml:space="preserve"> </w:t>
      </w:r>
      <w:r>
        <w:rPr>
          <w:rFonts w:ascii="Times New Roman" w:hAnsi="Times New Roman" w:eastAsia="Times New Roman" w:cs="Times New Roman"/>
        </w:rPr>
        <w:t xml:space="preserve">AI</w:t>
      </w:r>
    </w:p>
    <w:bookmarkStart w:id="20" w:name="abstract"/>
    <w:p>
      <w:pPr>
        <w:pStyle w:val="Heading2"/>
      </w:pPr>
      <w:r>
        <w:rPr>
          <w:rFonts w:ascii="Times New Roman" w:hAnsi="Times New Roman" w:eastAsia="Times New Roman" w:cs="Times New Roman"/>
        </w:rPr>
        <w:t xml:space="preserve">Abstract</w:t>
      </w:r>
    </w:p>
    <w:p>
      <w:pPr>
        <w:pStyle w:val="FirstParagraph"/>
        <w:spacing w:line="480" w:lineRule="auto" w:after="0" w:before="0"/>
        <w:ind w:firstLine="720"/>
        <w:jc w:val="left"/>
      </w:pPr>
      <w:r>
        <w:rPr>
          <w:rFonts w:ascii="Times New Roman" w:hAnsi="Times New Roman" w:eastAsia="Times New Roman" w:cs="Times New Roman"/>
        </w:rPr>
        <w:t xml:space="preserve">Statistics showing that firms have adopted generative visual AI are often read as evidence that creative work is being displaced. We argue that this reading is premature. Extending information systems research on assimilation, we develop a task-level model in which a firm hands a visual task to a generator only when the share of acceptable output exceeds a threshold set by generation, review, and human production costs. Complementary assets such as expertise, review routines, and compliance procedures enter through review cost alone. Because a generator costs almost nothing to acquire, acquisition can climb without the investment that assimilation requires, which makes reported use a weak signal of task reassignment. Eurostat data show that 9.6 percent of EU firms use AI that generates pictures, video, or audio, and that firms that considered but did not adopt AI cite missing expertise (70 percent) and legal uncertainty (54 percent) far more often than lack of usefulness (18 percent). European and Canadian job-advert data show only small exposure gradients that cannot be distinguished from earlier trends, and we show that these designs could not detect even complete assimilation at the substitution rates observed on freelance platforms. Such results are therefore uninformative about assimilation. We derive a detectability bound that can accompany any exposure estimate and specify the firm-level data needed to separate the competing accounts.</w:t>
      </w:r>
    </w:p>
    <w:p>
      <w:pPr>
        <w:pStyle w:val="BodyText"/>
        <w:spacing w:line="240" w:lineRule="auto" w:after="120" w:before="0"/>
        <w:ind w:firstLine="0"/>
        <w:jc w:val="left"/>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generative AI; assimilation gap; complementary assets; review costs; post-adoption; online job adverts; minimum detectable effect; creative work</w:t>
      </w:r>
    </w:p>
    <w:bookmarkEnd w:id="20"/>
    <w:bookmarkStart w:id="21" w:name="introduction"/>
    <w:p>
      <w:pPr>
        <w:pStyle w:val="Heading2"/>
      </w:pPr>
      <w:r>
        <w:rPr>
          <w:rFonts w:ascii="Times New Roman" w:hAnsi="Times New Roman" w:eastAsia="Times New Roman" w:cs="Times New Roman"/>
        </w:rPr>
        <w:t xml:space="preserve">1 Introduction</w:t>
      </w:r>
    </w:p>
    <w:p>
      <w:pPr>
        <w:pStyle w:val="FirstParagraph"/>
      </w:pPr>
      <w:r>
        <w:rPr>
          <w:rFonts w:ascii="Times New Roman" w:hAnsi="Times New Roman" w:eastAsia="Times New Roman" w:cs="Times New Roman"/>
        </w:rPr>
        <w:t xml:space="preserve">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(Eurostat, 2026). The natural reading is that the people who used to produce such content are being redeployed, and a growing body of exposure-based labor-market research looks for that redeployment in hiring data.</w:t>
      </w:r>
    </w:p>
    <w:p>
      <w:pPr>
        <w:pStyle w:val="BodyText"/>
        <w:spacing w:line="480" w:lineRule="auto" w:after="0" w:before="0"/>
        <w:ind w:firstLine="720"/>
        <w:jc w:val="left"/>
      </w:pPr>
      <w:r>
        <w:rPr>
          <w:rFonts w:ascii="Times New Roman" w:hAnsi="Times New Roman" w:eastAsia="Times New Roman" w:cs="Times New Roman"/>
        </w:rPr>
        <w:t xml:space="preserve">Information systems (IS) research gives reason for caution. Implementation research has long treated adoption as one stage in a sequence that runs through adaptation, acceptance, routinization, and infusion (Cooper &amp; Zmud, 1990; Jasperson et al., 2005). Organizations can acquire an innovation well before they deploy it, so diffusion statistics overstate use. Fichman and Kemerer (1999) called this wedge an assimilation gap and found it widest where knowledge barriers were high. Studies of enterprise systems later showed that what follows acquisition depends on organizational conditions, such as the participation of top management, rather than on the technology alone (Liang et al., 2007). The IT business value literature makes a parallel point: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that was already under way (Acemoglu &amp; Restrepo, 2018; Brynjolfsson et al., 2021; David, 1990). For generative visual AI, then, the question is not only whether it substitutes for creative labor. It is also whether reported use reflects assimilation into tasks at all, and whether the evidence researchers currently rely on could tell the difference.</w:t>
      </w:r>
    </w:p>
    <w:p>
      <w:pPr>
        <w:pStyle w:val="BodyText"/>
        <w:spacing w:line="480" w:lineRule="auto" w:after="0" w:before="0"/>
        <w:ind w:firstLine="720"/>
        <w:jc w:val="left"/>
      </w:pPr>
      <w:r>
        <w:rPr>
          <w:rFonts w:ascii="Times New Roman" w:hAnsi="Times New Roman" w:eastAsia="Times New Roman" w:cs="Times New Roman"/>
        </w:rPr>
        <w:t xml:space="preserve">We take up this question in three steps. First, we develop a task-level theory in which a firm reassigns a visual task to a generator only when the acceptance rate of its output exceeds a threshold set by generation cost, review cost, and the cost of human production. Complementary assets enter through review cost: the expertise to specify and check output, the capacity to run review as a routine, and the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detectability bound that compares the hiring response implied by complete assimilation with the minimum detectable effect of standard exposure designs. Third, we assemble the descriptive evidence that exists on the acquisition margin and on the barriers that firms report.</w:t>
      </w:r>
    </w:p>
    <w:p>
      <w:pPr>
        <w:pStyle w:val="BodyText"/>
        <w:spacing w:line="480" w:lineRule="auto" w:after="0" w:before="0"/>
        <w:ind w:firstLine="720"/>
        <w:jc w:val="left"/>
      </w:pPr>
      <w:r>
        <w:rPr>
          <w:rFonts w:ascii="Times New Roman" w:hAnsi="Times New Roman" w:eastAsia="Times New Roman" w:cs="Times New Roman"/>
        </w:rPr>
        <w:t xml:space="preserve">The results are partly substantive and partly cautionary. Acquisition of generative visual AI is substantial and rising, so the absence of a hiring response cannot be explained by an absence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23 percent. The exposure gradients the designs do report are small and imprecise: about 2 to 3 percent fewer adverts per standard deviation of exposure in Europe in 2023 and 2024, and a first-year decline of similar size in Canada that does not persist. Exposed occupations were already declining relative to others before generative tools were released.</w:t>
      </w:r>
    </w:p>
    <w:p>
      <w:pPr>
        <w:pStyle w:val="BodyText"/>
        <w:spacing w:line="480" w:lineRule="auto" w:after="0" w:before="0"/>
        <w:ind w:firstLine="720"/>
        <w:jc w:val="left"/>
      </w:pPr>
      <w:r>
        <w:rPr>
          <w:rFonts w:ascii="Times New Roman" w:hAnsi="Times New Roman" w:eastAsia="Times New Roman" w:cs="Times New Roman"/>
        </w:rPr>
        <w:t xml:space="preserve">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pStyle w:val="BodyText"/>
        <w:spacing w:line="480" w:lineRule="auto" w:after="0" w:before="0"/>
        <w:ind w:firstLine="720"/>
        <w:jc w:val="left"/>
      </w:pPr>
      <w:r>
        <w:rPr>
          <w:rFonts w:ascii="Times New Roman" w:hAnsi="Times New Roman" w:eastAsia="Times New Roman" w:cs="Times New Roman"/>
        </w:rPr>
        <w:t xml:space="preserve">The paper contributes to IS research in three ways.</w:t>
      </w:r>
    </w:p>
    <w:p>
      <w:pPr>
        <w:pStyle w:val="BodyText"/>
        <w:spacing w:line="480" w:lineRule="auto" w:after="0" w:before="0"/>
        <w:ind w:firstLine="720"/>
        <w:jc w:val="left"/>
      </w:pPr>
      <w:r>
        <w:rPr>
          <w:iCs/>
          <w:rFonts w:ascii="Times New Roman" w:hAnsi="Times New Roman" w:eastAsia="Times New Roman" w:cs="Times New Roman"/>
          <w:i/>
        </w:rPr>
        <w:t xml:space="preserve">First, a theoretical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extend assimilation theory in two ways. The first is to distinguish judgment complements from production complements. Earlier work located the barrier in the knowledge needed to make a technology work (Attewell, 1992; Fichman &amp; Kemerer, 1999). A visual generator removes most of that barrier, but it leaves the capacity to judge whether its output may replace human work: expertise, review capacity, and compliance procedures. We place these complements in a single, observable cost term, review cost, so that a better model raises the acceptance rate of output without supplying the person, the time, or the policy that judging requires. The second is to treat assimilation as a property of the task and not of the firm. With the same tool, a firm can assimilate tasks whose review cost is low and leave others untouched, which a firm-level assimilation score conceals. Together these imply that reported use is a weaker signal of task reassignment for generative tools than for earlier technologies. We also conjecture that near-zero acquisition cost makes acquisition less informative about assimilation than it was when acquisition was costly; the public data we examine neither support nor refute this, and we flag it as a hypothesis for firm-level work. Platform studies observe substitution because the buyer of a freelance task can switch tools without first building a review routine; standing occupations inside firms face that friction.</w:t>
      </w:r>
    </w:p>
    <w:p>
      <w:pPr>
        <w:pStyle w:val="BodyText"/>
        <w:spacing w:line="480" w:lineRule="auto" w:after="0" w:before="0"/>
        <w:ind w:firstLine="720"/>
        <w:jc w:val="left"/>
      </w:pPr>
      <w:r>
        <w:rPr>
          <w:iCs/>
          <w:rFonts w:ascii="Times New Roman" w:hAnsi="Times New Roman" w:eastAsia="Times New Roman" w:cs="Times New Roman"/>
          <w:i/>
        </w:rPr>
        <w:t xml:space="preserve">Second, a methodological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provide a detectability bound that changes how an important part of the literature on AI exposure and hiring should be read. At current acquisition rates and at the substitution effects estimated on platforms, where assimilation is comparatively frictionless, complete assimilation of visual tasks would lower adverts in the most exposed occupations by roughly 2 to 17 percent. Standard European and Canadian occupation-level designs cannot detect effects of that size. The small gradients they do report cannot be told apart from an extrapolation of the pre-2022 trend and are therefore uninformative about assimilation. The bound is simple enough to be reported next to any exposure coefficient, and doing so guards against both false alarms and false reassurance.</w:t>
      </w:r>
    </w:p>
    <w:p>
      <w:pPr>
        <w:pStyle w:val="BodyText"/>
        <w:spacing w:line="480" w:lineRule="auto" w:after="0" w:before="0"/>
        <w:ind w:firstLine="720"/>
        <w:jc w:val="left"/>
      </w:pPr>
      <w:r>
        <w:rPr>
          <w:iCs/>
          <w:rFonts w:ascii="Times New Roman" w:hAnsi="Times New Roman" w:eastAsia="Times New Roman" w:cs="Times New Roman"/>
          <w:i/>
        </w:rPr>
        <w:t xml:space="preserve">Third, a research-design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turn the assimilation-gap hypothesis into a set of falsifiable predictions that can be tested once firm-level data link reported use, the stock of complementary assets, task reassignment, and hiring. Among acquiring firms, reassignment should rise with expertise, review capacity, and compliance procedures, and hiring for visual occupations should fall only among firms that have both acquired the tool and built those assets. These predictions separate an assimilation gap from capability failure, from complete assimilation with net substitution, and from assimilation with offsetting scale effects, accounts that occupation-level data cannot currently tell apart.</w:t>
      </w:r>
    </w:p>
    <w:p>
      <w:pPr>
        <w:pStyle w:val="BodyText"/>
        <w:spacing w:line="480" w:lineRule="auto" w:after="0" w:before="0"/>
        <w:ind w:firstLine="720"/>
        <w:jc w:val="left"/>
      </w:pPr>
      <w:r>
        <w:rPr>
          <w:rFonts w:ascii="Times New Roman" w:hAnsi="Times New Roman" w:eastAsia="Times New Roman" w:cs="Times New Roman"/>
        </w:rPr>
        <w:t xml:space="preserve">The paper proceeds as follows. Section 2 reviews the literature. Section 3 develops the theory, Section 4 derives the detectability bound, and Section 5 describes the data. Sections 6 to 8 present the evidence on acquisition and barriers, apply the bound to hiring data (including a pilot with advert text), and ask when occupation-level data could become informative. Section 9 sets out a firm-level design, and Sections 10 and 11 discuss implications and conclude.</w:t>
      </w:r>
    </w:p>
    <w:bookmarkEnd w:id="21"/>
    <w:bookmarkStart w:id="25" w:name="related-literature"/>
    <w:p>
      <w:pPr>
        <w:pStyle w:val="Heading2"/>
      </w:pPr>
      <w:r>
        <w:rPr>
          <w:rFonts w:ascii="Times New Roman" w:hAnsi="Times New Roman" w:eastAsia="Times New Roman" w:cs="Times New Roman"/>
        </w:rPr>
        <w:t xml:space="preserve">2 Related Literature</w:t>
      </w:r>
    </w:p>
    <w:bookmarkStart w:id="22" w:name="from-adoption-to-assimilation"/>
    <w:p>
      <w:pPr>
        <w:pStyle w:val="Heading3"/>
      </w:pPr>
      <w:r>
        <w:rPr>
          <w:rFonts w:ascii="Times New Roman" w:hAnsi="Times New Roman" w:eastAsia="Times New Roman" w:cs="Times New Roman"/>
        </w:rPr>
        <w:t xml:space="preserve">2.1 From Adoption to Assimilation</w:t>
      </w:r>
    </w:p>
    <w:p>
      <w:pPr>
        <w:pStyle w:val="FirstParagraph"/>
        <w:spacing w:line="480" w:lineRule="auto" w:after="0" w:before="0"/>
        <w:ind w:firstLine="720"/>
        <w:jc w:val="left"/>
      </w:pPr>
      <w:r>
        <w:rPr>
          <w:rFonts w:ascii="Times New Roman" w:hAnsi="Times New Roman" w:eastAsia="Times New Roman" w:cs="Times New Roman"/>
        </w:rPr>
        <w:t xml:space="preserve">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The post-adoption literature has since described, in detail, how users continue to explore, extend, and often under-use the features of technologies they have formally adopted (Jasperson et al., 2005), and how organizational mechanisms such as top-management participation carry an enterprise system from implementation into use (Liang et al., 2007). We build on this tradition but apply it to an outcome that it has rarely examined: whether assimilation of a production technology reaches the occupation that used to perform the task.</w:t>
      </w:r>
    </w:p>
    <w:bookmarkEnd w:id="22"/>
    <w:bookmarkStart w:id="23" w:name="complementary-assets"/>
    <w:p>
      <w:pPr>
        <w:pStyle w:val="Heading3"/>
      </w:pPr>
      <w:r>
        <w:rPr>
          <w:rFonts w:ascii="Times New Roman" w:hAnsi="Times New Roman" w:eastAsia="Times New Roman" w:cs="Times New Roman"/>
        </w:rPr>
        <w:t xml:space="preserve">2.2 Complementary Assets</w:t>
      </w:r>
    </w:p>
    <w:p>
      <w:pPr>
        <w:pStyle w:val="FirstParagraph"/>
        <w:spacing w:line="480" w:lineRule="auto" w:after="0" w:before="0"/>
        <w:ind w:firstLine="720"/>
        <w:jc w:val="left"/>
      </w:pPr>
      <w:r>
        <w:rPr>
          <w:rFonts w:ascii="Times New Roman" w:hAnsi="Times New Roman" w:eastAsia="Times New Roman" w:cs="Times New Roman"/>
        </w:rPr>
        <w:t xml:space="preserve">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but it does not create the person who can judge that output, the time in which to judge it, or the policy that says whether it may be used.</w:t>
      </w:r>
    </w:p>
    <w:bookmarkEnd w:id="23"/>
    <w:bookmarkStart w:id="24" w:name="Xcbcf59c475a0a23fbdb63f118109907a2bbf8fb"/>
    <w:p>
      <w:pPr>
        <w:pStyle w:val="Heading3"/>
      </w:pPr>
      <w:r>
        <w:rPr>
          <w:rFonts w:ascii="Times New Roman" w:hAnsi="Times New Roman" w:eastAsia="Times New Roman" w:cs="Times New Roman"/>
        </w:rPr>
        <w:t xml:space="preserve">2.3 Generative AI, Work, and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 large literature maps AI capabilities onto occupational tasks (Eloundou et al., 2023; Felten et al., 2021; Webb, 2020). Exposure measures describe where a technology could matter, not where it has been acquired or assimilated. Task-based models separate the displacement, reinstatement, and productivity effects of automation (Acemoglu &amp; Restrepo, 2018, 2019), and models of unbalanced growth show that tasks which cannot be automated become bottlenecks (Aghion et al., 2019; Baumol, 1967); we use both ideas in Section 3. Establishments exposed to AI change their hiring, but little aggregate effect is detectable at the occupation or industry level (Acemoglu et al., 2022). Danish registers linked to adoption surveys show precise zeros for adopters’ earnings and hours (Humlum &amp; Vestergaard, 2025).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share a feature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BodyText"/>
        <w:spacing w:line="480" w:lineRule="auto" w:after="0" w:before="0"/>
        <w:ind w:firstLine="720"/>
        <w:jc w:val="left"/>
      </w:pPr>
      <w:r>
        <w:rPr>
          <w:rFonts w:ascii="Times New Roman" w:hAnsi="Times New Roman" w:eastAsia="Times New Roman" w:cs="Times New Roman"/>
        </w:rPr>
        <w:t xml:space="preserve">Within IS, work on AI has mostly examined what happens inside organizations that already use it. Experimental evidence suggests that people are poorly calibrated about their own capabilities when deciding whether to delegate to an AI system (Fügener et al., 2022), which implies that judging machine output is not costless even for competent workers; this is the mechanism that our review-cost term abstracts. Editorial work has framed AI as something that must be managed as a continually moving technological frontier (Berente et al., 2021), as a component of human–AI hybrids that reshape digital labor platforms (Rai et al., 2019), and, in the case of generative models, as a double-edged tool for knowledge work (Susarla et al., 2023). Studies of this kind take use as given. Labor economics, by contrast, takes the occupation as the unit and asks whether exposure predicts hiring, but seldom asks whether exposed employers have changed how work is done. What is missing is an account of the step in between, from acquiring a generator to reassigning a task to it, and of what that step implies for the evidence that occupation-level studies can supply.</w:t>
      </w:r>
    </w:p>
    <w:p>
      <w:pPr>
        <w:pStyle w:val="BodyText"/>
        <w:spacing w:line="480" w:lineRule="auto" w:after="0" w:before="0"/>
        <w:ind w:firstLine="720"/>
        <w:jc w:val="left"/>
      </w:pPr>
      <w:r>
        <w:rPr>
          <w:rFonts w:ascii="Times New Roman" w:hAnsi="Times New Roman" w:eastAsia="Times New Roman" w:cs="Times New Roman"/>
        </w:rPr>
        <w:t xml:space="preserve">Two strands of work are close to our empirical approach. Tambe and Hitt (2012) showed that IT labor data can sharpen measurement of IT’s contribution to firm output. We use the same kind of data, online job adverts, for a narrower purpose: to ask what such data can and cannot reveal about assimilation. Babina et al. (2024) build firm-level indicators of AI investment from workforce data and find that AI-investing firms grow faster, mainly through product innovation. That is precisely the sort of firm-level linkage that the design in Section 9 requires for generative visual AI.</w:t>
      </w:r>
    </w:p>
    <w:bookmarkEnd w:id="24"/>
    <w:bookmarkEnd w:id="25"/>
    <w:bookmarkStart w:id="34" w:name="theory"/>
    <w:p>
      <w:pPr>
        <w:pStyle w:val="Heading2"/>
      </w:pPr>
      <w:r>
        <w:rPr>
          <w:rFonts w:ascii="Times New Roman" w:hAnsi="Times New Roman" w:eastAsia="Times New Roman" w:cs="Times New Roman"/>
        </w:rPr>
        <w:t xml:space="preserve">3 Theory</w:t>
      </w:r>
    </w:p>
    <w:bookmarkStart w:id="26" w:name="acquisition-and-assimilation"/>
    <w:p>
      <w:pPr>
        <w:pStyle w:val="Heading3"/>
      </w:pPr>
      <w:r>
        <w:rPr>
          <w:rFonts w:ascii="Times New Roman" w:hAnsi="Times New Roman" w:eastAsia="Times New Roman" w:cs="Times New Roman"/>
        </w:rPr>
        <w:t xml:space="preserve">3.1 Acquisition and Assimilation</w:t>
      </w:r>
    </w:p>
    <w:p>
      <w:pPr>
        <w:pStyle w:val="FirstParagraph"/>
        <w:spacing w:line="480" w:lineRule="auto" w:after="0" w:before="0"/>
        <w:ind w:firstLine="720"/>
        <w:jc w:val="left"/>
      </w:pPr>
      <w:r>
        <w:rPr>
          <w:rFonts w:ascii="Times New Roman" w:hAnsi="Times New Roman" w:eastAsia="Times New Roman" w:cs="Times New Roman"/>
        </w:rPr>
        <w:t xml:space="preserve">A firm produces visual tasks such as images, layouts, and short videos.</w:t>
      </w:r>
      <w:r>
        <w:rPr>
          <w:rFonts w:ascii="Times New Roman" w:hAnsi="Times New Roman" w:eastAsia="Times New Roman" w:cs="Times New Roman"/>
        </w:rPr>
        <w:t xml:space="preserve"> </w:t>
      </w:r>
      <w:r>
        <w:rPr>
          <w:iCs/>
          <w:rFonts w:ascii="Times New Roman" w:hAnsi="Times New Roman" w:eastAsia="Times New Roman" w:cs="Times New Roman"/>
          <w:i/>
        </w:rPr>
        <w:t xml:space="preserve">Acquisition</w:t>
      </w:r>
      <w:r>
        <w:rPr>
          <w:rFonts w:ascii="Times New Roman" w:hAnsi="Times New Roman" w:eastAsia="Times New Roman" w:cs="Times New Roman"/>
        </w:rPr>
        <w:t xml:space="preserve"> </w:t>
      </w:r>
      <w:r>
        <w:rPr>
          <w:rFonts w:ascii="Times New Roman" w:hAnsi="Times New Roman" w:eastAsia="Times New Roman" w:cs="Times New Roman"/>
        </w:rPr>
        <w:t xml:space="preserve">is the event that the firm has a visual generator available and reports using it.</w:t>
      </w:r>
      <w:r>
        <w:rPr>
          <w:rFonts w:ascii="Times New Roman" w:hAnsi="Times New Roman" w:eastAsia="Times New Roman" w:cs="Times New Roman"/>
        </w:rPr>
        <w:t xml:space="preserve"> </w:t>
      </w:r>
      <w:r>
        <w:rPr>
          <w:iCs/>
          <w:rFonts w:ascii="Times New Roman" w:hAnsi="Times New Roman" w:eastAsia="Times New Roman" w:cs="Times New Roman"/>
          <w:i/>
        </w:rPr>
        <w:t xml:space="preserve">Assimilation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pStyle w:val="BodyText"/>
        <w:spacing w:line="480" w:lineRule="auto" w:after="0" w:before="0"/>
        <w:ind w:firstLine="720"/>
        <w:jc w:val="left"/>
      </w:pPr>
      <w:r>
        <w:rPr>
          <w:rFonts w:ascii="Times New Roman" w:hAnsi="Times New Roman" w:eastAsia="Times New Roman" w:cs="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bookmarkEnd w:id="26"/>
    <w:bookmarkStart w:id="27" w:name="the-acceptance-threshold"/>
    <w:p>
      <w:pPr>
        <w:pStyle w:val="Heading3"/>
      </w:pPr>
      <w:r>
        <w:rPr>
          <w:rFonts w:ascii="Times New Roman" w:hAnsi="Times New Roman" w:eastAsia="Times New Roman" w:cs="Times New Roman"/>
        </w:rPr>
        <w:t xml:space="preserve">3.2 The Acceptance Threshold</w:t>
      </w:r>
    </w:p>
    <w:p>
      <w:pPr>
        <w:pStyle w:val="FirstParagraph"/>
        <w:spacing w:line="480" w:lineRule="auto" w:after="0" w:before="0"/>
        <w:ind w:firstLine="720"/>
        <w:jc w:val="left"/>
      </w:pPr>
      <w:r>
        <w:rPr>
          <w:rFonts w:ascii="Times New Roman" w:hAnsi="Times New Roman" w:eastAsia="Times New Roman" w:cs="Times New Roman"/>
        </w:rPr>
        <w:t xml:space="preserve">Producing a visual asset with human labor costs</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Producing it with the generator costs</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and</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human review. With probability</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output is accepted;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it is rejected and a human produces the asset at cost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Expected cost with the generator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oMath>
      <w:r>
        <w:rPr>
          <w:rFonts w:ascii="Times New Roman" w:hAnsi="Times New Roman" w:eastAsia="Times New Roman" w:cs="Times New Roman"/>
        </w:rPr>
        <w:t xml:space="preserve">, so the firm assimilates the task when</w:t>
      </w:r>
    </w:p>
    <w:p>
      <w:pPr>
        <w:pStyle w:val="BodyText"/>
        <w:spacing w:line="480" w:lineRule="auto" w:after="0" w:before="0"/>
        <w:ind w:firstLine="720"/>
        <w:jc w:val="left"/>
      </w:pPr>
      <m:oMathPara>
        <m:oMathParaPr>
          <m:jc m:val="center"/>
        </m:oMathParaPr>
        <m:oMath>
          <m:r>
            <m:t>a</m:t>
          </m:r>
          <m:r>
            <m:rPr>
              <m:sty m:val="p"/>
            </m:rPr>
            <m:t>&gt;</m:t>
          </m:r>
          <m:sSup>
            <m:e>
              <m:r>
                <m:t>a</m:t>
              </m:r>
            </m:e>
            <m:sup>
              <m:r>
                <m:rPr>
                  <m:sty m:val="p"/>
                </m:rPr>
                <m:t>*</m:t>
              </m:r>
            </m:sup>
          </m:sSup>
          <m:r>
            <m:rPr>
              <m:sty m:val="p"/>
            </m:rPr>
            <m:t>=</m:t>
          </m:r>
          <m:f>
            <m:fPr>
              <m:type m:val="bar"/>
            </m:fPr>
            <m:num>
              <m:r>
                <m:t>c</m:t>
              </m:r>
              <m:r>
                <m:rPr>
                  <m:sty m:val="p"/>
                </m:rPr>
                <m:t>+</m:t>
              </m:r>
              <m:r>
                <m:t>r</m:t>
              </m:r>
            </m:num>
            <m:den>
              <m:r>
                <m:t>θ</m:t>
              </m:r>
            </m:den>
          </m:f>
          <m:r>
            <m:rPr>
              <m:sty m:val="p"/>
            </m:rPr>
            <m:t>.</m:t>
          </m:r>
          <m:r>
            <m:t>  </m:t>
          </m:r>
          <m:d>
            <m:dPr>
              <m:begChr m:val="("/>
              <m:endChr m:val=")"/>
              <m:sepChr m:val=""/>
              <m:grow/>
            </m:dPr>
            <m:e>
              <m:r>
                <m:t>1</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acceptance rate</w:t>
      </w:r>
      <w:r>
        <w:rPr>
          <w:rFonts w:ascii="Times New Roman" w:hAnsi="Times New Roman" w:eastAsia="Times New Roman" w:cs="Times New Roman"/>
        </w:rPr>
        <w:t xml:space="preserve"> </w:t>
      </w:r>
      <m:oMath>
        <m:r>
          <m:t>a</m:t>
        </m:r>
        <m:r>
          <m:rPr>
            <m:sty m:val="p"/>
          </m:rPr>
          <m:t>=</m:t>
        </m:r>
        <m:r>
          <m:t>a</m:t>
        </m:r>
        <m:d>
          <m:dPr>
            <m:begChr m:val="("/>
            <m:endChr m:val=")"/>
            <m:sepChr m:val=""/>
            <m:grow/>
          </m:dPr>
          <m:e>
            <m:r>
              <m:t>q</m:t>
            </m:r>
            <m:r>
              <m:rPr>
                <m:sty m:val="p"/>
              </m:rPr>
              <m:t>,</m:t>
            </m:r>
            <m:r>
              <m:t>m</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rises with model quality</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falls with the task’s quality requirement</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so assimilation is more likely for routine and internal visuals than for brand-defining, technically exact, or legally sensitive work. The review cost</w:t>
      </w:r>
      <w:r>
        <w:rPr>
          <w:rFonts w:ascii="Times New Roman" w:hAnsi="Times New Roman" w:eastAsia="Times New Roman" w:cs="Times New Roman"/>
        </w:rPr>
        <w:t xml:space="preserve"> </w:t>
      </w:r>
      <m:oMath>
        <m:r>
          <m:t>r</m:t>
        </m:r>
        <m:r>
          <m:rPr>
            <m:sty m:val="p"/>
          </m:rPr>
          <m:t>=</m:t>
        </m:r>
        <m:r>
          <m:t>r</m:t>
        </m:r>
        <m:d>
          <m:dPr>
            <m:begChr m:val="("/>
            <m:endChr m:val=")"/>
            <m:sepChr m:val=""/>
            <m:grow/>
          </m:dPr>
          <m:e>
            <m:r>
              <m:t>q</m:t>
            </m:r>
            <m:r>
              <m:rPr>
                <m:sty m:val="p"/>
              </m:rPr>
              <m:t>;</m:t>
            </m:r>
            <m:r>
              <m:t>K</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also rises with</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falls with the firm’s stock of complementary assets</w:t>
      </w:r>
      <w:r>
        <w:rPr>
          <w:rFonts w:ascii="Times New Roman" w:hAnsi="Times New Roman" w:eastAsia="Times New Roman" w:cs="Times New Roman"/>
        </w:rPr>
        <w:t xml:space="preserve"> </w:t>
      </w:r>
      <m:oMath>
        <m:r>
          <m:t>K</m:t>
        </m:r>
        <m:r>
          <m:rPr>
            <m:sty m:val="p"/>
          </m:rPr>
          <m:t>=</m:t>
        </m:r>
        <m:d>
          <m:dPr>
            <m:begChr m:val="("/>
            <m:endChr m:val=")"/>
            <m:sepChr m:val=""/>
            <m:grow/>
          </m:dPr>
          <m:e>
            <m:sSup>
              <m:e>
                <m:r>
                  <m:t>K</m:t>
                </m:r>
              </m:e>
              <m:sup>
                <m:r>
                  <m:t>E</m:t>
                </m:r>
              </m:sup>
            </m:sSup>
            <m:r>
              <m:rPr>
                <m:sty m:val="p"/>
              </m:rPr>
              <m:t>,</m:t>
            </m:r>
            <m:sSup>
              <m:e>
                <m:r>
                  <m:t>K</m:t>
                </m:r>
              </m:e>
              <m:sup>
                <m:r>
                  <m:t>R</m:t>
                </m:r>
              </m:sup>
            </m:sSup>
            <m:r>
              <m:rPr>
                <m:sty m:val="p"/>
              </m:rPr>
              <m:t>,</m:t>
            </m:r>
            <m:sSup>
              <m:e>
                <m:r>
                  <m:t>K</m:t>
                </m:r>
              </m:e>
              <m:sup>
                <m:r>
                  <m:t>C</m:t>
                </m:r>
              </m:sup>
            </m:sSup>
          </m:e>
        </m:d>
      </m:oMath>
      <w:r>
        <w:rPr>
          <w:rFonts w:ascii="Times New Roman" w:hAnsi="Times New Roman" w:eastAsia="Times New Roman" w:cs="Times New Roman"/>
        </w:rPr>
        <w:t xml:space="preserve">. Expertise</w:t>
      </w:r>
      <w:r>
        <w:rPr>
          <w:rFonts w:ascii="Times New Roman" w:hAnsi="Times New Roman" w:eastAsia="Times New Roman" w:cs="Times New Roman"/>
        </w:rPr>
        <w:t xml:space="preserve"> </w:t>
      </w:r>
      <m:oMath>
        <m:sSup>
          <m:e>
            <m:r>
              <m:t>K</m:t>
            </m:r>
          </m:e>
          <m:sup>
            <m:r>
              <m:t>E</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specifying a task and recognizing a failed draft. Review capacity</w:t>
      </w:r>
      <w:r>
        <w:rPr>
          <w:rFonts w:ascii="Times New Roman" w:hAnsi="Times New Roman" w:eastAsia="Times New Roman" w:cs="Times New Roman"/>
        </w:rPr>
        <w:t xml:space="preserve"> </w:t>
      </w:r>
      <m:oMath>
        <m:sSup>
          <m:e>
            <m:r>
              <m:t>K</m:t>
            </m:r>
          </m:e>
          <m:sup>
            <m:r>
              <m:t>R</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running that check as a routine rather than as an exception. Compliance procedures</w:t>
      </w:r>
      <w:r>
        <w:rPr>
          <w:rFonts w:ascii="Times New Roman" w:hAnsi="Times New Roman" w:eastAsia="Times New Roman" w:cs="Times New Roman"/>
        </w:rPr>
        <w:t xml:space="preserve"> </w:t>
      </w:r>
      <m:oMath>
        <m:sSup>
          <m:e>
            <m:r>
              <m:t>K</m:t>
            </m:r>
          </m:e>
          <m:sup>
            <m: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 the cost of deciding whether an output may be used given copyright and personal-data exposure. Two implications follow directly from equation (1).</w:t>
      </w:r>
    </w:p>
    <w:p>
      <w:pPr>
        <w:pStyle w:val="BodyText"/>
        <w:spacing w:line="480" w:lineRule="auto" w:after="0" w:before="0"/>
        <w:ind w:firstLine="720"/>
        <w:jc w:val="left"/>
      </w:pPr>
      <w:r>
        <w:rPr>
          <w:bCs/>
          <w:rFonts w:ascii="Times New Roman" w:hAnsi="Times New Roman" w:eastAsia="Times New Roman" w:cs="Times New Roman"/>
          <w:b/>
        </w:rPr>
        <w:t xml:space="preserve">Implication 1 (complements are necessary).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If</w:t>
      </w:r>
      <w:r>
        <w:rPr>
          <w:iCs/>
          <w:rFonts w:ascii="Times New Roman" w:hAnsi="Times New Roman" w:eastAsia="Times New Roman" w:cs="Times New Roman"/>
          <w:i/>
        </w:rPr>
        <w:t xml:space="preserve"> </w:t>
      </w:r>
      <m:oMath>
        <m:r>
          <m:t>c</m:t>
        </m:r>
        <m:r>
          <m:rPr>
            <m:sty m:val="p"/>
          </m:rPr>
          <m:t>+</m:t>
        </m:r>
        <m:r>
          <m:t>r</m:t>
        </m:r>
        <m:d>
          <m:dPr>
            <m:begChr m:val="("/>
            <m:endChr m:val=")"/>
            <m:sepChr m:val=""/>
            <m:grow/>
          </m:dPr>
          <m:e>
            <m:r>
              <m:t>q</m:t>
            </m:r>
            <m:r>
              <m:rPr>
                <m:sty m:val="p"/>
              </m:rPr>
              <m:t>;</m:t>
            </m:r>
            <m:r>
              <m:t>K</m:t>
            </m:r>
          </m:e>
        </m:d>
        <m:r>
          <m:rPr>
            <m:sty m:val="p"/>
          </m:rPr>
          <m:t>≥</m:t>
        </m:r>
        <m:r>
          <m:t>θ</m:t>
        </m:r>
      </m:oMath>
      <w:r>
        <w:rPr>
          <w:iCs/>
          <w:rFonts w:ascii="Times New Roman" w:hAnsi="Times New Roman" w:eastAsia="Times New Roman" w:cs="Times New Roman"/>
          <w:i/>
        </w:rPr>
        <w:t xml:space="preserve">, then</w:t>
      </w:r>
      <w:r>
        <w:rPr>
          <w:iCs/>
          <w:rFonts w:ascii="Times New Roman" w:hAnsi="Times New Roman" w:eastAsia="Times New Roman" w:cs="Times New Roman"/>
          <w:i/>
        </w:rPr>
        <w:t xml:space="preserve"> </w:t>
      </w:r>
      <m:oMath>
        <m:sSup>
          <m:e>
            <m:r>
              <m:t>a</m:t>
            </m:r>
          </m:e>
          <m:sup>
            <m:r>
              <m:rPr>
                <m:sty m:val="p"/>
              </m:rPr>
              <m:t>*</m:t>
            </m:r>
          </m:sup>
        </m:sSup>
        <m:r>
          <m:rPr>
            <m:sty m:val="p"/>
          </m:rPr>
          <m: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the task is not assimilated for any model quality</w:t>
      </w:r>
      <w:r>
        <w:rPr>
          <w:iCs/>
          <w:rFonts w:ascii="Times New Roman" w:hAnsi="Times New Roman" w:eastAsia="Times New Roman" w:cs="Times New Roman"/>
          <w:i/>
        </w:rPr>
        <w:t xml:space="preserve"> </w:t>
      </w:r>
      <m:oMath>
        <m:r>
          <m:t>m</m:t>
        </m:r>
      </m:oMath>
      <w:r>
        <w:rPr>
          <w:iCs/>
          <w:rFonts w:ascii="Times New Roman" w:hAnsi="Times New Roman" w:eastAsia="Times New Roman" w:cs="Times New Roman"/>
          <w:i/>
        </w:rPr>
        <w:t xml:space="preserve">. Model improvements cannot substitute for missing complements; they matter only once complements have brought</w:t>
      </w:r>
      <w:r>
        <w:rPr>
          <w:iCs/>
          <w:rFonts w:ascii="Times New Roman" w:hAnsi="Times New Roman" w:eastAsia="Times New Roman" w:cs="Times New Roman"/>
          <w:i/>
        </w:rPr>
        <w:t xml:space="preserve"> </w:t>
      </w:r>
      <m:oMath>
        <m:sSup>
          <m:e>
            <m:r>
              <m:t>a</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below one.</w:t>
      </w:r>
    </w:p>
    <w:p>
      <w:pPr>
        <w:pStyle w:val="BodyText"/>
        <w:spacing w:line="480" w:lineRule="auto" w:after="0" w:before="0"/>
        <w:ind w:firstLine="720"/>
        <w:jc w:val="left"/>
      </w:pPr>
      <w:r>
        <w:rPr>
          <w:bCs/>
          <w:rFonts w:ascii="Times New Roman" w:hAnsi="Times New Roman" w:eastAsia="Times New Roman" w:cs="Times New Roman"/>
          <w:b/>
        </w:rPr>
        <w:t xml:space="preserve">Implication 2 (cheap acquisition widens the gap).</w:t>
      </w:r>
      <w:r>
        <w:rPr>
          <w:rFonts w:ascii="Times New Roman" w:hAnsi="Times New Roman" w:eastAsia="Times New Roman" w:cs="Times New Roman"/>
        </w:rPr>
        <w:t xml:space="preserve"> </w:t>
      </w:r>
      <w:r>
        <w:rPr>
          <w:rFonts w:ascii="Times New Roman" w:hAnsi="Times New Roman" w:eastAsia="Times New Roman" w:cs="Times New Roman"/>
        </w:rPr>
        <w:t xml:space="preserve">Because acquisition requires little investment, the share of firms that acquire the tool can grow independently of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If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accumulates more slowly than acquisition, the share of acquiring firms that satisfy equation (1) for a given task falls even as acquisition rises, and the gap between acquisition and assimilation widens before it narrows.</w:t>
      </w:r>
    </w:p>
    <w:bookmarkEnd w:id="27"/>
    <w:bookmarkStart w:id="28" w:name="from-tasks-to-occupational-demand"/>
    <w:p>
      <w:pPr>
        <w:pStyle w:val="Heading3"/>
      </w:pPr>
      <w:r>
        <w:rPr>
          <w:rFonts w:ascii="Times New Roman" w:hAnsi="Times New Roman" w:eastAsia="Times New Roman" w:cs="Times New Roman"/>
        </w:rPr>
        <w:t xml:space="preserve">3.3 From Tasks to Occupational Demand</w:t>
      </w:r>
    </w:p>
    <w:p>
      <w:pPr>
        <w:pStyle w:val="FirstParagraph"/>
        <w:spacing w:line="480" w:lineRule="auto" w:after="0" w:before="0"/>
        <w:ind w:firstLine="720"/>
        <w:jc w:val="left"/>
      </w:pPr>
      <w:r>
        <w:rPr>
          <w:rFonts w:ascii="Times New Roman" w:hAnsi="Times New Roman" w:eastAsia="Times New Roman" w:cs="Times New Roman"/>
        </w:rPr>
        <w:t xml:space="preserve">Let</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employers that report use and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the share that have assimilated the visual-production tasks of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Let</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the occupation’s work that consists of such tasks, and let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log change in demand for the occupation’s visual-production work at an assimilating employer. To a first approximation, the aggregate log change in demand is</w:t>
      </w:r>
    </w:p>
    <w:p>
      <w:pPr>
        <w:pStyle w:val="BodyText"/>
        <w:spacing w:line="480" w:lineRule="auto" w:after="0" w:before="0"/>
        <w:ind w:firstLine="720"/>
        <w:jc w:val="left"/>
      </w:pPr>
      <m:oMathPara>
        <m:oMathParaPr>
          <m:jc m:val="center"/>
        </m:oMathParaPr>
        <m:oMath>
          <m:r>
            <m:t>Δ</m:t>
          </m:r>
          <m:r>
            <m:rPr>
              <m:sty m:val="p"/>
            </m:rPr>
            <m:t>ln</m:t>
          </m:r>
          <m:sSub>
            <m:e>
              <m:r>
                <m:t>N</m:t>
              </m:r>
            </m:e>
            <m:sub>
              <m:r>
                <m:t>j</m:t>
              </m:r>
            </m:sub>
          </m:sSub>
          <m:r>
            <m:rPr>
              <m:sty m:val="p"/>
            </m:rPr>
            <m:t>≈</m:t>
          </m:r>
          <m:sSub>
            <m:e>
              <m:r>
                <m:t>s</m:t>
              </m:r>
            </m:e>
            <m:sub>
              <m:r>
                <m:t>j</m:t>
              </m:r>
            </m:sub>
          </m:sSub>
          <m:r>
            <m:rPr>
              <m:sty m:val="p"/>
            </m:rPr>
            <m:t>⋅</m:t>
          </m:r>
          <m:sSup>
            <m:e>
              <m:r>
                <m:t>A</m:t>
              </m:r>
            </m:e>
            <m:sup>
              <m:r>
                <m:t>a</m:t>
              </m:r>
            </m:sup>
          </m:sSup>
          <m:r>
            <m:rPr>
              <m:sty m:val="p"/>
            </m:rPr>
            <m:t>⋅</m:t>
          </m:r>
          <m:r>
            <m:t>β</m:t>
          </m:r>
          <m:r>
            <m:t> </m:t>
          </m:r>
          <m:r>
            <m:rPr>
              <m:sty m:val="p"/>
            </m:rPr>
            <m:t>≥</m:t>
          </m:r>
          <m:r>
            <m:t> </m:t>
          </m:r>
          <m:sSub>
            <m:e>
              <m:r>
                <m:t>s</m:t>
              </m:r>
            </m:e>
            <m:sub>
              <m:r>
                <m:t>j</m:t>
              </m:r>
            </m:sub>
          </m:sSub>
          <m:r>
            <m:rPr>
              <m:sty m:val="p"/>
            </m:rPr>
            <m:t>⋅</m:t>
          </m:r>
          <m:sSup>
            <m:e>
              <m:r>
                <m:t>A</m:t>
              </m:r>
            </m:e>
            <m:sup>
              <m:r>
                <m:t>u</m:t>
              </m:r>
            </m:sup>
          </m:sSup>
          <m:r>
            <m:rPr>
              <m:sty m:val="p"/>
            </m:rPr>
            <m:t>⋅</m:t>
          </m:r>
          <m:r>
            <m:t>β</m:t>
          </m:r>
          <m:r>
            <m:t> </m:t>
          </m:r>
          <m:r>
            <m:rPr>
              <m:nor/>
              <m:sty m:val="p"/>
            </m:rPr>
            <m:t>for </m:t>
          </m:r>
          <m:r>
            <m:t>β</m:t>
          </m:r>
          <m:r>
            <m:rPr>
              <m:sty m:val="p"/>
            </m:rPr>
            <m:t>&lt;</m:t>
          </m:r>
          <m:r>
            <m:t>0</m:t>
          </m:r>
          <m:r>
            <m:rPr>
              <m:sty m:val="p"/>
            </m:rPr>
            <m:t>.</m:t>
          </m:r>
          <m:r>
            <m:t>  </m:t>
          </m:r>
          <m:d>
            <m:dPr>
              <m:begChr m:val="("/>
              <m:endChr m:val=")"/>
              <m:sepChr m:val=""/>
              <m:grow/>
            </m:dPr>
            <m:e>
              <m:r>
                <m:t>2</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parameter</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combines substitution, which is negative, with a scale effect, which is positive when cheaper content raises the volume of visual work and the demand for direction and selection. Equation (2) makes clear why a small aggregate response is ambiguous. It can arise because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relative to</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which is the assimilation gap, or because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close to zero, which is assimilation with offsetting scale effects. It can also arise simply because</w:t>
      </w:r>
      <w:r>
        <w:rPr>
          <w:rFonts w:ascii="Times New Roman" w:hAnsi="Times New Roman" w:eastAsia="Times New Roman" w:cs="Times New Roman"/>
        </w:rPr>
        <w:t xml:space="preserve"> </w:t>
      </w:r>
      <m:oMath>
        <m:sSub>
          <m:e>
            <m:r>
              <m:t>s</m:t>
            </m:r>
          </m:e>
          <m:sub>
            <m:r>
              <m:t>j</m:t>
            </m:r>
          </m:sub>
        </m:sSub>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even when</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Section 4 shows that this last possibility is the binding one in current data.</w:t>
      </w:r>
    </w:p>
    <w:bookmarkEnd w:id="28"/>
    <w:bookmarkStart w:id="29" w:name="review-as-a-bottleneck-task"/>
    <w:p>
      <w:pPr>
        <w:pStyle w:val="Heading3"/>
      </w:pPr>
      <w:r>
        <w:rPr>
          <w:rFonts w:ascii="Times New Roman" w:hAnsi="Times New Roman" w:eastAsia="Times New Roman" w:cs="Times New Roman"/>
        </w:rPr>
        <w:t xml:space="preserve">3.4 Review as a Bottleneck Task</w:t>
      </w:r>
    </w:p>
    <w:p>
      <w:pPr>
        <w:pStyle w:val="FirstParagraph"/>
        <w:spacing w:line="480" w:lineRule="auto" w:after="0" w:before="0"/>
        <w:ind w:firstLine="720"/>
        <w:jc w:val="left"/>
      </w:pPr>
      <w:r>
        <w:rPr>
          <w:rFonts w:ascii="Times New Roman" w:hAnsi="Times New Roman" w:eastAsia="Times New Roman" w:cs="Times New Roman"/>
        </w:rPr>
        <w:t xml:space="preserve">Equation (1) says when a firm assimilates a task. To see what assimilation does to labor demand, let a unit of the visual asset require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that</w:t>
      </w:r>
      <w:r>
        <w:rPr>
          <w:rFonts w:ascii="Times New Roman" w:hAnsi="Times New Roman" w:eastAsia="Times New Roman" w:cs="Times New Roman"/>
        </w:rPr>
        <w:t xml:space="preserve"> </w:t>
      </w:r>
      <m:oMath>
        <m:r>
          <m:t>θ</m:t>
        </m:r>
        <m:r>
          <m:rPr>
            <m:sty m:val="p"/>
          </m:rPr>
          <m:t>=</m:t>
        </m:r>
        <m:r>
          <m:t>w</m:t>
        </m:r>
        <m:r>
          <m:t>h</m:t>
        </m:r>
      </m:oMath>
      <w:r>
        <w:rPr>
          <w:rFonts w:ascii="Times New Roman" w:hAnsi="Times New Roman" w:eastAsia="Times New Roman" w:cs="Times New Roman"/>
        </w:rPr>
        <w:t xml:space="preserve">, and let review require</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so that</w:t>
      </w:r>
      <w:r>
        <w:rPr>
          <w:rFonts w:ascii="Times New Roman" w:hAnsi="Times New Roman" w:eastAsia="Times New Roman" w:cs="Times New Roman"/>
        </w:rPr>
        <w:t xml:space="preserve"> </w:t>
      </w:r>
      <m:oMath>
        <m:r>
          <m:t>r</m:t>
        </m:r>
        <m:r>
          <m:rPr>
            <m:sty m:val="p"/>
          </m:rPr>
          <m:t>=</m:t>
        </m:r>
        <m:r>
          <m:t>w</m:t>
        </m:r>
        <m:r>
          <m:t>u</m:t>
        </m:r>
      </m:oMath>
      <w:r>
        <w:rPr>
          <w:rFonts w:ascii="Times New Roman" w:hAnsi="Times New Roman" w:eastAsia="Times New Roman" w:cs="Times New Roman"/>
        </w:rPr>
        <w:t xml:space="preserve">. Write</w:t>
      </w:r>
      <w:r>
        <w:rPr>
          <w:rFonts w:ascii="Times New Roman" w:hAnsi="Times New Roman" w:eastAsia="Times New Roman" w:cs="Times New Roman"/>
        </w:rPr>
        <w:t xml:space="preserve"> </w:t>
      </w:r>
      <m:oMath>
        <m:r>
          <m:t>ρ</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review cost relative to human production and</w:t>
      </w:r>
      <w:r>
        <w:rPr>
          <w:rFonts w:ascii="Times New Roman" w:hAnsi="Times New Roman" w:eastAsia="Times New Roman" w:cs="Times New Roman"/>
        </w:rPr>
        <w:t xml:space="preserve"> </w:t>
      </w:r>
      <m:oMath>
        <m:r>
          <m:t>γ</m:t>
        </m:r>
        <m:r>
          <m:rPr>
            <m:sty m:val="p"/>
          </m:rPr>
          <m:t>=</m:t>
        </m:r>
        <m:r>
          <m:t>c</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cost relative to human production, so that</w:t>
      </w:r>
      <w:r>
        <w:rPr>
          <w:rFonts w:ascii="Times New Roman" w:hAnsi="Times New Roman" w:eastAsia="Times New Roman" w:cs="Times New Roman"/>
        </w:rPr>
        <w:t xml:space="preserve"> </w:t>
      </w:r>
      <m:oMath>
        <m:sSup>
          <m:e>
            <m:r>
              <m:t>a</m:t>
            </m:r>
          </m:e>
          <m:sup>
            <m:r>
              <m:rPr>
                <m:sty m:val="p"/>
              </m:rPr>
              <m:t>*</m:t>
            </m:r>
          </m:sup>
        </m:sSup>
        <m:r>
          <m:rPr>
            <m:sty m:val="p"/>
          </m:rPr>
          <m:t>=</m:t>
        </m:r>
        <m:r>
          <m:t>γ</m:t>
        </m:r>
        <m:r>
          <m:rPr>
            <m:sty m:val="p"/>
          </m:rPr>
          <m:t>+</m:t>
        </m:r>
        <m:r>
          <m:t>ρ</m:t>
        </m:r>
      </m:oMath>
      <w:r>
        <w:rPr>
          <w:rFonts w:ascii="Times New Roman" w:hAnsi="Times New Roman" w:eastAsia="Times New Roman" w:cs="Times New Roman"/>
        </w:rPr>
        <w:t xml:space="preserve">. With the generator, a unit of output needs review labor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human production labor, so labor per unit falls from</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oMath>
      <w:r>
        <w:rPr>
          <w:rFonts w:ascii="Times New Roman" w:hAnsi="Times New Roman" w:eastAsia="Times New Roman" w:cs="Times New Roman"/>
        </w:rPr>
        <w:t xml:space="preserve">, a ratio of</w:t>
      </w:r>
      <w:r>
        <w:rPr>
          <w:rFonts w:ascii="Times New Roman" w:hAnsi="Times New Roman" w:eastAsia="Times New Roman" w:cs="Times New Roman"/>
        </w:rPr>
        <w:t xml:space="preserve"> </w:t>
      </w:r>
      <m:oMath>
        <m:r>
          <m:t>1</m:t>
        </m:r>
        <m:r>
          <m:rPr>
            <m:sty m:val="p"/>
          </m:rPr>
          <m:t>−</m:t>
        </m:r>
        <m:r>
          <m:t>a</m:t>
        </m:r>
        <m:r>
          <m:rPr>
            <m:sty m:val="p"/>
          </m:rPr>
          <m:t>+</m:t>
        </m:r>
        <m:r>
          <m:t>ρ</m:t>
        </m:r>
      </m:oMath>
      <w:r>
        <w:rPr>
          <w:rFonts w:ascii="Times New Roman" w:hAnsi="Times New Roman" w:eastAsia="Times New Roman" w:cs="Times New Roman"/>
        </w:rPr>
        <w:t xml:space="preserve">, while cost per unit falls by the ratio</w:t>
      </w:r>
      <w:r>
        <w:rPr>
          <w:rFonts w:ascii="Times New Roman" w:hAnsi="Times New Roman" w:eastAsia="Times New Roman" w:cs="Times New Roman"/>
        </w:rPr>
        <w:t xml:space="preserve"> </w:t>
      </w:r>
      <m:oMath>
        <m:r>
          <m:t>κ</m:t>
        </m:r>
        <m:r>
          <m:rPr>
            <m:sty m:val="p"/>
          </m:rPr>
          <m:t>=</m:t>
        </m:r>
        <m:r>
          <m:t>γ</m:t>
        </m:r>
        <m:r>
          <m:rPr>
            <m:sty m:val="p"/>
          </m:rPr>
          <m:t>+</m:t>
        </m:r>
        <m:r>
          <m:t>ρ</m:t>
        </m:r>
        <m:r>
          <m:rPr>
            <m:sty m:val="p"/>
          </m:rPr>
          <m:t>+</m:t>
        </m:r>
        <m:r>
          <m:t>1</m:t>
        </m:r>
        <m:r>
          <m:rPr>
            <m:sty m:val="p"/>
          </m:rPr>
          <m:t>−</m:t>
        </m:r>
        <m:r>
          <m:t>a</m:t>
        </m:r>
      </m:oMath>
      <w:r>
        <w:rPr>
          <w:rFonts w:ascii="Times New Roman" w:hAnsi="Times New Roman" w:eastAsia="Times New Roman" w:cs="Times New Roman"/>
        </w:rPr>
        <w:t xml:space="preserve">.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one exactly when</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 Review labor is paid the same wage as production labor; relaxing this changes</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not the argument.</w:t>
      </w:r>
    </w:p>
    <w:p>
      <w:pPr>
        <w:pStyle w:val="BodyText"/>
        <w:spacing w:line="480" w:lineRule="auto" w:after="0" w:before="0"/>
        <w:ind w:firstLine="720"/>
        <w:jc w:val="left"/>
      </w:pPr>
      <w:r>
        <w:rPr>
          <w:bCs/>
          <w:rFonts w:ascii="Times New Roman" w:hAnsi="Times New Roman" w:eastAsia="Times New Roman" w:cs="Times New Roman"/>
          <w:b/>
        </w:rPr>
        <w:t xml:space="preserve">Proposition 1 (review floor).</w:t>
      </w:r>
      <w:r>
        <w:rPr>
          <w:rFonts w:ascii="Times New Roman" w:hAnsi="Times New Roman" w:eastAsia="Times New Roman" w:cs="Times New Roman"/>
        </w:rPr>
        <w:t xml:space="preserve"> </w:t>
      </w:r>
      <w:r>
        <w:rPr>
          <w:iCs/>
          <w:rFonts w:ascii="Times New Roman" w:hAnsi="Times New Roman" w:eastAsia="Times New Roman" w:cs="Times New Roman"/>
          <w:i/>
        </w:rPr>
        <w:t xml:space="preserve">Labor per unit of output at an assimilating firm cannot fall below the review share</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however high the acceptance rate</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If review hours do not fall with model quality, improvements in the generator reduce labor per unit only down to this floor, and when</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large relative to</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the labor saved is small even though the task has been assimilated.</w:t>
      </w:r>
    </w:p>
    <w:p>
      <w:pPr>
        <w:pStyle w:val="BodyText"/>
        <w:spacing w:line="480" w:lineRule="auto" w:after="0" w:before="0"/>
        <w:ind w:firstLine="720"/>
        <w:jc w:val="left"/>
      </w:pPr>
      <w:r>
        <w:rPr>
          <w:rFonts w:ascii="Times New Roman" w:hAnsi="Times New Roman" w:eastAsia="Times New Roman" w:cs="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depends on the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through review cost, the same complements that govern assimilation also govern how much labor assimilation can save. The condition that review hours do not fall with model quality is an assumption, not a result. It is plausible where review means judging brand fit, legal exposure, or factual accuracy, and less so where a better model simply produces fewer visible defects; we return to it in Section 10.4.</w:t>
      </w:r>
    </w:p>
    <w:bookmarkEnd w:id="29"/>
    <w:bookmarkStart w:id="30" w:name="displacement-reinstatement-and-scale"/>
    <w:p>
      <w:pPr>
        <w:pStyle w:val="Heading3"/>
      </w:pPr>
      <w:r>
        <w:rPr>
          <w:rFonts w:ascii="Times New Roman" w:hAnsi="Times New Roman" w:eastAsia="Times New Roman" w:cs="Times New Roman"/>
        </w:rPr>
        <w:t xml:space="preserve">3.5 Displacement, Reinstatement, and Scale</w:t>
      </w:r>
    </w:p>
    <w:p>
      <w:pPr>
        <w:pStyle w:val="FirstParagraph"/>
        <w:spacing w:line="480" w:lineRule="auto" w:after="0" w:before="0"/>
        <w:ind w:firstLine="720"/>
        <w:jc w:val="left"/>
      </w:pPr>
      <w:r>
        <w:rPr>
          <w:rFonts w:ascii="Times New Roman" w:hAnsi="Times New Roman" w:eastAsia="Times New Roman" w:cs="Times New Roman"/>
        </w:rPr>
        <w:t xml:space="preserve">Equation (2) leaves</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unspecified. Let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price elasticity of demand for the occupation’s visual output, so that output rises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when cost per unit falls by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The net effect on demand for the occupation’s work at an assimilating employer is</w:t>
      </w:r>
    </w:p>
    <w:p>
      <w:pPr>
        <w:pStyle w:val="BodyText"/>
        <w:spacing w:line="480" w:lineRule="auto" w:after="0" w:before="0"/>
        <w:ind w:firstLine="720"/>
        <w:jc w:val="left"/>
      </w:pPr>
      <m:oMathPara>
        <m:oMathParaPr>
          <m:jc m:val="center"/>
        </m:oMathParaPr>
        <m:oMath>
          <m:r>
            <m:t>β</m:t>
          </m:r>
          <m:r>
            <m:rPr>
              <m:sty m:val="p"/>
            </m:rPr>
            <m:t>=</m:t>
          </m:r>
          <m:r>
            <m:rPr>
              <m:sty m:val="p"/>
            </m:rPr>
            <m:t>ln</m:t>
          </m:r>
          <m:d>
            <m:dPr>
              <m:begChr m:val="("/>
              <m:endChr m:val=")"/>
              <m:sepChr m:val=""/>
              <m:grow/>
            </m:dPr>
            <m:e>
              <m:r>
                <m:t>1</m:t>
              </m:r>
              <m:r>
                <m:rPr>
                  <m:sty m:val="p"/>
                </m:rPr>
                <m:t>−</m:t>
              </m:r>
              <m:r>
                <m:t>a</m:t>
              </m:r>
              <m:r>
                <m:rPr>
                  <m:sty m:val="p"/>
                </m:rPr>
                <m:t>+</m:t>
              </m:r>
              <m:r>
                <m:t>ρ</m:t>
              </m:r>
            </m:e>
          </m:d>
          <m:r>
            <m:rPr>
              <m:sty m:val="p"/>
            </m:rPr>
            <m:t>−</m:t>
          </m:r>
          <m:r>
            <m:t>ε</m:t>
          </m:r>
          <m:r>
            <m:rPr>
              <m:sty m:val="p"/>
            </m:rPr>
            <m:t>ln</m:t>
          </m:r>
          <m:r>
            <m:t>κ</m:t>
          </m:r>
          <m:r>
            <m:rPr>
              <m:sty m:val="p"/>
            </m:rPr>
            <m:t>.</m:t>
          </m:r>
          <m:r>
            <m:t>  </m:t>
          </m:r>
          <m:d>
            <m:dPr>
              <m:begChr m:val="("/>
              <m:endChr m:val=")"/>
              <m:sepChr m:val=""/>
              <m:grow/>
            </m:dPr>
            <m:e>
              <m:r>
                <m:t>3</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first term combines displacement, because the generator takes over a share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of human production, with reinstatement, because review and direction create labor</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used below are therefore reduced-form: each bundles</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For example, with</w:t>
      </w:r>
      <w:r>
        <w:rPr>
          <w:rFonts w:ascii="Times New Roman" w:hAnsi="Times New Roman" w:eastAsia="Times New Roman" w:cs="Times New Roman"/>
        </w:rPr>
        <w:t xml:space="preserve"> </w:t>
      </w:r>
      <m:oMath>
        <m:r>
          <m:t>a</m:t>
        </m:r>
        <m:r>
          <m:rPr>
            <m:sty m:val="p"/>
          </m:rPr>
          <m:t>=</m:t>
        </m:r>
        <m:r>
          <m:t>0.8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r>
          <m:rPr>
            <m:sty m:val="p"/>
          </m:rPr>
          <m:t>=</m:t>
        </m:r>
        <m:r>
          <m:t>0.3</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γ</m:t>
        </m:r>
        <m:r>
          <m:rPr>
            <m:sty m:val="p"/>
          </m:rPr>
          <m:t>=</m:t>
        </m:r>
        <m:r>
          <m:t>0.05</m:t>
        </m:r>
      </m:oMath>
      <w:r>
        <w:rPr>
          <w:rFonts w:ascii="Times New Roman" w:hAnsi="Times New Roman" w:eastAsia="Times New Roman" w:cs="Times New Roman"/>
        </w:rPr>
        <w:t xml:space="preserve">, labor per unit falls to one half and cost per unit to 0.55 of its earlier level, and</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0.5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0.02</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1.2</m:t>
        </m:r>
      </m:oMath>
      <w:r>
        <w:rPr>
          <w:rFonts w:ascii="Times New Roman" w:hAnsi="Times New Roman" w:eastAsia="Times New Roman" w:cs="Times New Roman"/>
        </w:rPr>
        <w:t xml:space="preserve">.</w:t>
      </w:r>
    </w:p>
    <w:p>
      <w:pPr>
        <w:pStyle w:val="BodyText"/>
        <w:spacing w:line="480" w:lineRule="auto" w:after="0" w:before="0"/>
        <w:ind w:firstLine="720"/>
        <w:jc w:val="left"/>
      </w:pPr>
      <w:r>
        <w:rPr>
          <w:bCs/>
          <w:rFonts w:ascii="Times New Roman" w:hAnsi="Times New Roman" w:eastAsia="Times New Roman" w:cs="Times New Roman"/>
          <w:b/>
        </w:rPr>
        <w:t xml:space="preserve">Proposition 2 (scale offset).</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net effect</w:t>
      </w:r>
      <w:r>
        <w:rPr>
          <w:iCs/>
          <w:rFonts w:ascii="Times New Roman" w:hAnsi="Times New Roman" w:eastAsia="Times New Roman" w:cs="Times New Roman"/>
          <w:i/>
        </w:rPr>
        <w:t xml:space="preserve"> </w:t>
      </w:r>
      <m:oMath>
        <m:r>
          <m:t>β</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negative if and only if</w:t>
      </w:r>
      <w:r>
        <w:rPr>
          <w:iCs/>
          <w:rFonts w:ascii="Times New Roman" w:hAnsi="Times New Roman" w:eastAsia="Times New Roman" w:cs="Times New Roman"/>
          <w:i/>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iCs/>
          <w:rFonts w:ascii="Times New Roman" w:hAnsi="Times New Roman" w:eastAsia="Times New Roman" w:cs="Times New Roman"/>
          <w:i/>
        </w:rPr>
        <w:t xml:space="preserve">, and</w:t>
      </w:r>
      <w:r>
        <w:rPr>
          <w:iCs/>
          <w:rFonts w:ascii="Times New Roman" w:hAnsi="Times New Roman" w:eastAsia="Times New Roman" w:cs="Times New Roman"/>
          <w:i/>
        </w:rPr>
        <w:t xml:space="preserve"> </w:t>
      </w:r>
      <m:oMath>
        <m:sSup>
          <m:e>
            <m:r>
              <m:t>ε</m:t>
            </m:r>
          </m:e>
          <m:sup>
            <m:r>
              <m:rPr>
                <m:sty m:val="p"/>
              </m:rPr>
              <m:t>*</m:t>
            </m:r>
          </m:sup>
        </m:sSup>
        <m:r>
          <m:rPr>
            <m:sty m:val="p"/>
          </m:rPr>
          <m:t>&gt;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whenever</w:t>
      </w:r>
      <w:r>
        <w:rPr>
          <w:iCs/>
          <w:rFonts w:ascii="Times New Roman" w:hAnsi="Times New Roman" w:eastAsia="Times New Roman" w:cs="Times New Roman"/>
          <w:i/>
        </w:rPr>
        <w:t xml:space="preserve"> </w:t>
      </w:r>
      <m:oMath>
        <m:r>
          <m:t>γ</m:t>
        </m:r>
        <m:r>
          <m:rPr>
            <m:sty m:val="p"/>
          </m:rPr>
          <m:t>&gt;</m:t>
        </m:r>
        <m:r>
          <m:t>0</m:t>
        </m:r>
      </m:oMath>
      <w:r>
        <w:rPr>
          <w:iCs/>
          <w:rFonts w:ascii="Times New Roman" w:hAnsi="Times New Roman" w:eastAsia="Times New Roman" w:cs="Times New Roman"/>
          <w:i/>
        </w:rPr>
        <w:t xml:space="preserve">. As generation cost falls toward zero,</w:t>
      </w:r>
      <w:r>
        <w:rPr>
          <w:iCs/>
          <w:rFonts w:ascii="Times New Roman" w:hAnsi="Times New Roman" w:eastAsia="Times New Roman" w:cs="Times New Roman"/>
          <w:i/>
        </w:rPr>
        <w:t xml:space="preserve"> </w:t>
      </w:r>
      <m:oMath>
        <m:sSup>
          <m:e>
            <m:r>
              <m:t>ε</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approaches one: complete assimilation reduces demand for the occupation if demand for visual output is inelastic and can raise it only if demand is elastic.</w:t>
      </w:r>
    </w:p>
    <w:bookmarkEnd w:id="30"/>
    <w:bookmarkStart w:id="31" w:name="adjustment-through-attrition"/>
    <w:p>
      <w:pPr>
        <w:pStyle w:val="Heading3"/>
      </w:pPr>
      <w:r>
        <w:rPr>
          <w:rFonts w:ascii="Times New Roman" w:hAnsi="Times New Roman" w:eastAsia="Times New Roman" w:cs="Times New Roman"/>
        </w:rPr>
        <w:t xml:space="preserve">3.6 Adjustment Through Attrition</w:t>
      </w:r>
    </w:p>
    <w:p>
      <w:pPr>
        <w:pStyle w:val="FirstParagraph"/>
        <w:spacing w:line="480" w:lineRule="auto" w:after="0" w:before="0"/>
        <w:ind w:firstLine="720"/>
        <w:jc w:val="left"/>
      </w:pPr>
      <w:r>
        <w:rPr>
          <w:rFonts w:ascii="Times New Roman" w:hAnsi="Times New Roman" w:eastAsia="Times New Roman" w:cs="Times New Roman"/>
        </w:rPr>
        <w:t xml:space="preserve">Job adverts measure hiring, and hiring is how most employers reduce a workforce without layoffs. Let</w:t>
      </w:r>
      <w:r>
        <w:rPr>
          <w:rFonts w:ascii="Times New Roman" w:hAnsi="Times New Roman" w:eastAsia="Times New Roman" w:cs="Times New Roman"/>
        </w:rPr>
        <w:t xml:space="preserve"> </w:t>
      </w:r>
      <m:oMath>
        <m:r>
          <m:t>L</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be an employer’s employment in the occupation,</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separation rate, and</w:t>
      </w:r>
      <w:r>
        <w:rPr>
          <w:rFonts w:ascii="Times New Roman" w:hAnsi="Times New Roman" w:eastAsia="Times New Roman" w:cs="Times New Roman"/>
        </w:rPr>
        <w:t xml:space="preserve"> </w:t>
      </w:r>
      <m:oMath>
        <m:r>
          <m:t>H</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hires, so that</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d>
          <m:dPr>
            <m:begChr m:val="("/>
            <m:endChr m:val=")"/>
            <m:sepChr m:val=""/>
            <m:grow/>
          </m:dPr>
          <m:e>
            <m:r>
              <m:t>1</m:t>
            </m:r>
            <m:r>
              <m:rPr>
                <m:sty m:val="p"/>
              </m:rPr>
              <m:t>−</m:t>
            </m:r>
            <m:r>
              <m:t>δ</m:t>
            </m:r>
          </m:e>
        </m:d>
        <m:r>
          <m:t>L</m:t>
        </m:r>
        <m:d>
          <m:dPr>
            <m:begChr m:val="("/>
            <m:endChr m:val=")"/>
            <m:sepChr m:val=""/>
            <m:grow/>
          </m:dPr>
          <m:e>
            <m:r>
              <m:t>t</m:t>
            </m:r>
          </m:e>
        </m:d>
        <m:r>
          <m:rPr>
            <m:sty m:val="p"/>
          </m:rPr>
          <m:t>+</m:t>
        </m:r>
        <m:r>
          <m:t>H</m:t>
        </m:r>
        <m:d>
          <m:dPr>
            <m:begChr m:val="("/>
            <m:endChr m:val=")"/>
            <m:sepChr m:val=""/>
            <m:grow/>
          </m:dPr>
          <m:e>
            <m:r>
              <m:t>t</m:t>
            </m:r>
          </m:e>
        </m:d>
      </m:oMath>
      <w:r>
        <w:rPr>
          <w:rFonts w:ascii="Times New Roman" w:hAnsi="Times New Roman" w:eastAsia="Times New Roman" w:cs="Times New Roman"/>
        </w:rPr>
        <w:t xml:space="preserve">. Suppose assimilation lowers target employment to</w:t>
      </w:r>
      <w:r>
        <w:rPr>
          <w:rFonts w:ascii="Times New Roman" w:hAnsi="Times New Roman" w:eastAsia="Times New Roman" w:cs="Times New Roman"/>
        </w:rPr>
        <w:t xml:space="preserve"> </w:t>
      </w:r>
      <m:oMath>
        <m:sSup>
          <m:e>
            <m:r>
              <m:t>L</m:t>
            </m:r>
          </m:e>
          <m:sup>
            <m:r>
              <m:rPr>
                <m:sty m:val="p"/>
              </m:rPr>
              <m:t>*</m:t>
            </m:r>
          </m:sup>
        </m:sSup>
        <m:r>
          <m:rPr>
            <m:sty m:val="p"/>
          </m:rPr>
          <m:t>=</m:t>
        </m:r>
        <m:d>
          <m:dPr>
            <m:begChr m:val="("/>
            <m:endChr m:val=")"/>
            <m:sepChr m:val=""/>
            <m:grow/>
          </m:dPr>
          <m:e>
            <m:r>
              <m:t>1</m:t>
            </m:r>
            <m:r>
              <m:rPr>
                <m:sty m:val="p"/>
              </m:rPr>
              <m:t>−</m:t>
            </m:r>
            <m:r>
              <m:t>f</m:t>
            </m:r>
          </m:e>
        </m:d>
        <m:sSub>
          <m:e>
            <m:r>
              <m:t>L</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employer closes a fraction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of the remaining gap each period by adjusting hiring:</w:t>
      </w:r>
    </w:p>
    <w:p>
      <w:pPr>
        <w:pStyle w:val="BodyText"/>
        <w:spacing w:line="480" w:lineRule="auto" w:after="0" w:before="0"/>
        <w:ind w:firstLine="720"/>
        <w:jc w:val="left"/>
      </w:pPr>
      <m:oMathPara>
        <m:oMathParaPr>
          <m:jc m:val="center"/>
        </m:oMathParaPr>
        <m:oMath>
          <m:r>
            <m:t>H</m:t>
          </m:r>
          <m:d>
            <m:dPr>
              <m:begChr m:val="("/>
              <m:endChr m:val=")"/>
              <m:sepChr m:val=""/>
              <m:grow/>
            </m:dPr>
            <m:e>
              <m:r>
                <m:t>t</m:t>
              </m:r>
            </m:e>
          </m:d>
          <m:r>
            <m:rPr>
              <m:sty m:val="p"/>
            </m:rPr>
            <m:t>=</m:t>
          </m:r>
          <m:r>
            <m:t>δ</m:t>
          </m:r>
          <m:r>
            <m:t>L</m:t>
          </m:r>
          <m:d>
            <m:dPr>
              <m:begChr m:val="("/>
              <m:endChr m:val=")"/>
              <m:sepChr m:val=""/>
              <m:grow/>
            </m:dPr>
            <m:e>
              <m:r>
                <m:t>t</m:t>
              </m:r>
            </m:e>
          </m:d>
          <m:r>
            <m:rPr>
              <m:sty m:val="p"/>
            </m:rPr>
            <m:t>+</m:t>
          </m:r>
          <m:r>
            <m:t>λ</m:t>
          </m:r>
          <m:r>
            <m:t> </m:t>
          </m:r>
          <m:d>
            <m:dPr>
              <m:begChr m:val="("/>
              <m:endChr m:val=")"/>
              <m:sepChr m:val=""/>
              <m:grow/>
            </m:dPr>
            <m:e>
              <m:sSup>
                <m:e>
                  <m:r>
                    <m:t>L</m:t>
                  </m:r>
                </m:e>
                <m:sup>
                  <m:r>
                    <m:rPr>
                      <m:sty m:val="p"/>
                    </m:rPr>
                    <m:t>*</m:t>
                  </m:r>
                </m:sup>
              </m:sSup>
              <m:r>
                <m:rPr>
                  <m:sty m:val="p"/>
                </m:rPr>
                <m:t>−</m:t>
              </m:r>
              <m:r>
                <m:t>L</m:t>
              </m:r>
              <m:d>
                <m:dPr>
                  <m:begChr m:val="("/>
                  <m:endChr m:val=")"/>
                  <m:sepChr m:val=""/>
                  <m:grow/>
                </m:dPr>
                <m:e>
                  <m:r>
                    <m:t>t</m:t>
                  </m:r>
                </m:e>
              </m:d>
            </m:e>
          </m:d>
          <m:r>
            <m:rPr>
              <m:sty m:val="p"/>
            </m:rPr>
            <m:t>.</m:t>
          </m:r>
          <m:r>
            <m:t>  </m:t>
          </m:r>
          <m:d>
            <m:dPr>
              <m:begChr m:val="("/>
              <m:endChr m:val=")"/>
              <m:sepChr m:val=""/>
              <m:grow/>
            </m:dPr>
            <m:e>
              <m:r>
                <m:t>4</m:t>
              </m:r>
            </m:e>
          </m:d>
        </m:oMath>
      </m:oMathPara>
    </w:p>
    <w:p>
      <w:pPr>
        <w:pStyle w:val="FirstParagraph"/>
        <w:spacing w:line="480" w:lineRule="auto" w:after="0" w:before="0"/>
        <w:ind w:firstLine="720"/>
        <w:jc w:val="left"/>
      </w:pPr>
      <w:r>
        <w:rPr>
          <w:bCs/>
          <w:rFonts w:ascii="Times New Roman" w:hAnsi="Times New Roman" w:eastAsia="Times New Roman" w:cs="Times New Roman"/>
          <w:b/>
        </w:rPr>
        <w:t xml:space="preserve">Proposition 3 (attrition lag).</w:t>
      </w:r>
      <w:r>
        <w:rPr>
          <w:rFonts w:ascii="Times New Roman" w:hAnsi="Times New Roman" w:eastAsia="Times New Roman" w:cs="Times New Roman"/>
        </w:rPr>
        <w:t xml:space="preserve"> </w:t>
      </w:r>
      <w:r>
        <w:rPr>
          <w:iCs/>
          <w:rFonts w:ascii="Times New Roman" w:hAnsi="Times New Roman" w:eastAsia="Times New Roman" w:cs="Times New Roman"/>
          <w:i/>
        </w:rPr>
        <w:t xml:space="preserve">Under equation (4), (i) hiring in the first period falls by the fraction</w:t>
      </w:r>
      <w:r>
        <w:rPr>
          <w:iCs/>
          <w:rFonts w:ascii="Times New Roman" w:hAnsi="Times New Roman" w:eastAsia="Times New Roman" w:cs="Times New Roman"/>
          <w:i/>
        </w:rPr>
        <w:t xml:space="preserve"> </w:t>
      </w:r>
      <m:oMath>
        <m:d>
          <m:dPr>
            <m:begChr m:val="("/>
            <m:endChr m:val=")"/>
            <m:sepChr m:val=""/>
            <m:grow/>
          </m:dPr>
          <m:e>
            <m:r>
              <m:t>λ</m:t>
            </m:r>
            <m:r>
              <m:rPr>
                <m:sty m:val="p"/>
              </m:rPr>
              <m:t>/</m:t>
            </m:r>
            <m:r>
              <m:t>δ</m:t>
            </m:r>
          </m:e>
        </m:d>
        <m:r>
          <m:t>f</m:t>
        </m:r>
        <m:r>
          <m:rPr>
            <m:sty m:val="p"/>
          </m:rPr>
          <m:t>≤</m:t>
        </m:r>
        <m:r>
          <m:t>f</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converges to a fall of</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so the decline in adverts never exceeds the decline in target employment, and equation (5) below, which gives the coefficient implied by</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is an upper bound for adverts as well as for employment; (ii) employment closes only a fraction</w:t>
      </w:r>
      <w:r>
        <w:rPr>
          <w:iCs/>
          <w:rFonts w:ascii="Times New Roman" w:hAnsi="Times New Roman" w:eastAsia="Times New Roman" w:cs="Times New Roman"/>
          <w:i/>
        </w:rPr>
        <w:t xml:space="preserve"> </w:t>
      </w:r>
      <m:oMath>
        <m:r>
          <m:t>1</m:t>
        </m:r>
        <m:r>
          <m:rPr>
            <m:sty m:val="p"/>
          </m:rPr>
          <m:t>−</m:t>
        </m:r>
        <m:sSup>
          <m:e>
            <m:d>
              <m:dPr>
                <m:begChr m:val="("/>
                <m:endChr m:val=")"/>
                <m:sepChr m:val=""/>
                <m:grow/>
              </m:dPr>
              <m:e>
                <m:r>
                  <m:t>1</m:t>
                </m:r>
                <m:r>
                  <m:rPr>
                    <m:sty m:val="p"/>
                  </m:rPr>
                  <m:t>−</m:t>
                </m:r>
                <m:r>
                  <m:t>λ</m:t>
                </m:r>
              </m:e>
            </m:d>
          </m:e>
          <m:sup>
            <m:r>
              <m:t>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of the gap after</w:t>
      </w:r>
      <w:r>
        <w:rPr>
          <w:iCs/>
          <w:rFonts w:ascii="Times New Roman" w:hAnsi="Times New Roman" w:eastAsia="Times New Roman" w:cs="Times New Roman"/>
          <w:i/>
        </w:rPr>
        <w:t xml:space="preserve"> </w:t>
      </w:r>
      <m:oMath>
        <m:r>
          <m:t>T</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periods. With</w:t>
      </w:r>
      <w:r>
        <w:rPr>
          <w:iCs/>
          <w:rFonts w:ascii="Times New Roman" w:hAnsi="Times New Roman" w:eastAsia="Times New Roman" w:cs="Times New Roman"/>
          <w:i/>
        </w:rPr>
        <w:t xml:space="preserve"> </w:t>
      </w:r>
      <m:oMath>
        <m:r>
          <m:t>λ</m:t>
        </m:r>
        <m:r>
          <m:rPr>
            <m:sty m:val="p"/>
          </m:rPr>
          <m:t>=</m:t>
        </m:r>
        <m:r>
          <m:t>0.10</m:t>
        </m:r>
      </m:oMath>
      <w:r>
        <w:rPr>
          <w:iCs/>
          <w:rFonts w:ascii="Times New Roman" w:hAnsi="Times New Roman" w:eastAsia="Times New Roman" w:cs="Times New Roman"/>
          <w:i/>
        </w:rPr>
        <w:t xml:space="preserve">, for example, 19 percent of the gap is closed after two years and 41 percent after five.</w:t>
      </w:r>
    </w:p>
    <w:p>
      <w:pPr>
        <w:pStyle w:val="BodyText"/>
        <w:spacing w:line="480" w:lineRule="auto" w:after="0" w:before="0"/>
        <w:ind w:firstLine="720"/>
        <w:jc w:val="left"/>
      </w:pPr>
      <w:r>
        <w:rPr>
          <w:rFonts w:ascii="Times New Roman" w:hAnsi="Times New Roman" w:eastAsia="Times New Roman" w:cs="Times New Roman"/>
        </w:rPr>
        <w:t xml:space="preserve">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bookmarkEnd w:id="31"/>
    <w:bookmarkStart w:id="32" w:name="competing-accounts"/>
    <w:p>
      <w:pPr>
        <w:pStyle w:val="Heading3"/>
      </w:pPr>
      <w:r>
        <w:rPr>
          <w:rFonts w:ascii="Times New Roman" w:hAnsi="Times New Roman" w:eastAsia="Times New Roman" w:cs="Times New Roman"/>
        </w:rPr>
        <w:t xml:space="preserve">3.7 Competing Accounts</w:t>
      </w:r>
    </w:p>
    <w:p>
      <w:pPr>
        <w:pStyle w:val="FirstParagraph"/>
        <w:spacing w:line="240" w:lineRule="auto" w:after="120" w:before="0"/>
        <w:ind w:firstLine="0"/>
        <w:jc w:val="left"/>
      </w:pPr>
      <w:r>
        <w:rPr>
          <w:rFonts w:ascii="Times New Roman" w:hAnsi="Times New Roman" w:eastAsia="Times New Roman" w:cs="Times New Roman"/>
        </w:rPr>
        <w:t xml:space="preserve">Table 1 sets out four accounts and what each predicts for four observables. Only the first three columns are observed in this paper. The fourth, the firm-level link between use and hiring, is what discriminates among the last three accounts.</w:t>
      </w:r>
    </w:p>
    <w:p>
      <w:pPr>
        <w:pStyle w:val="BodyText"/>
        <w:spacing w:line="240" w:lineRule="auto" w:after="120" w:before="0"/>
        <w:ind w:firstLine="0"/>
        <w:jc w:val="left"/>
      </w:pPr>
      <w:r>
        <w:rPr>
          <w:bCs/>
          <w:rFonts w:ascii="Times New Roman" w:hAnsi="Times New Roman" w:eastAsia="Times New Roman" w:cs="Times New Roman"/>
          <w:b/>
        </w:rPr>
        <w:t xml:space="preserve">Table 1. Competing accounts and their observable implications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Account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w:t>
            </w:r>
            <m:oMath>
              <m:sSup>
                <m:e>
                  <m:r>
                    <m:t>A</m:t>
                  </m:r>
                </m:e>
                <m:sup>
                  <m:r>
                    <m:t>u</m:t>
                  </m:r>
                </m:sup>
              </m:sSup>
            </m:oMath>
            <w:r>
              <w:rPr>
                <w:rFonts w:ascii="Times New Roman" w:hAnsi="Times New Roman"/>
                <w:b/>
                <w:sz w:val="19"/>
              </w:rPr>
              <w:t xml:space="preser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Barriers cited by non-adopters</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Occupation-level hiring</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Firm-level link (not observed here)</w:t>
            </w:r>
          </w:p>
        </w:tc>
      </w:tr>
      <w:tr>
        <w:tc>
          <w:tcPr/>
          <w:p>
            <w:pPr>
              <w:pStyle w:val="Compact"/>
              <w:spacing w:line="240" w:lineRule="auto" w:after="40"/>
              <w:ind w:firstLine="0"/>
              <w:jc w:val="left"/>
            </w:pPr>
            <w:r>
              <w:rPr>
                <w:rFonts w:ascii="Times New Roman" w:hAnsi="Times New Roman"/>
                <w:sz w:val="19"/>
              </w:rPr>
              <w:t xml:space="preserve">Capability failure</w:t>
            </w:r>
          </w:p>
        </w:tc>
        <w:tc>
          <w:tcPr/>
          <w:p>
            <w:pPr>
              <w:pStyle w:val="Compact"/>
              <w:spacing w:line="240" w:lineRule="auto" w:after="40"/>
              <w:ind w:firstLine="0"/>
              <w:jc w:val="left"/>
            </w:pPr>
            <w:r>
              <w:rPr>
                <w:rFonts w:ascii="Times New Roman" w:hAnsi="Times New Roman"/>
                <w:sz w:val="19"/>
              </w:rPr>
              <w:t xml:space="preserve">Low</w:t>
            </w:r>
          </w:p>
        </w:tc>
        <w:tc>
          <w:tcPr/>
          <w:p>
            <w:pPr>
              <w:pStyle w:val="Compact"/>
              <w:spacing w:line="240" w:lineRule="auto" w:after="40"/>
              <w:ind w:firstLine="0"/>
              <w:jc w:val="left"/>
            </w:pPr>
            <w:r>
              <w:rPr>
                <w:rFonts w:ascii="Times New Roman" w:hAnsi="Times New Roman"/>
                <w:sz w:val="19"/>
              </w:rPr>
              <w:t xml:space="preserve">“</w:t>
            </w:r>
            <w:r>
              <w:rPr>
                <w:rFonts w:ascii="Times New Roman" w:hAnsi="Times New Roman"/>
                <w:sz w:val="19"/>
              </w:rPr>
              <w:t xml:space="preserve">Not useful</w:t>
            </w:r>
            <w:r>
              <w:rPr>
                <w:rFonts w:ascii="Times New Roman" w:hAnsi="Times New Roman"/>
                <w:sz w:val="19"/>
              </w:rPr>
              <w:t xml:space="preserve">”</w:t>
            </w:r>
            <w:r>
              <w:rPr>
                <w:rFonts w:ascii="Times New Roman" w:hAnsi="Times New Roman"/>
                <w:sz w:val="19"/>
              </w:rPr>
              <w:t xml:space="preserve"> </w:t>
            </w:r>
            <w:r>
              <w:rPr>
                <w:rFonts w:ascii="Times New Roman" w:hAnsi="Times New Roman"/>
                <w:sz w:val="19"/>
              </w:rPr>
              <w:t xml:space="preserve">dominant</w:t>
            </w:r>
          </w:p>
        </w:tc>
        <w:tc>
          <w:tcPr/>
          <w:p>
            <w:pPr>
              <w:pStyle w:val="Compact"/>
              <w:spacing w:line="240" w:lineRule="auto" w:after="40"/>
              <w:ind w:firstLine="0"/>
              <w:jc w:val="left"/>
            </w:pPr>
            <w:r>
              <w:rPr>
                <w:rFonts w:ascii="Times New Roman" w:hAnsi="Times New Roman"/>
                <w:sz w:val="19"/>
              </w:rPr>
              <w:t xml:space="preserve">No change</w:t>
            </w:r>
          </w:p>
        </w:tc>
        <w:tc>
          <w:tcPr/>
          <w:p>
            <w:pPr>
              <w:pStyle w:val="Compact"/>
              <w:spacing w:line="240" w:lineRule="auto" w:after="40"/>
              <w:ind w:firstLine="0"/>
              <w:jc w:val="left"/>
            </w:pPr>
            <w:r>
              <w:rPr>
                <w:rFonts w:ascii="Times New Roman" w:hAnsi="Times New Roman"/>
                <w:sz w:val="19"/>
              </w:rPr>
              <w:t xml:space="preserve">Users do not reassign tasks</w:t>
            </w:r>
          </w:p>
        </w:tc>
      </w:tr>
      <w:tr>
        <w:tc>
          <w:tcPr/>
          <w:p>
            <w:pPr>
              <w:pStyle w:val="Compact"/>
              <w:spacing w:line="240" w:lineRule="auto" w:after="40"/>
              <w:ind w:firstLine="0"/>
              <w:jc w:val="left"/>
            </w:pPr>
            <w:r>
              <w:rPr>
                <w:rFonts w:ascii="Times New Roman" w:hAnsi="Times New Roman"/>
                <w:sz w:val="19"/>
              </w:rPr>
              <w:t xml:space="preserve">Complete assimilation, net substitution</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w:t>
            </w:r>
            <w:r>
              <w:rPr>
                <w:rFonts w:ascii="Times New Roman" w:hAnsi="Times New Roman"/>
                <w:sz w:val="19"/>
              </w:rPr>
              <w:t xml:space="preserve"> </w:t>
            </w:r>
            <m:oMath>
              <m:r>
                <m:t>β</m:t>
              </m:r>
              <m:r>
                <m:rPr>
                  <m:sty m:val="p"/>
                </m:rPr>
                <m:t>&lt;</m:t>
              </m:r>
              <m:r>
                <m:t>0</m:t>
              </m:r>
            </m:oMath>
          </w:p>
        </w:tc>
        <w:tc>
          <w:tcPr/>
          <w:p>
            <w:pPr>
              <w:pStyle w:val="Compact"/>
              <w:spacing w:line="240" w:lineRule="auto" w:after="40"/>
              <w:ind w:firstLine="0"/>
              <w:jc w:val="left"/>
            </w:pPr>
            <w:r>
              <w:rPr>
                <w:rFonts w:ascii="Times New Roman" w:hAnsi="Times New Roman"/>
                <w:sz w:val="19"/>
              </w:rPr>
              <w:t xml:space="preserve">Users cut visual hiring relative to non-users</w:t>
            </w:r>
          </w:p>
        </w:tc>
      </w:tr>
      <w:tr>
        <w:tc>
          <w:tcPr/>
          <w:p>
            <w:pPr>
              <w:pStyle w:val="Compact"/>
              <w:spacing w:line="240" w:lineRule="auto" w:after="40"/>
              <w:ind w:firstLine="0"/>
              <w:jc w:val="left"/>
            </w:pPr>
            <w:r>
              <w:rPr>
                <w:rFonts w:ascii="Times New Roman" w:hAnsi="Times New Roman"/>
                <w:sz w:val="19"/>
              </w:rPr>
              <w:t xml:space="preserve">Assimilation, offsetting scale</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0</m:t>
              </m:r>
            </m:oMath>
          </w:p>
        </w:tc>
        <w:tc>
          <w:tcPr/>
          <w:p>
            <w:pPr>
              <w:pStyle w:val="Compact"/>
              <w:spacing w:line="240" w:lineRule="auto" w:after="40"/>
              <w:ind w:firstLine="0"/>
              <w:jc w:val="left"/>
            </w:pPr>
            <w:r>
              <w:rPr>
                <w:rFonts w:ascii="Times New Roman" w:hAnsi="Times New Roman"/>
                <w:sz w:val="19"/>
              </w:rPr>
              <w:t xml:space="preserve">Users reassign tasks; hiring unchanged; postings shift toward direction and review</w:t>
            </w:r>
          </w:p>
        </w:tc>
      </w:tr>
      <w:tr>
        <w:tc>
          <w:tcPr/>
          <w:p>
            <w:pPr>
              <w:pStyle w:val="Compact"/>
              <w:spacing w:line="240" w:lineRule="auto" w:after="40"/>
              <w:ind w:firstLine="0"/>
              <w:jc w:val="left"/>
            </w:pPr>
            <w:r>
              <w:rPr>
                <w:rFonts w:ascii="Times New Roman" w:hAnsi="Times New Roman"/>
                <w:sz w:val="19"/>
              </w:rPr>
              <w:t xml:space="preserve">Assimilation gap</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Complements (expertise, legal, privacy) dominant</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 small</w:t>
            </w:r>
          </w:p>
        </w:tc>
        <w:tc>
          <w:tcPr/>
          <w:p>
            <w:pPr>
              <w:pStyle w:val="Compact"/>
              <w:spacing w:line="240" w:lineRule="auto" w:after="40"/>
              <w:ind w:firstLine="0"/>
              <w:jc w:val="left"/>
            </w:pPr>
            <w:r>
              <w:rPr>
                <w:rFonts w:ascii="Times New Roman" w:hAnsi="Times New Roman"/>
                <w:sz w:val="19"/>
              </w:rPr>
              <w:t xml:space="preserve">Few users reassign tasks; reassignment rises with</w:t>
            </w:r>
            <w:r>
              <w:rPr>
                <w:rFonts w:ascii="Times New Roman" w:hAnsi="Times New Roman"/>
                <w:sz w:val="19"/>
              </w:rPr>
              <w:t xml:space="preserve"> </w:t>
            </w:r>
            <m:oMath>
              <m:r>
                <m:t>K</m:t>
              </m:r>
            </m:oMath>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share of firms reporting 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share that have assimilated the occupation’s visual tasks.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complementary assets. The occupation-level column discriminates among accounts only when</w:t>
      </w:r>
      <w:r>
        <w:rPr>
          <w:rFonts w:ascii="Times New Roman" w:hAnsi="Times New Roman" w:eastAsia="Times New Roman" w:cs="Times New Roman"/>
        </w:rPr>
        <w:t xml:space="preserve"> </w:t>
      </w:r>
      <m:oMath>
        <m:r>
          <m:t>s</m:t>
        </m:r>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minimum detectable effect of the design (Section 4).</w:t>
      </w:r>
    </w:p>
    <w:p>
      <w:pPr>
        <w:pStyle w:val="BodyText"/>
        <w:spacing w:line="480" w:lineRule="auto" w:after="0" w:before="0"/>
        <w:ind w:firstLine="720"/>
        <w:jc w:val="left"/>
      </w:pPr>
      <w:r>
        <w:rPr>
          <w:rFonts w:ascii="Times New Roman" w:hAnsi="Times New Roman" w:eastAsia="Times New Roman" w:cs="Times New Roman"/>
        </w:rPr>
        <w:t xml:space="preserve">From the table we derive two hypotheses that can be examined with current data and one that cannot. Section 3.8 adds the conceptual claims behind H3, and Section 9 proposes the design that would test it.</w:t>
      </w:r>
      <w:r>
        <w:rPr>
          <w:rFonts w:ascii="Times New Roman" w:hAnsi="Times New Roman" w:eastAsia="Times New Roman" w:cs="Times New Roman"/>
        </w:rPr>
        <w:t xml:space="preserve"> </w:t>
      </w:r>
      <w:r>
        <w:rPr>
          <w:bCs/>
          <w:rFonts w:ascii="Times New Roman" w:hAnsi="Times New Roman" w:eastAsia="Times New Roman" w:cs="Times New Roman"/>
          <w:b/>
        </w:rPr>
        <w:t xml:space="preserve">H1 (complements, not capability):</w:t>
      </w:r>
      <w:r>
        <w:rPr>
          <w:rFonts w:ascii="Times New Roman" w:hAnsi="Times New Roman" w:eastAsia="Times New Roman" w:cs="Times New Roman"/>
        </w:rPr>
        <w:t xml:space="preserve"> </w:t>
      </w:r>
      <w:r>
        <w:rPr>
          <w:rFonts w:ascii="Times New Roman" w:hAnsi="Times New Roman" w:eastAsia="Times New Roman" w:cs="Times New Roman"/>
        </w:rPr>
        <w:t xml:space="preserve">among firms that considered AI and did not adopt it, complementary-asset barriers are cited substantially more often than lack of usefulness.</w:t>
      </w:r>
      <w:r>
        <w:rPr>
          <w:rFonts w:ascii="Times New Roman" w:hAnsi="Times New Roman" w:eastAsia="Times New Roman" w:cs="Times New Roman"/>
        </w:rPr>
        <w:t xml:space="preserve"> </w:t>
      </w:r>
      <w:r>
        <w:rPr>
          <w:bCs/>
          <w:rFonts w:ascii="Times New Roman" w:hAnsi="Times New Roman" w:eastAsia="Times New Roman" w:cs="Times New Roman"/>
          <w:b/>
        </w:rPr>
        <w:t xml:space="preserve">H2 (detectability):</w:t>
      </w:r>
      <w:r>
        <w:rPr>
          <w:rFonts w:ascii="Times New Roman" w:hAnsi="Times New Roman" w:eastAsia="Times New Roman" w:cs="Times New Roman"/>
        </w:rPr>
        <w:t xml:space="preserve"> </w:t>
      </w:r>
      <w:r>
        <w:rPr>
          <w:rFonts w:ascii="Times New Roman" w:hAnsi="Times New Roman" w:eastAsia="Times New Roman" w:cs="Times New Roman"/>
        </w:rPr>
        <w:t xml:space="preserve">at current acquisition rates and at platform-sized substitution effects, the occupation-level hiring response implied by complete assimilation lies below the minimum detectable effect of exposure-based designs.</w:t>
      </w:r>
      <w:r>
        <w:rPr>
          <w:rFonts w:ascii="Times New Roman" w:hAnsi="Times New Roman" w:eastAsia="Times New Roman" w:cs="Times New Roman"/>
        </w:rPr>
        <w:t xml:space="preserve"> </w:t>
      </w:r>
      <w:r>
        <w:rPr>
          <w:bCs/>
          <w:rFonts w:ascii="Times New Roman" w:hAnsi="Times New Roman" w:eastAsia="Times New Roman" w:cs="Times New Roman"/>
          <w:b/>
        </w:rPr>
        <w:t xml:space="preserve">H3 (firm-level, a design proposal for future data, not tested here):</w:t>
      </w:r>
      <w:r>
        <w:rPr>
          <w:rFonts w:ascii="Times New Roman" w:hAnsi="Times New Roman" w:eastAsia="Times New Roman" w:cs="Times New Roman"/>
        </w:rPr>
        <w:t xml:space="preserve"> </w:t>
      </w:r>
      <w:r>
        <w:rPr>
          <w:rFonts w:ascii="Times New Roman" w:hAnsi="Times New Roman" w:eastAsia="Times New Roman" w:cs="Times New Roman"/>
        </w:rPr>
        <w:t xml:space="preserve">among acquiring firms, task reassignment increases with</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and hiring for visual occupations falls only among firms that have reassigned tasks.</w:t>
      </w:r>
    </w:p>
    <w:bookmarkEnd w:id="32"/>
    <w:bookmarkStart w:id="33" w:name="extending-assimilation-theory"/>
    <w:p>
      <w:pPr>
        <w:pStyle w:val="Heading3"/>
      </w:pPr>
      <w:r>
        <w:rPr>
          <w:rFonts w:ascii="Times New Roman" w:hAnsi="Times New Roman" w:eastAsia="Times New Roman" w:cs="Times New Roman"/>
        </w:rPr>
        <w:t xml:space="preserve">3.8 Extending Assimilation Theory</w:t>
      </w:r>
    </w:p>
    <w:p>
      <w:pPr>
        <w:pStyle w:val="FirstParagraph"/>
        <w:spacing w:line="480" w:lineRule="auto" w:after="0" w:before="0"/>
        <w:ind w:firstLine="720"/>
        <w:jc w:val="left"/>
      </w:pPr>
      <w:r>
        <w:rPr>
          <w:rFonts w:ascii="Times New Roman" w:hAnsi="Times New Roman" w:eastAsia="Times New Roman" w:cs="Times New Roman"/>
        </w:rPr>
        <w:t xml:space="preserve">The model carries three claims that go beyond restating the assimilation gap for a new technology. The first and third are the core of the theoretical contribution; the second is a conjecture that current public data do not support. We state all three as conceptual claims, not as results of this paper, and Section 9 sets out how each could be tested.</w:t>
      </w:r>
    </w:p>
    <w:p>
      <w:pPr>
        <w:pStyle w:val="BodyText"/>
        <w:spacing w:line="480" w:lineRule="auto" w:after="0" w:before="0"/>
        <w:ind w:firstLine="720"/>
        <w:jc w:val="left"/>
      </w:pPr>
      <w:r>
        <w:rPr>
          <w:iCs/>
          <w:rFonts w:ascii="Times New Roman" w:hAnsi="Times New Roman" w:eastAsia="Times New Roman" w:cs="Times New Roman"/>
          <w:i/>
        </w:rPr>
        <w:t xml:space="preserve">Judgment complements differ from production complements.</w:t>
      </w:r>
      <w:r>
        <w:rPr>
          <w:rFonts w:ascii="Times New Roman" w:hAnsi="Times New Roman" w:eastAsia="Times New Roman" w:cs="Times New Roman"/>
        </w:rPr>
        <w:t xml:space="preserve"> </w:t>
      </w:r>
      <w:r>
        <w:rPr>
          <w:rFonts w:ascii="Times New Roman" w:hAnsi="Times New Roman" w:eastAsia="Times New Roman" w:cs="Times New Roman"/>
        </w:rPr>
        <w:t xml:space="preserve">In the classic account, knowledge barriers impede building the competence needed to make a technology work (Attewell, 1992; Fichman &amp; Kemerer, 1999). Complementary assets in the resource-based tradition are likewise those a firm needs to produce and capture value from an innovation (Teece, 1986; Wade &amp; Hulland, 2004). Generative tools remove most of this production barrier, since a person can operate a generator on the first day. What remains is a different kind of complement: the capacity to judge whether an output is acceptable, which here consists of expertise, review capacity, and compliance procedures. Production complements govern whether a technology can be used, whereas judgment complements govern whether its output can be relied on in place of human work. The distinction is close to absorptive capacity (Cohen &amp; Levinthal, 1990), the ability to recognize and apply external knowledge, with the difference that the object recognized is a machine’s output on a specific task and not a body of outside knowledge. Treating the two classes of complements separately explains why a tool that is easy to use can still be hard to assimilate.</w:t>
      </w:r>
    </w:p>
    <w:p>
      <w:pPr>
        <w:pStyle w:val="BodyText"/>
        <w:spacing w:line="480" w:lineRule="auto" w:after="0" w:before="0"/>
        <w:ind w:firstLine="720"/>
        <w:jc w:val="left"/>
      </w:pPr>
      <w:r>
        <w:rPr>
          <w:iCs/>
          <w:rFonts w:ascii="Times New Roman" w:hAnsi="Times New Roman" w:eastAsia="Times New Roman" w:cs="Times New Roman"/>
          <w:i/>
        </w:rPr>
        <w:t xml:space="preserve">Acquisition is informative about assimilation in proportion to its cost.</w:t>
      </w:r>
      <w:r>
        <w:rPr>
          <w:rFonts w:ascii="Times New Roman" w:hAnsi="Times New Roman" w:eastAsia="Times New Roman" w:cs="Times New Roman"/>
        </w:rPr>
        <w:t xml:space="preserve"> </w:t>
      </w:r>
      <w:r>
        <w:rPr>
          <w:rFonts w:ascii="Times New Roman" w:hAnsi="Times New Roman" w:eastAsia="Times New Roman" w:cs="Times New Roman"/>
        </w:rPr>
        <w:t xml:space="preserve">When acquiring a technology requires a large commitment, a firm that acquires it has typically decided to reorganize work around it, and acquisition counts therefore carry information about deployment. As acquisition cost falls toward zero, firms acquire to explore, and acquisition counts carry less information about deployment. The conditional probability that an acquiring firm has assimilated a task is therefore lower for generative tools than for earlier technologies, even when the tool is valuable once assimilated. This implies that the assimilation gap should widen as acquisition becomes cheaper, which reverses the usual expectation that falling costs speed diffusion into use. We do not derive this formally; it follows from the threshold in equation (1) combined with free acquisition, and it is the claim most in need of firm-level evidence. Public data give only weak and partly unfavorable evidence. Among European firms that use AI, the share using it for at least two business purposes does not vary with the share running ready-to-use commercial software, a proxy for low-commitment acquisition (Spearman correlation</w:t>
      </w:r>
      <w:r>
        <w:rPr>
          <w:rFonts w:ascii="Times New Roman" w:hAnsi="Times New Roman" w:eastAsia="Times New Roman" w:cs="Times New Roman"/>
        </w:rPr>
        <w:t xml:space="preserve"> </w:t>
      </w:r>
      <m:oMath>
        <m:r>
          <m:rPr>
            <m:sty m:val="p"/>
          </m:rPr>
          <m:t>−</m:t>
        </m:r>
        <m:r>
          <m:t>0.03</m:t>
        </m:r>
      </m:oMath>
      <w:r>
        <w:rPr>
          <w:rFonts w:ascii="Times New Roman" w:hAnsi="Times New Roman" w:eastAsia="Times New Roman" w:cs="Times New Roman"/>
        </w:rPr>
        <w:t xml:space="preserve"> </w:t>
      </w:r>
      <w:r>
        <w:rPr>
          <w:rFonts w:ascii="Times New Roman" w:hAnsi="Times New Roman" w:eastAsia="Times New Roman" w:cs="Times New Roman"/>
        </w:rPr>
        <w:t xml:space="preserve">across 23 countries in 2024,</w:t>
      </w:r>
      <w:r>
        <w:rPr>
          <w:rFonts w:ascii="Times New Roman" w:hAnsi="Times New Roman" w:eastAsia="Times New Roman" w:cs="Times New Roman"/>
        </w:rPr>
        <w:t xml:space="preserve"> </w:t>
      </w:r>
      <m:oMath>
        <m:r>
          <m:t>p</m:t>
        </m:r>
        <m:r>
          <m:rPr>
            <m:sty m:val="p"/>
          </m:rPr>
          <m:t>=</m:t>
        </m:r>
        <m:r>
          <m:t>0.91</m:t>
        </m:r>
      </m:oMath>
      <w:r>
        <w:rPr>
          <w:rFonts w:ascii="Times New Roman" w:hAnsi="Times New Roman" w:eastAsia="Times New Roman" w:cs="Times New Roman"/>
        </w:rPr>
        <w:t xml:space="preserve">), and the share using three or more AI technologies is negatively but imprecisely related to it (</w:t>
      </w:r>
      <m:oMath>
        <m:r>
          <m:rPr>
            <m:sty m:val="p"/>
          </m:rPr>
          <m:t>−</m:t>
        </m:r>
        <m:r>
          <m:t>0.33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rPr>
            <m:sty m:val="p"/>
          </m:rPr>
          <m:t>=</m:t>
        </m:r>
        <m:r>
          <m:t>0.13</m:t>
        </m:r>
      </m:oMath>
      <w:r>
        <w:rPr>
          <w:rFonts w:ascii="Times New Roman" w:hAnsi="Times New Roman" w:eastAsia="Times New Roman" w:cs="Times New Roman"/>
        </w:rPr>
        <w:t xml:space="preserve">). Across size classes the relation is positive, because large firms both buy more ready-to-use software and use AI more broadly, so firm size confounds the comparison. In the United States, about 39 percent of employed adults used generative AI for work in the past week in 2026, yet generative AI assisted only about 6 percent of work hours (Bick et al., 2024, and the authors’ tracker). That is a gap between use and intensity for a nearly free tool, but without a costly comparison technology it does not show that the gap is larger than for earlier technologies. We therefore treat this claim as a conjecture that the data neither support nor refute, and the test in Section 9 includes a comparison with earlier technologies for that reason.</w:t>
      </w:r>
    </w:p>
    <w:p>
      <w:pPr>
        <w:pStyle w:val="BodyText"/>
        <w:spacing w:line="480" w:lineRule="auto" w:after="0" w:before="0"/>
        <w:ind w:firstLine="720"/>
        <w:jc w:val="left"/>
      </w:pPr>
      <w:r>
        <w:rPr>
          <w:iCs/>
          <w:rFonts w:ascii="Times New Roman" w:hAnsi="Times New Roman" w:eastAsia="Times New Roman" w:cs="Times New Roman"/>
          <w:i/>
        </w:rPr>
        <w:t xml:space="preserve">Assimilation is a property of the task, not of the firm.</w:t>
      </w:r>
      <w:r>
        <w:rPr>
          <w:rFonts w:ascii="Times New Roman" w:hAnsi="Times New Roman" w:eastAsia="Times New Roman" w:cs="Times New Roman"/>
        </w:rPr>
        <w:t xml:space="preserve"> </w:t>
      </w:r>
      <w:r>
        <w:rPr>
          <w:rFonts w:ascii="Times New Roman" w:hAnsi="Times New Roman" w:eastAsia="Times New Roman" w:cs="Times New Roman"/>
        </w:rPr>
        <w:t xml:space="preserve">Assimilation scales used in earlier work, such as routinization and infusion (Cooper &amp; Zmud, 1990), describe how deeply a firm has embedded a technology. In our model a firm that has acquired the same generator can have assimilated some visual tasks and not others, because the review cost relative to the cost of human production differs across tasks, and a single firm-level score hides this variation. The unit of analysis for assimilation should be the task, with the firm as the setting in which review capacity is supplied. This also means that within-firm comparisons across tasks can identify the mechanism with firm characteristics held fixed.</w:t>
      </w:r>
    </w:p>
    <w:p>
      <w:pPr>
        <w:pStyle w:val="BodyText"/>
        <w:spacing w:line="480" w:lineRule="auto" w:after="0" w:before="0"/>
        <w:ind w:firstLine="720"/>
        <w:jc w:val="left"/>
      </w:pPr>
      <w:r>
        <w:rPr>
          <w:iCs/>
          <w:rFonts w:ascii="Times New Roman" w:hAnsi="Times New Roman" w:eastAsia="Times New Roman" w:cs="Times New Roman"/>
          <w:i/>
        </w:rPr>
        <w:t xml:space="preserve">Boundary conditions.</w:t>
      </w:r>
      <w:r>
        <w:rPr>
          <w:rFonts w:ascii="Times New Roman" w:hAnsi="Times New Roman" w:eastAsia="Times New Roman" w:cs="Times New Roman"/>
        </w:rPr>
        <w:t xml:space="preserve"> </w:t>
      </w:r>
      <w:r>
        <w:rPr>
          <w:rFonts w:ascii="Times New Roman" w:hAnsi="Times New Roman" w:eastAsia="Times New Roman" w:cs="Times New Roman"/>
        </w:rPr>
        <w:t xml:space="preserve">The account is not a general claim about generative AI. It predicts a smaller assimilation gap where output can be verified cheaply and mechanically (for example, code that is checked by tests), where the reviewer is also the buyer of the output, as on freelance platforms, or where no compliance regime binds. It predicts a larger gap for tasks whose output is judged by taste or by legal exposure, such as brand imagery and licensed content. The platform estimates in Section 2.3 are consistent with the first two conditions. Finally, the model abstracts from how review routines form. Studies of technology appropriation and of the routines that grow around technology (Leonardi, 2011; Orlikowski, 2000) are where that process is described, and we treat its outcome as the stock of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bookmarkEnd w:id="33"/>
    <w:bookmarkEnd w:id="34"/>
    <w:bookmarkStart w:id="35" w:name="what-occupation-level-data-can-identify"/>
    <w:p>
      <w:pPr>
        <w:pStyle w:val="Heading2"/>
      </w:pPr>
      <w:r>
        <w:rPr>
          <w:rFonts w:ascii="Times New Roman" w:hAnsi="Times New Roman" w:eastAsia="Times New Roman" w:cs="Times New Roman"/>
        </w:rPr>
        <w:t xml:space="preserve">4 What Occupation-Level Data Can Identify</w:t>
      </w:r>
    </w:p>
    <w:p>
      <w:pPr>
        <w:pStyle w:val="FirstParagraph"/>
        <w:spacing w:line="480" w:lineRule="auto" w:after="0" w:before="0"/>
        <w:ind w:firstLine="720"/>
        <w:jc w:val="left"/>
      </w:pPr>
      <w:r>
        <w:rPr>
          <w:rFonts w:ascii="Times New Roman" w:hAnsi="Times New Roman" w:eastAsia="Times New Roman" w:cs="Times New Roman"/>
        </w:rPr>
        <w:t xml:space="preserve">Exposure-based hiring designs regress the change in log adverts for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on standardized exposure. Suppose the most exposed occupation lies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deviations above the mean and that its work is almost entirely visual production (</w:t>
      </w:r>
      <m:oMath>
        <m:sSub>
          <m:e>
            <m:r>
              <m:t>s</m:t>
            </m:r>
          </m:e>
          <m:sub>
            <m:r>
              <m:t>j</m:t>
            </m:r>
          </m:sub>
        </m:sSub>
        <m:r>
          <m:rPr>
            <m:sty m:val="p"/>
          </m:rPr>
          <m:t>≈</m:t>
        </m:r>
        <m:r>
          <m:t>1</m:t>
        </m:r>
      </m:oMath>
      <w:r>
        <w:rPr>
          <w:rFonts w:ascii="Times New Roman" w:hAnsi="Times New Roman" w:eastAsia="Times New Roman" w:cs="Times New Roman"/>
        </w:rPr>
        <w:t xml:space="preserve">). If exposure is approximately proportional to</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complete assimilation implies a coefficient per standard deviation of approximately</w:t>
      </w:r>
    </w:p>
    <w:p>
      <w:pPr>
        <w:pStyle w:val="BodyText"/>
        <w:spacing w:line="480" w:lineRule="auto" w:after="0" w:before="0"/>
        <w:ind w:firstLine="720"/>
        <w:jc w:val="left"/>
      </w:pPr>
      <m:oMathPara>
        <m:oMathParaPr>
          <m:jc m:val="center"/>
        </m:oMathParaPr>
        <m:oMath>
          <m:sSup>
            <m:e>
              <m:r>
                <m:t>γ</m:t>
              </m:r>
            </m:e>
            <m:sup>
              <m:r>
                <m:rPr>
                  <m:sty m:val="p"/>
                </m:rPr>
                <m:t>*</m:t>
              </m:r>
            </m:sup>
          </m:sSup>
          <m:r>
            <m:rPr>
              <m:sty m:val="p"/>
            </m:rPr>
            <m:t>≈</m:t>
          </m:r>
          <m:sSup>
            <m:e>
              <m:r>
                <m:t>A</m:t>
              </m:r>
            </m:e>
            <m:sup>
              <m:r>
                <m:t>u</m:t>
              </m:r>
            </m:sup>
          </m:sSup>
          <m:r>
            <m:rPr>
              <m:sty m:val="p"/>
            </m:rPr>
            <m:t>⋅</m:t>
          </m:r>
          <m:r>
            <m:t>β</m:t>
          </m:r>
          <m:r>
            <m:rPr>
              <m:sty m:val="p"/>
            </m:rPr>
            <m:t>/</m:t>
          </m:r>
          <m:r>
            <m:t>k</m:t>
          </m:r>
          <m:r>
            <m:rPr>
              <m:sty m:val="p"/>
            </m:rPr>
            <m:t>.</m:t>
          </m:r>
          <m:r>
            <m:t>  </m:t>
          </m:r>
          <m:d>
            <m:dPr>
              <m:begChr m:val="("/>
              <m:endChr m:val=")"/>
              <m:sepChr m:val=""/>
              <m:grow/>
            </m:dPr>
            <m:e>
              <m:r>
                <m:t>5</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design can detect</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only if its magnitude exceeds the minimum detectable effect (MDE), which for a two-sided 5 percent test at 80 percent power is approximately 2.8 times the standard error of the coefficient. This gives a classification rule, stated before we apply it, so that neither a small nor a large observed coefficient is read as support for the gap.</w:t>
      </w:r>
    </w:p>
    <w:p>
      <w:pPr>
        <w:numPr>
          <w:ilvl w:val="0"/>
          <w:numId w:val="1001"/>
        </w:numPr>
        <w:pStyle w:val="Compact"/>
        <w:spacing w:line="480" w:lineRule="auto" w:after="0" w:before="0"/>
        <w:ind w:firstLine="720"/>
        <w:jc w:val="left"/>
      </w:pP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the MDE, the design is uninformative about assimilation, whatever the estimated coefficient. A null result does not support the gap, and a negative result is not evidence of substitution. (ii) 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MDE and the estimate is significantly smaller in magnitude than</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the data reject complete assimilation with net substitution but do not distinguish the gap from offsetting scale effects. (iii) If the estimate is significantly larger in magnitude than the largest plausible</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which we take to be the coefficient implied by</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acquisition rate of the highest-acquisition sector, or if the gradient is already present before the technology was available, the decline is attributed to other causes and counts as evidence for none of the accounts.</w:t>
      </w:r>
    </w:p>
    <w:p>
      <w:pPr>
        <w:pStyle w:val="FirstParagraph"/>
        <w:spacing w:line="480" w:lineRule="auto" w:after="0" w:before="0"/>
        <w:ind w:firstLine="720"/>
        <w:jc w:val="left"/>
      </w:pPr>
      <w:r>
        <w:rPr>
          <w:rFonts w:ascii="Times New Roman" w:hAnsi="Times New Roman" w:eastAsia="Times New Roman" w:cs="Times New Roman"/>
        </w:rPr>
        <w:t xml:space="preserve">The reference value of</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comes from the platform literature. A 17 percent fall in image-creation posts (Demirci et al., 2025) corresponds to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Other platform estimates are smaller: Hui et al. (2024) find 2 percent fewer jobs and 5.2 percent lower earnings for freelancers in affected occupations, so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favors detection. Because standing occupations may adjust differently, we also consider</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 39 percent fall among assimilating employers) as an aggressive case. Appendix B gives the derivation, including the effect of measurement error in exposure.</w:t>
      </w:r>
    </w:p>
    <w:bookmarkEnd w:id="35"/>
    <w:bookmarkStart w:id="39" w:name="data"/>
    <w:p>
      <w:pPr>
        <w:pStyle w:val="Heading2"/>
      </w:pPr>
      <w:r>
        <w:rPr>
          <w:rFonts w:ascii="Times New Roman" w:hAnsi="Times New Roman" w:eastAsia="Times New Roman" w:cs="Times New Roman"/>
        </w:rPr>
        <w:t xml:space="preserve">5 Data</w:t>
      </w:r>
    </w:p>
    <w:bookmarkStart w:id="36" w:name="acquisition-and-barriers"/>
    <w:p>
      <w:pPr>
        <w:pStyle w:val="Heading3"/>
      </w:pPr>
      <w:r>
        <w:rPr>
          <w:rFonts w:ascii="Times New Roman" w:hAnsi="Times New Roman" w:eastAsia="Times New Roman" w:cs="Times New Roman"/>
        </w:rPr>
        <w:t xml:space="preserve">5.1 Acquisition and Barriers</w:t>
      </w:r>
    </w:p>
    <w:p>
      <w:pPr>
        <w:pStyle w:val="FirstParagraph"/>
        <w:spacing w:line="480" w:lineRule="auto" w:after="0" w:before="0"/>
        <w:ind w:firstLine="720"/>
        <w:jc w:val="left"/>
      </w:pPr>
      <w:r>
        <w:rPr>
          <w:rFonts w:ascii="Times New Roman" w:hAnsi="Times New Roman" w:eastAsia="Times New Roman" w:cs="Times New Roman"/>
        </w:rPr>
        <w:t xml:space="preserve">We use Eurostat’s survey on ICT usage in enterprises (Eurostat, 2026),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bookmarkEnd w:id="36"/>
    <w:bookmarkStart w:id="37" w:name="hiring-series"/>
    <w:p>
      <w:pPr>
        <w:pStyle w:val="Heading3"/>
      </w:pPr>
      <w:r>
        <w:rPr>
          <w:rFonts w:ascii="Times New Roman" w:hAnsi="Times New Roman" w:eastAsia="Times New Roman" w:cs="Times New Roman"/>
        </w:rPr>
        <w:t xml:space="preserve">5.2 Hiring Series</w:t>
      </w:r>
    </w:p>
    <w:p>
      <w:pPr>
        <w:pStyle w:val="FirstParagraph"/>
        <w:spacing w:line="480" w:lineRule="auto" w:after="0" w:before="0"/>
        <w:ind w:firstLine="720"/>
        <w:jc w:val="left"/>
      </w:pPr>
      <w:r>
        <w:rPr>
          <w:rFonts w:ascii="Times New Roman" w:hAnsi="Times New Roman" w:eastAsia="Times New Roman" w:cs="Times New Roman"/>
        </w:rPr>
        <w:t xml:space="preserve">Because the acquisition measure covers EU firms, the hiring series is Eurostat’s experimental online job advertisements by ISCO-08 three-digit occupation, 2019 to 2024 (Eurostat, 2026),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 to 2026 (Statistics Canada, 2026), restricted to 312 unit groups with all four quarters observed in the 2022 base year and at least 1,000 vacancies in that year. The quarter 2020Q2 was not collected, so 2020 and 2021 cannot be used; annual figures are quarterly means, and 2026 covers the first two quarters, compared with the same quarters of 2022. European Labour Force Survey employment by industry and US sector postings from Indeed Hiring Lab (2026) are used descriptively.</w:t>
      </w:r>
    </w:p>
    <w:bookmarkEnd w:id="37"/>
    <w:bookmarkStart w:id="38" w:name="exposure-and-its-measurement"/>
    <w:p>
      <w:pPr>
        <w:pStyle w:val="Heading3"/>
      </w:pPr>
      <w:r>
        <w:rPr>
          <w:rFonts w:ascii="Times New Roman" w:hAnsi="Times New Roman" w:eastAsia="Times New Roman" w:cs="Times New Roman"/>
        </w:rPr>
        <w:t xml:space="preserve">5.3 Exposure and Its Measurement</w:t>
      </w:r>
    </w:p>
    <w:p>
      <w:pPr>
        <w:pStyle w:val="FirstParagraph"/>
        <w:spacing w:line="480" w:lineRule="auto" w:after="0" w:before="0"/>
        <w:ind w:firstLine="720"/>
        <w:jc w:val="left"/>
      </w:pPr>
      <w:r>
        <w:rPr>
          <w:rFonts w:ascii="Times New Roman" w:hAnsi="Times New Roman" w:eastAsia="Times New Roman" w:cs="Times New Roman"/>
        </w:rPr>
        <w:t xml:space="preserve">Occupational exposure to visual content creation is the mean, over O*NET task statements (National Center for O*NET Development, 2026), of a language-model score on a 0 to 2 rubric divided by two. We scored the 17,358 distinct task statements of the 914 O*NET-SOC occupations that the ESCO crosswalk links to the 96 European occupations in our sample, using Claude Haiku 5.5 at temperature zero and the narrow rubric in Appendix A, which credits only the production or editing of visual content. An ISCO-08 three-digit group inherits the pooled task statements of all O*NET-SOC occupations linked to it through the three-digit prefix of the ESCO code. For Canada, we scored the 3,559 distinct main-duty statements of the NOC 2021 unit groups in our sample with the same rubric and averaged them by unit group. The control for language-model exposure is built in the same way from a second rubric that credits tasks in which reading, writing, or otherwise producing text is central (Appendix A). Both measures are standardized across occupations (across unit groups in Canada). In Europe they correlate 0.12 across occupations, and in Canada 0.05. The two occupations with the highest visual exposure are architects, planners, surveyors, and designers (ISCO 216, 5.3 standard deviations above the mean) and creative and performing artists (ISCO 265, 4.4). In Canada, graphic arts technicians and graphic designers and illustrators lead.</w:t>
      </w:r>
    </w:p>
    <w:p>
      <w:pPr>
        <w:pStyle w:val="BodyText"/>
        <w:spacing w:line="480" w:lineRule="auto" w:after="0" w:before="0"/>
        <w:ind w:firstLine="720"/>
        <w:jc w:val="left"/>
      </w:pPr>
      <w:r>
        <w:rPr>
          <w:rFonts w:ascii="Times New Roman" w:hAnsi="Times New Roman" w:eastAsia="Times New Roman" w:cs="Times New Roman"/>
        </w:rPr>
        <w:t xml:space="preserve">The construct is hard to code, so we validate the scores against human coders and report two further checks on measurement noise. Two human coders scored 199 task statements on the visual rubric (0, 1, or 2) independently and without seeing the model scores; one is the author and the other an undergraduate physics student with no prior exposure to the project, who received only the written rubric and no further instruction. The sample was stratified by an earlier model pass and a keyword rule (four strata, 200 statements drawn, one dropped as unscorable), so we weight by inverse sampling probability to estimate agreement in the full set of statements. The coders agree on 77 percent of statements (59 percent unweighted), with a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of 0.42 (linear-weighted 0.49, binary 0.55). Against the author’s codes, the primary model’s scores agree on 75 percent of statements, with a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of 0.18 (linear-weighted 0.23); against the student coder the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0.11 (linear-weighted 0.16). The second model gives 0.20 and 0.16. The model almost never assigns a nonzero score that a coder rejects against the author (specificity 0.99, positive predictive value 0.82), though it is less conservative against the student coder (0.96, 0.54), and it misses most of the visual content the coders identify (sensitivity 0.13 to 0.22). Model-human agreement is therefore well below human-human agreement, so the scores are a conservative, high-precision indicator of visual content rather than a complete one, and the exposure gradients should be read with that in mind. Next, we report two checks on measurement noise, neither of which substitutes for validation against human coders. First, we scored the same statements with a second, unrelated model (GPT-5.6 Luna). On the visual rubric the two models agree on 96.8 percent of task statements (Cohen’s</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0.66, quadratic-weighted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0.83, Gwet’s AC1 = 0.97). Chance-corrected coefficients are depressed when one category dominates, and only about 5 percent of statements receive a nonzero visual score, which is why</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sits well below raw agreement. For the text rubric the corresponding values are 83.3 percent, 0.58, 0.79, and 0.79. At the level that enters the regressions, occupation-level exposure from the two models correlates 0.99 for the visual measure and 0.98 for the text measure, and the gradients in Table 4 change little when the second model’s scores are used (for example,</w:t>
      </w:r>
      <w:r>
        <w:rPr>
          <w:rFonts w:ascii="Times New Roman" w:hAnsi="Times New Roman" w:eastAsia="Times New Roman" w:cs="Times New Roman"/>
        </w:rPr>
        <w:t xml:space="preserve"> </w:t>
      </w:r>
      <m:oMath>
        <m:r>
          <m:rPr>
            <m:sty m:val="p"/>
          </m:rPr>
          <m:t>−</m:t>
        </m:r>
        <m:r>
          <m:t>0.025</m:t>
        </m:r>
      </m:oMath>
      <w:r>
        <w:rPr>
          <w:rFonts w:ascii="Times New Roman" w:hAnsi="Times New Roman" w:eastAsia="Times New Roman" w:cs="Times New Roman"/>
        </w:rPr>
        <w:t xml:space="preserve"> </w:t>
      </w:r>
      <w:r>
        <w:rPr>
          <w:rFonts w:ascii="Times New Roman" w:hAnsi="Times New Roman" w:eastAsia="Times New Roman" w:cs="Times New Roman"/>
        </w:rPr>
        <w:t xml:space="preserve">(0.007) in 2023 and</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w:t>
      </w:r>
      <w:r>
        <w:rPr>
          <w:rFonts w:ascii="Times New Roman" w:hAnsi="Times New Roman" w:eastAsia="Times New Roman" w:cs="Times New Roman"/>
        </w:rPr>
        <w:t xml:space="preserve">(0.017) in 2024). Agreement between two language models shows that the scores are stable, not that they are valid, because the models may share biases. Second, classical measurement error attenuates the coefficient per standard deviation of exposure by the square root of the reliability (Appendix B). Complete assimilation would then produce a smaller coefficient than the one in equation (5), while the minimum detectable effect is unchanged, so noise in exposure strengthens the detectability result. What noise weakens is the substantive reading of any observed gradient, which is why we classify gradients with the bound before interpreting them. We do not correct the coefficients for attenuation.</w:t>
      </w:r>
    </w:p>
    <w:bookmarkEnd w:id="38"/>
    <w:bookmarkEnd w:id="39"/>
    <w:bookmarkStart w:id="42" w:name="the-acquisition-margin"/>
    <w:p>
      <w:pPr>
        <w:pStyle w:val="Heading2"/>
      </w:pPr>
      <w:r>
        <w:rPr>
          <w:rFonts w:ascii="Times New Roman" w:hAnsi="Times New Roman" w:eastAsia="Times New Roman" w:cs="Times New Roman"/>
        </w:rPr>
        <w:t xml:space="preserve">6 The Acquisition Margin</w:t>
      </w:r>
    </w:p>
    <w:bookmarkStart w:id="40" w:name="acquisition-is-substantial-and-rising"/>
    <w:p>
      <w:pPr>
        <w:pStyle w:val="Heading3"/>
      </w:pPr>
      <w:r>
        <w:rPr>
          <w:rFonts w:ascii="Times New Roman" w:hAnsi="Times New Roman" w:eastAsia="Times New Roman" w:cs="Times New Roman"/>
        </w:rPr>
        <w:t xml:space="preserve">6.1 Acquisition Is Substantial and Rising</w:t>
      </w:r>
    </w:p>
    <w:p>
      <w:pPr>
        <w:pStyle w:val="FirstParagraph"/>
        <w:spacing w:line="480" w:lineRule="auto" w:after="0" w:before="0"/>
        <w:ind w:firstLine="720"/>
        <w:jc w:val="left"/>
      </w:pPr>
      <w:r>
        <w:rPr>
          <w:rFonts w:ascii="Times New Roman" w:hAnsi="Times New Roman" w:eastAsia="Times New Roman" w:cs="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pStyle w:val="BodyText"/>
        <w:spacing w:line="240" w:lineRule="auto" w:after="120" w:before="0"/>
        <w:ind w:firstLine="0"/>
        <w:jc w:val="left"/>
      </w:pPr>
      <w:r>
        <w:rPr>
          <w:bCs/>
          <w:rFonts w:ascii="Times New Roman" w:hAnsi="Times New Roman" w:eastAsia="Times New Roman" w:cs="Times New Roman"/>
          <w:b/>
        </w:rPr>
        <w:t xml:space="preserve">Table 2. Acquisition of generative AI, EU27, 2025 (percent of enterprises with 10 or more employees)</w:t>
      </w:r>
    </w:p>
    <w:tbl>
      <w:tblPr>
        <w:tblStyle w:val="Table"/>
        <w:tblW w:type="auto" w:w="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Group</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Picture, video, or audio</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Text generation</w:t>
            </w:r>
          </w:p>
        </w:tc>
      </w:tr>
      <w:tr>
        <w:tc>
          <w:tcPr/>
          <w:p>
            <w:pPr>
              <w:pStyle w:val="Compact"/>
              <w:spacing w:line="240" w:lineRule="auto" w:after="40"/>
              <w:ind w:firstLine="0"/>
              <w:jc w:val="left"/>
            </w:pPr>
            <w:r>
              <w:rPr>
                <w:rFonts w:ascii="Times New Roman" w:hAnsi="Times New Roman"/>
                <w:sz w:val="19"/>
              </w:rPr>
              <w:t xml:space="preserve">All enterprises (10+)</w:t>
            </w:r>
          </w:p>
        </w:tc>
        <w:tc>
          <w:tcPr/>
          <w:p>
            <w:pPr>
              <w:pStyle w:val="Compact"/>
              <w:spacing w:line="240" w:lineRule="auto" w:after="40"/>
              <w:ind w:firstLine="0"/>
              <w:jc w:val="right"/>
            </w:pPr>
            <w:r>
              <w:rPr>
                <w:rFonts w:ascii="Times New Roman" w:hAnsi="Times New Roman"/>
                <w:sz w:val="19"/>
              </w:rPr>
              <w:t xml:space="preserve">9.6</w:t>
            </w:r>
          </w:p>
        </w:tc>
        <w:tc>
          <w:tcPr/>
          <w:p>
            <w:pPr>
              <w:pStyle w:val="Compact"/>
              <w:spacing w:line="240" w:lineRule="auto" w:after="40"/>
              <w:ind w:firstLine="0"/>
              <w:jc w:val="right"/>
            </w:pPr>
            <w:r>
              <w:rPr>
                <w:rFonts w:ascii="Times New Roman" w:hAnsi="Times New Roman"/>
                <w:sz w:val="19"/>
              </w:rPr>
              <w:t xml:space="preserve">8.8</w:t>
            </w:r>
          </w:p>
        </w:tc>
      </w:tr>
      <w:tr>
        <w:tc>
          <w:tcPr/>
          <w:p>
            <w:pPr>
              <w:pStyle w:val="Compact"/>
              <w:spacing w:line="240" w:lineRule="auto" w:after="40"/>
              <w:ind w:firstLine="0"/>
              <w:jc w:val="left"/>
            </w:pPr>
            <w:r>
              <w:rPr>
                <w:rFonts w:ascii="Times New Roman" w:hAnsi="Times New Roman"/>
                <w:sz w:val="19"/>
              </w:rPr>
              <w:t xml:space="preserve">10–49 employees</w:t>
            </w:r>
          </w:p>
        </w:tc>
        <w:tc>
          <w:tcPr/>
          <w:p>
            <w:pPr>
              <w:pStyle w:val="Compact"/>
              <w:spacing w:line="240" w:lineRule="auto" w:after="40"/>
              <w:ind w:firstLine="0"/>
              <w:jc w:val="right"/>
            </w:pPr>
            <w:r>
              <w:rPr>
                <w:rFonts w:ascii="Times New Roman" w:hAnsi="Times New Roman"/>
                <w:sz w:val="19"/>
              </w:rPr>
              <w:t xml:space="preserve">8.1</w:t>
            </w:r>
          </w:p>
        </w:tc>
        <w:tc>
          <w:tcPr/>
          <w:p>
            <w:pPr>
              <w:pStyle w:val="Compact"/>
              <w:spacing w:line="240" w:lineRule="auto" w:after="40"/>
              <w:ind w:firstLine="0"/>
              <w:jc w:val="right"/>
            </w:pPr>
            <w:r>
              <w:rPr>
                <w:rFonts w:ascii="Times New Roman" w:hAnsi="Times New Roman"/>
                <w:sz w:val="19"/>
              </w:rPr>
              <w:t xml:space="preserve">7.0</w:t>
            </w:r>
          </w:p>
        </w:tc>
      </w:tr>
      <w:tr>
        <w:tc>
          <w:tcPr/>
          <w:p>
            <w:pPr>
              <w:pStyle w:val="Compact"/>
              <w:spacing w:line="240" w:lineRule="auto" w:after="40"/>
              <w:ind w:firstLine="0"/>
              <w:jc w:val="left"/>
            </w:pPr>
            <w:r>
              <w:rPr>
                <w:rFonts w:ascii="Times New Roman" w:hAnsi="Times New Roman"/>
                <w:sz w:val="19"/>
              </w:rPr>
              <w:t xml:space="preserve">50–249 employees</w:t>
            </w:r>
          </w:p>
        </w:tc>
        <w:tc>
          <w:tcPr/>
          <w:p>
            <w:pPr>
              <w:pStyle w:val="Compact"/>
              <w:spacing w:line="240" w:lineRule="auto" w:after="40"/>
              <w:ind w:firstLine="0"/>
              <w:jc w:val="right"/>
            </w:pPr>
            <w:r>
              <w:rPr>
                <w:rFonts w:ascii="Times New Roman" w:hAnsi="Times New Roman"/>
                <w:sz w:val="19"/>
              </w:rPr>
              <w:t xml:space="preserve">14.4</w:t>
            </w:r>
          </w:p>
        </w:tc>
        <w:tc>
          <w:tcPr/>
          <w:p>
            <w:pPr>
              <w:pStyle w:val="Compact"/>
              <w:spacing w:line="240" w:lineRule="auto" w:after="40"/>
              <w:ind w:firstLine="0"/>
              <w:jc w:val="right"/>
            </w:pPr>
            <w:r>
              <w:rPr>
                <w:rFonts w:ascii="Times New Roman" w:hAnsi="Times New Roman"/>
                <w:sz w:val="19"/>
              </w:rPr>
              <w:t xml:space="preserve">14.8</w:t>
            </w:r>
          </w:p>
        </w:tc>
      </w:tr>
      <w:tr>
        <w:tc>
          <w:tcPr/>
          <w:p>
            <w:pPr>
              <w:pStyle w:val="Compact"/>
              <w:spacing w:line="240" w:lineRule="auto" w:after="40"/>
              <w:ind w:firstLine="0"/>
              <w:jc w:val="left"/>
            </w:pPr>
            <w:r>
              <w:rPr>
                <w:rFonts w:ascii="Times New Roman" w:hAnsi="Times New Roman"/>
                <w:sz w:val="19"/>
              </w:rPr>
              <w:t xml:space="preserve">250 or more employees</w:t>
            </w:r>
          </w:p>
        </w:tc>
        <w:tc>
          <w:tcPr/>
          <w:p>
            <w:pPr>
              <w:pStyle w:val="Compact"/>
              <w:spacing w:line="240" w:lineRule="auto" w:after="40"/>
              <w:ind w:firstLine="0"/>
              <w:jc w:val="right"/>
            </w:pPr>
            <w:r>
              <w:rPr>
                <w:rFonts w:ascii="Times New Roman" w:hAnsi="Times New Roman"/>
                <w:sz w:val="19"/>
              </w:rPr>
              <w:t xml:space="preserve">27.9</w:t>
            </w:r>
          </w:p>
        </w:tc>
        <w:tc>
          <w:tcPr/>
          <w:p>
            <w:pPr>
              <w:pStyle w:val="Compact"/>
              <w:spacing w:line="240" w:lineRule="auto" w:after="40"/>
              <w:ind w:firstLine="0"/>
              <w:jc w:val="right"/>
            </w:pPr>
            <w:r>
              <w:rPr>
                <w:rFonts w:ascii="Times New Roman" w:hAnsi="Times New Roman"/>
                <w:sz w:val="19"/>
              </w:rPr>
              <w:t xml:space="preserve">31.7</w:t>
            </w:r>
          </w:p>
        </w:tc>
      </w:tr>
      <w:tr>
        <w:tc>
          <w:tcPr/>
          <w:p>
            <w:pPr>
              <w:pStyle w:val="Compact"/>
              <w:spacing w:line="240" w:lineRule="auto" w:after="40"/>
              <w:ind w:firstLine="0"/>
              <w:jc w:val="left"/>
            </w:pPr>
            <w:r>
              <w:rPr>
                <w:rFonts w:ascii="Times New Roman" w:hAnsi="Times New Roman"/>
                <w:sz w:val="19"/>
              </w:rPr>
              <w:t xml:space="preserve">Information and communication (J)</w:t>
            </w:r>
          </w:p>
        </w:tc>
        <w:tc>
          <w:tcPr/>
          <w:p>
            <w:pPr>
              <w:pStyle w:val="Compact"/>
              <w:spacing w:line="240" w:lineRule="auto" w:after="40"/>
              <w:ind w:firstLine="0"/>
              <w:jc w:val="right"/>
            </w:pPr>
            <w:r>
              <w:rPr>
                <w:rFonts w:ascii="Times New Roman" w:hAnsi="Times New Roman"/>
                <w:sz w:val="19"/>
              </w:rPr>
              <w:t xml:space="preserve">35.5</w:t>
            </w:r>
          </w:p>
        </w:tc>
        <w:tc>
          <w:tcPr/>
          <w:p>
            <w:pPr>
              <w:pStyle w:val="Compact"/>
              <w:spacing w:line="240" w:lineRule="auto" w:after="40"/>
              <w:ind w:firstLine="0"/>
              <w:jc w:val="right"/>
            </w:pPr>
            <w:r>
              <w:rPr>
                <w:rFonts w:ascii="Times New Roman" w:hAnsi="Times New Roman"/>
                <w:sz w:val="19"/>
              </w:rPr>
              <w:t xml:space="preserve">42.2</w:t>
            </w:r>
          </w:p>
        </w:tc>
      </w:tr>
      <w:tr>
        <w:tc>
          <w:tcPr/>
          <w:p>
            <w:pPr>
              <w:pStyle w:val="Compact"/>
              <w:spacing w:line="240" w:lineRule="auto" w:after="40"/>
              <w:ind w:firstLine="0"/>
              <w:jc w:val="left"/>
            </w:pPr>
            <w:r>
              <w:rPr>
                <w:rFonts w:ascii="Times New Roman" w:hAnsi="Times New Roman"/>
                <w:sz w:val="19"/>
              </w:rPr>
              <w:t xml:space="preserve">Publishing, film, TV, music (J58–J60)</w:t>
            </w:r>
          </w:p>
        </w:tc>
        <w:tc>
          <w:tcPr/>
          <w:p>
            <w:pPr>
              <w:pStyle w:val="Compact"/>
              <w:spacing w:line="240" w:lineRule="auto" w:after="40"/>
              <w:ind w:firstLine="0"/>
              <w:jc w:val="right"/>
            </w:pPr>
            <w:r>
              <w:rPr>
                <w:rFonts w:ascii="Times New Roman" w:hAnsi="Times New Roman"/>
                <w:sz w:val="19"/>
              </w:rPr>
              <w:t xml:space="preserve">36.2</w:t>
            </w:r>
          </w:p>
        </w:tc>
        <w:tc>
          <w:tcPr/>
          <w:p>
            <w:pPr>
              <w:pStyle w:val="Compact"/>
              <w:spacing w:line="240" w:lineRule="auto" w:after="40"/>
              <w:ind w:firstLine="0"/>
              <w:jc w:val="right"/>
            </w:pPr>
            <w:r>
              <w:rPr>
                <w:rFonts w:ascii="Times New Roman" w:hAnsi="Times New Roman"/>
                <w:sz w:val="19"/>
              </w:rPr>
              <w:t xml:space="preserve">34.0</w:t>
            </w:r>
          </w:p>
        </w:tc>
      </w:tr>
      <w:tr>
        <w:tc>
          <w:tcPr/>
          <w:p>
            <w:pPr>
              <w:pStyle w:val="Compact"/>
              <w:spacing w:line="240" w:lineRule="auto" w:after="40"/>
              <w:ind w:firstLine="0"/>
              <w:jc w:val="left"/>
            </w:pPr>
            <w:r>
              <w:rPr>
                <w:rFonts w:ascii="Times New Roman" w:hAnsi="Times New Roman"/>
                <w:sz w:val="19"/>
              </w:rPr>
              <w:t xml:space="preserve">Professional, scientific, technical (M)</w:t>
            </w:r>
          </w:p>
        </w:tc>
        <w:tc>
          <w:tcPr/>
          <w:p>
            <w:pPr>
              <w:pStyle w:val="Compact"/>
              <w:spacing w:line="240" w:lineRule="auto" w:after="40"/>
              <w:ind w:firstLine="0"/>
              <w:jc w:val="right"/>
            </w:pPr>
            <w:r>
              <w:rPr>
                <w:rFonts w:ascii="Times New Roman" w:hAnsi="Times New Roman"/>
                <w:sz w:val="19"/>
              </w:rPr>
              <w:t xml:space="preserve">18.7</w:t>
            </w:r>
          </w:p>
        </w:tc>
        <w:tc>
          <w:tcPr/>
          <w:p>
            <w:pPr>
              <w:pStyle w:val="Compact"/>
              <w:spacing w:line="240" w:lineRule="auto" w:after="40"/>
              <w:ind w:firstLine="0"/>
              <w:jc w:val="right"/>
            </w:pPr>
            <w:r>
              <w:rPr>
                <w:rFonts w:ascii="Times New Roman" w:hAnsi="Times New Roman"/>
                <w:sz w:val="19"/>
              </w:rPr>
              <w:t xml:space="preserve">17.7</w:t>
            </w:r>
          </w:p>
        </w:tc>
      </w:tr>
      <w:tr>
        <w:tc>
          <w:tcPr/>
          <w:p>
            <w:pPr>
              <w:pStyle w:val="Compact"/>
              <w:spacing w:line="240" w:lineRule="auto" w:after="40"/>
              <w:ind w:firstLine="0"/>
              <w:jc w:val="left"/>
            </w:pPr>
            <w:r>
              <w:rPr>
                <w:rFonts w:ascii="Times New Roman" w:hAnsi="Times New Roman"/>
                <w:sz w:val="19"/>
              </w:rPr>
              <w:t xml:space="preserve">Construction (F)</w:t>
            </w:r>
          </w:p>
        </w:tc>
        <w:tc>
          <w:tcPr/>
          <w:p>
            <w:pPr>
              <w:pStyle w:val="Compact"/>
              <w:spacing w:line="240" w:lineRule="auto" w:after="40"/>
              <w:ind w:firstLine="0"/>
              <w:jc w:val="right"/>
            </w:pPr>
            <w:r>
              <w:rPr>
                <w:rFonts w:ascii="Times New Roman" w:hAnsi="Times New Roman"/>
                <w:sz w:val="19"/>
              </w:rPr>
              <w:t xml:space="preserve">4.5</w:t>
            </w:r>
          </w:p>
        </w:tc>
        <w:tc>
          <w:tcPr/>
          <w:p>
            <w:pPr>
              <w:pStyle w:val="Compact"/>
              <w:spacing w:line="240" w:lineRule="auto" w:after="40"/>
              <w:ind w:firstLine="0"/>
              <w:jc w:val="right"/>
            </w:pPr>
            <w:r>
              <w:rPr>
                <w:rFonts w:ascii="Times New Roman" w:hAnsi="Times New Roman"/>
                <w:sz w:val="19"/>
              </w:rPr>
              <w:t xml:space="preserve">3.2</w:t>
            </w:r>
          </w:p>
        </w:tc>
      </w:tr>
      <w:tr>
        <w:tc>
          <w:tcPr/>
          <w:p>
            <w:pPr>
              <w:pStyle w:val="Compact"/>
              <w:spacing w:line="240" w:lineRule="auto" w:after="40"/>
              <w:ind w:firstLine="0"/>
              <w:jc w:val="left"/>
            </w:pPr>
            <w:r>
              <w:rPr>
                <w:rFonts w:ascii="Times New Roman" w:hAnsi="Times New Roman"/>
                <w:sz w:val="19"/>
              </w:rPr>
              <w:t xml:space="preserve">Transportation and storage (H)</w:t>
            </w:r>
          </w:p>
        </w:tc>
        <w:tc>
          <w:tcPr/>
          <w:p>
            <w:pPr>
              <w:pStyle w:val="Compact"/>
              <w:spacing w:line="240" w:lineRule="auto" w:after="40"/>
              <w:ind w:firstLine="0"/>
              <w:jc w:val="right"/>
            </w:pPr>
            <w:r>
              <w:rPr>
                <w:rFonts w:ascii="Times New Roman" w:hAnsi="Times New Roman"/>
                <w:sz w:val="19"/>
              </w:rPr>
              <w:t xml:space="preserve">4.0</w:t>
            </w:r>
          </w:p>
        </w:tc>
        <w:tc>
          <w:tcPr/>
          <w:p>
            <w:pPr>
              <w:pStyle w:val="Compact"/>
              <w:spacing w:line="240" w:lineRule="auto" w:after="40"/>
              <w:ind w:firstLine="0"/>
              <w:jc w:val="right"/>
            </w:pPr>
            <w:r>
              <w:rPr>
                <w:rFonts w:ascii="Times New Roman" w:hAnsi="Times New Roman"/>
                <w:sz w:val="19"/>
              </w:rPr>
              <w:t xml:space="preserve">3.9</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survey on ICT usage in enterprises, indicators E_AI_TPVSG and E_AI_TNLG. The visual-generation indicator exists only for 2025 and is interpreted as acquisition (</w:t>
      </w:r>
      <m:oMath>
        <m:sSup>
          <m:e>
            <m:r>
              <m:t>A</m:t>
            </m:r>
          </m:e>
          <m:sup>
            <m:r>
              <m:t>u</m:t>
            </m:r>
          </m:sup>
        </m:sSup>
      </m:oMath>
      <w:r>
        <w:rPr>
          <w:rFonts w:ascii="Times New Roman" w:hAnsi="Times New Roman" w:eastAsia="Times New Roman" w:cs="Times New Roman"/>
        </w:rPr>
        <w:t xml:space="preserve">), not assimilation.</w:t>
      </w:r>
    </w:p>
    <w:bookmarkEnd w:id="40"/>
    <w:bookmarkStart w:id="41" w:name="X3987abe33d6ec8a85609fe7383eac026929fb85"/>
    <w:p>
      <w:pPr>
        <w:pStyle w:val="Heading3"/>
      </w:pPr>
      <w:r>
        <w:rPr>
          <w:rFonts w:ascii="Times New Roman" w:hAnsi="Times New Roman" w:eastAsia="Times New Roman" w:cs="Times New Roman"/>
        </w:rPr>
        <w:t xml:space="preserve">6.2 Reported Barriers Are Complements, Not Capability</w:t>
      </w:r>
    </w:p>
    <w:p>
      <w:pPr>
        <w:pStyle w:val="FirstParagraph"/>
        <w:spacing w:line="480" w:lineRule="auto" w:after="0" w:before="0"/>
        <w:ind w:firstLine="720"/>
        <w:jc w:val="left"/>
      </w:pPr>
      <w:r>
        <w:rPr>
          <w:rFonts w:ascii="Times New Roman" w:hAnsi="Times New Roman" w:eastAsia="Times New Roman" w:cs="Times New Roman"/>
        </w:rPr>
        <w:t xml:space="preserve">Among enterprises that considered AI and did not adopt it, 70.3 percent cite lack of relevant expertise, 53.6 percent unclear legal consequences, and 52.7 percent data protection and privacy (Table 3). Difficulties with data availability or quality are cited by 43.5 percent, incompatibility with existing systems by 41.6 percent, costs by 38.4 percent, and the view that AI is not useful by 17.8 percent. The pattern is similar across size classes: expertise is cited by 65 to 71 percent of considerers and lack of usefulness by 10 to 19 percent in each of the three classes. This is consistent with H1: firms that stopped short of acquisition describe the obstacle as a missing asset rather than as a tool that fails the task.</w:t>
      </w:r>
    </w:p>
    <w:p>
      <w:pPr>
        <w:pStyle w:val="BodyText"/>
        <w:spacing w:line="240" w:lineRule="auto" w:after="120" w:before="0"/>
        <w:ind w:firstLine="0"/>
        <w:jc w:val="left"/>
      </w:pPr>
      <w:r>
        <w:rPr>
          <w:bCs/>
          <w:rFonts w:ascii="Times New Roman" w:hAnsi="Times New Roman" w:eastAsia="Times New Roman" w:cs="Times New Roman"/>
          <w:b/>
        </w:rPr>
        <w:t xml:space="preserve">Table 3. Reasons for not using AI among enterprises that considered it, EU27, 2025</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Reason</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Percent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Interpretation in the model</w:t>
            </w:r>
          </w:p>
        </w:tc>
      </w:tr>
      <w:tr>
        <w:tc>
          <w:tcPr/>
          <w:p>
            <w:pPr>
              <w:pStyle w:val="Compact"/>
              <w:spacing w:line="240" w:lineRule="auto" w:after="40"/>
              <w:ind w:firstLine="0"/>
              <w:jc w:val="left"/>
            </w:pPr>
            <w:r>
              <w:rPr>
                <w:rFonts w:ascii="Times New Roman" w:hAnsi="Times New Roman"/>
                <w:sz w:val="19"/>
              </w:rPr>
              <w:t xml:space="preserve">Lack of relevant expertise</w:t>
            </w:r>
          </w:p>
        </w:tc>
        <w:tc>
          <w:tcPr/>
          <w:p>
            <w:pPr>
              <w:pStyle w:val="Compact"/>
              <w:spacing w:line="240" w:lineRule="auto" w:after="40"/>
              <w:ind w:firstLine="0"/>
              <w:jc w:val="right"/>
            </w:pPr>
            <w:r>
              <w:rPr>
                <w:rFonts w:ascii="Times New Roman" w:hAnsi="Times New Roman"/>
                <w:sz w:val="19"/>
              </w:rPr>
              <w:t xml:space="preserve">70.3</w:t>
            </w:r>
          </w:p>
        </w:tc>
        <w:tc>
          <w:tcPr/>
          <w:p>
            <w:pPr>
              <w:pStyle w:val="Compact"/>
              <w:spacing w:line="240" w:lineRule="auto" w:after="40"/>
              <w:ind w:firstLine="0"/>
              <w:jc w:val="left"/>
            </w:pPr>
            <w:r>
              <w:rPr>
                <w:rFonts w:ascii="Times New Roman" w:hAnsi="Times New Roman"/>
                <w:sz w:val="19"/>
              </w:rPr>
              <w:t xml:space="preserve">Expertise (</w:t>
            </w:r>
            <m:oMath>
              <m:sSup>
                <m:e>
                  <m:r>
                    <m:t>K</m:t>
                  </m:r>
                </m:e>
                <m:sup>
                  <m:r>
                    <m:t>E</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Unclear legal consequences</w:t>
            </w:r>
          </w:p>
        </w:tc>
        <w:tc>
          <w:tcPr/>
          <w:p>
            <w:pPr>
              <w:pStyle w:val="Compact"/>
              <w:spacing w:line="240" w:lineRule="auto" w:after="40"/>
              <w:ind w:firstLine="0"/>
              <w:jc w:val="right"/>
            </w:pPr>
            <w:r>
              <w:rPr>
                <w:rFonts w:ascii="Times New Roman" w:hAnsi="Times New Roman"/>
                <w:sz w:val="19"/>
              </w:rPr>
              <w:t xml:space="preserve">53.6</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protection and privacy</w:t>
            </w:r>
          </w:p>
        </w:tc>
        <w:tc>
          <w:tcPr/>
          <w:p>
            <w:pPr>
              <w:pStyle w:val="Compact"/>
              <w:spacing w:line="240" w:lineRule="auto" w:after="40"/>
              <w:ind w:firstLine="0"/>
              <w:jc w:val="right"/>
            </w:pPr>
            <w:r>
              <w:rPr>
                <w:rFonts w:ascii="Times New Roman" w:hAnsi="Times New Roman"/>
                <w:sz w:val="19"/>
              </w:rPr>
              <w:t xml:space="preserve">52.7</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availability or quality</w:t>
            </w:r>
          </w:p>
        </w:tc>
        <w:tc>
          <w:tcPr/>
          <w:p>
            <w:pPr>
              <w:pStyle w:val="Compact"/>
              <w:spacing w:line="240" w:lineRule="auto" w:after="40"/>
              <w:ind w:firstLine="0"/>
              <w:jc w:val="right"/>
            </w:pPr>
            <w:r>
              <w:rPr>
                <w:rFonts w:ascii="Times New Roman" w:hAnsi="Times New Roman"/>
                <w:sz w:val="19"/>
              </w:rPr>
              <w:t xml:space="preserve">43.5</w:t>
            </w:r>
          </w:p>
        </w:tc>
        <w:tc>
          <w:tcPr/>
          <w:p>
            <w:pPr>
              <w:pStyle w:val="Compact"/>
              <w:spacing w:line="240" w:lineRule="auto" w:after="40"/>
              <w:ind w:firstLine="0"/>
              <w:jc w:val="left"/>
            </w:pPr>
            <w:r>
              <w:rPr>
                <w:rFonts w:ascii="Times New Roman" w:hAnsi="Times New Roman"/>
                <w:sz w:val="19"/>
              </w:rPr>
              <w:t xml:space="preserve">Data complement</w:t>
            </w:r>
          </w:p>
        </w:tc>
      </w:tr>
      <w:tr>
        <w:tc>
          <w:tcPr/>
          <w:p>
            <w:pPr>
              <w:pStyle w:val="Compact"/>
              <w:spacing w:line="240" w:lineRule="auto" w:after="40"/>
              <w:ind w:firstLine="0"/>
              <w:jc w:val="left"/>
            </w:pPr>
            <w:r>
              <w:rPr>
                <w:rFonts w:ascii="Times New Roman" w:hAnsi="Times New Roman"/>
                <w:sz w:val="19"/>
              </w:rPr>
              <w:t xml:space="preserve">Incompatibility with existing systems</w:t>
            </w:r>
          </w:p>
        </w:tc>
        <w:tc>
          <w:tcPr/>
          <w:p>
            <w:pPr>
              <w:pStyle w:val="Compact"/>
              <w:spacing w:line="240" w:lineRule="auto" w:after="40"/>
              <w:ind w:firstLine="0"/>
              <w:jc w:val="right"/>
            </w:pPr>
            <w:r>
              <w:rPr>
                <w:rFonts w:ascii="Times New Roman" w:hAnsi="Times New Roman"/>
                <w:sz w:val="19"/>
              </w:rPr>
              <w:t xml:space="preserve">41.6</w:t>
            </w:r>
          </w:p>
        </w:tc>
        <w:tc>
          <w:tcPr/>
          <w:p>
            <w:pPr>
              <w:pStyle w:val="Compact"/>
              <w:spacing w:line="240" w:lineRule="auto" w:after="40"/>
              <w:ind w:firstLine="0"/>
              <w:jc w:val="left"/>
            </w:pPr>
            <w:r>
              <w:rPr>
                <w:rFonts w:ascii="Times New Roman" w:hAnsi="Times New Roman"/>
                <w:sz w:val="19"/>
              </w:rPr>
              <w:t xml:space="preserve">Technical complement</w:t>
            </w:r>
          </w:p>
        </w:tc>
      </w:tr>
      <w:tr>
        <w:tc>
          <w:tcPr/>
          <w:p>
            <w:pPr>
              <w:pStyle w:val="Compact"/>
              <w:spacing w:line="240" w:lineRule="auto" w:after="40"/>
              <w:ind w:firstLine="0"/>
              <w:jc w:val="left"/>
            </w:pPr>
            <w:r>
              <w:rPr>
                <w:rFonts w:ascii="Times New Roman" w:hAnsi="Times New Roman"/>
                <w:sz w:val="19"/>
              </w:rPr>
              <w:t xml:space="preserve">Costs seem too high</w:t>
            </w:r>
          </w:p>
        </w:tc>
        <w:tc>
          <w:tcPr/>
          <w:p>
            <w:pPr>
              <w:pStyle w:val="Compact"/>
              <w:spacing w:line="240" w:lineRule="auto" w:after="40"/>
              <w:ind w:firstLine="0"/>
              <w:jc w:val="right"/>
            </w:pPr>
            <w:r>
              <w:rPr>
                <w:rFonts w:ascii="Times New Roman" w:hAnsi="Times New Roman"/>
                <w:sz w:val="19"/>
              </w:rPr>
              <w:t xml:space="preserve">38.4</w:t>
            </w:r>
          </w:p>
        </w:tc>
        <w:tc>
          <w:tcPr/>
          <w:p>
            <w:pPr>
              <w:pStyle w:val="Compact"/>
              <w:spacing w:line="240" w:lineRule="auto" w:after="40"/>
              <w:ind w:firstLine="0"/>
              <w:jc w:val="left"/>
            </w:pPr>
            <w:r>
              <w:rPr>
                <w:rFonts w:ascii="Times New Roman" w:hAnsi="Times New Roman"/>
                <w:sz w:val="19"/>
              </w:rPr>
              <w:t xml:space="preserve">Fixed cost of complements or of the tool</w:t>
            </w:r>
          </w:p>
        </w:tc>
      </w:tr>
      <w:tr>
        <w:tc>
          <w:tcPr/>
          <w:p>
            <w:pPr>
              <w:pStyle w:val="Compact"/>
              <w:spacing w:line="240" w:lineRule="auto" w:after="40"/>
              <w:ind w:firstLine="0"/>
              <w:jc w:val="left"/>
            </w:pPr>
            <w:r>
              <w:rPr>
                <w:rFonts w:ascii="Times New Roman" w:hAnsi="Times New Roman"/>
                <w:sz w:val="19"/>
              </w:rPr>
              <w:t xml:space="preserve">Ethical considerations</w:t>
            </w:r>
          </w:p>
        </w:tc>
        <w:tc>
          <w:tcPr/>
          <w:p>
            <w:pPr>
              <w:pStyle w:val="Compact"/>
              <w:spacing w:line="240" w:lineRule="auto" w:after="40"/>
              <w:ind w:firstLine="0"/>
              <w:jc w:val="right"/>
            </w:pPr>
            <w:r>
              <w:rPr>
                <w:rFonts w:ascii="Times New Roman" w:hAnsi="Times New Roman"/>
                <w:sz w:val="19"/>
              </w:rPr>
              <w:t xml:space="preserve">24.6</w:t>
            </w:r>
          </w:p>
        </w:tc>
        <w:tc>
          <w:tcPr/>
          <w:p>
            <w:pPr>
              <w:pStyle w:val="Compact"/>
              <w:spacing w:line="240" w:lineRule="auto" w:after="40"/>
              <w:ind w:firstLine="0"/>
              <w:jc w:val="left"/>
            </w:pPr>
            <w:r>
              <w:rPr>
                <w:rFonts w:ascii="Times New Roman" w:hAnsi="Times New Roman"/>
                <w:sz w:val="19"/>
              </w:rPr>
              <w:t xml:space="preserve">Institutional complement</w:t>
            </w:r>
          </w:p>
        </w:tc>
      </w:tr>
      <w:tr>
        <w:tc>
          <w:tcPr/>
          <w:p>
            <w:pPr>
              <w:pStyle w:val="Compact"/>
              <w:spacing w:line="240" w:lineRule="auto" w:after="40"/>
              <w:ind w:firstLine="0"/>
              <w:jc w:val="left"/>
            </w:pPr>
            <w:r>
              <w:rPr>
                <w:rFonts w:ascii="Times New Roman" w:hAnsi="Times New Roman"/>
                <w:sz w:val="19"/>
              </w:rPr>
              <w:t xml:space="preserve">AI is not useful for the enterprise</w:t>
            </w:r>
          </w:p>
        </w:tc>
        <w:tc>
          <w:tcPr/>
          <w:p>
            <w:pPr>
              <w:pStyle w:val="Compact"/>
              <w:spacing w:line="240" w:lineRule="auto" w:after="40"/>
              <w:ind w:firstLine="0"/>
              <w:jc w:val="right"/>
            </w:pPr>
            <w:r>
              <w:rPr>
                <w:rFonts w:ascii="Times New Roman" w:hAnsi="Times New Roman"/>
                <w:sz w:val="19"/>
              </w:rPr>
              <w:t xml:space="preserve">17.8</w:t>
            </w:r>
          </w:p>
        </w:tc>
        <w:tc>
          <w:tcPr/>
          <w:p>
            <w:pPr>
              <w:pStyle w:val="Compact"/>
              <w:spacing w:line="240" w:lineRule="auto" w:after="40"/>
              <w:ind w:firstLine="0"/>
              <w:jc w:val="left"/>
            </w:pPr>
            <w:r>
              <w:rPr>
                <w:rFonts w:ascii="Times New Roman" w:hAnsi="Times New Roman"/>
                <w:sz w:val="19"/>
              </w:rPr>
              <w:t xml:space="preserve">Capability failure</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2025. Multiple answers allowed. Items refer to AI in general and are asked only of enterprises that considered AI.</w:t>
      </w:r>
    </w:p>
    <w:p>
      <w:pPr>
        <w:pStyle w:val="BodyText"/>
        <w:spacing w:line="480" w:lineRule="auto" w:after="0" w:before="0"/>
        <w:ind w:firstLine="720"/>
        <w:jc w:val="left"/>
      </w:pPr>
      <w:r>
        <w:rPr>
          <w:rFonts w:ascii="Times New Roman" w:hAnsi="Times New Roman" w:eastAsia="Times New Roman" w:cs="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pStyle w:val="BodyText"/>
        <w:spacing w:line="480" w:lineRule="auto" w:after="0" w:before="0"/>
        <w:ind w:firstLine="720"/>
        <w:jc w:val="left"/>
      </w:pPr>
      <w:r>
        <w:rPr>
          <w:rFonts w:ascii="Times New Roman" w:hAnsi="Times New Roman" w:eastAsia="Times New Roman" w:cs="Times New Roman"/>
        </w:rPr>
        <w:t xml:space="preserve">Cross-country patterns are descriptive. Across 23 countries, acquisition of visual generation is negatively correlated with the share of considerers citing costs (</w:t>
      </w:r>
      <m:oMath>
        <m:r>
          <m:t>r</m:t>
        </m:r>
        <m:r>
          <m:rPr>
            <m:sty m:val="p"/>
          </m:rPr>
          <m:t>=</m:t>
        </m:r>
        <m:r>
          <m:rPr>
            <m:sty m:val="p"/>
          </m:rPr>
          <m:t>−</m:t>
        </m:r>
        <m:r>
          <m:t>0.76</m:t>
        </m:r>
      </m:oMath>
      <w:r>
        <w:rPr>
          <w:rFonts w:ascii="Times New Roman" w:hAnsi="Times New Roman" w:eastAsia="Times New Roman" w:cs="Times New Roman"/>
        </w:rPr>
        <w:t xml:space="preserve">), weakly with unclear legal consequences (</w:t>
      </w:r>
      <m:oMath>
        <m:r>
          <m:t>r</m:t>
        </m:r>
        <m:r>
          <m:rPr>
            <m:sty m:val="p"/>
          </m:rPr>
          <m:t>=</m:t>
        </m:r>
        <m:r>
          <m:rPr>
            <m:sty m:val="p"/>
          </m:rPr>
          <m:t>−</m:t>
        </m:r>
        <m:r>
          <m:t>0.24</m:t>
        </m:r>
      </m:oMath>
      <w:r>
        <w:rPr>
          <w:rFonts w:ascii="Times New Roman" w:hAnsi="Times New Roman" w:eastAsia="Times New Roman" w:cs="Times New Roman"/>
        </w:rPr>
        <w:t xml:space="preserve">) and data protection (</w:t>
      </w:r>
      <m:oMath>
        <m:r>
          <m:t>r</m:t>
        </m:r>
        <m:r>
          <m:rPr>
            <m:sty m:val="p"/>
          </m:rPr>
          <m:t>=</m:t>
        </m:r>
        <m:r>
          <m:rPr>
            <m:sty m:val="p"/>
          </m:rPr>
          <m:t>−</m:t>
        </m:r>
        <m:r>
          <m:t>0.02</m:t>
        </m:r>
      </m:oMath>
      <w:r>
        <w:rPr>
          <w:rFonts w:ascii="Times New Roman" w:hAnsi="Times New Roman" w:eastAsia="Times New Roman" w:cs="Times New Roman"/>
        </w:rPr>
        <w:t xml:space="preserve">), and positively with missing expertise (</w:t>
      </w:r>
      <m:oMath>
        <m:r>
          <m:t>r</m:t>
        </m:r>
        <m:r>
          <m:rPr>
            <m:sty m:val="p"/>
          </m:rPr>
          <m:t>=</m:t>
        </m:r>
        <m:r>
          <m:t>0.46</m:t>
        </m:r>
      </m:oMath>
      <w:r>
        <w:rPr>
          <w:rFonts w:ascii="Times New Roman" w:hAnsi="Times New Roman" w:eastAsia="Times New Roman" w:cs="Times New Roman"/>
        </w:rPr>
        <w:t xml:space="preserve">),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defined as the employment-weighted mean of one-digit occupation exposure (pooled O*NET task scores, with 2022 Labour Force Survey employment by occupation and NACE section as weights), correlates 0.76 across nine EU27 sectors with visual-generation acquisition, but also with text-generation acquisition (0.75), image recognition (0.74), and use of any AI (0.82). In 222 country-sector cells with country fixed effects, a standard deviation of exposure is associated with higher acquisition of every AI type (6.0 percentage points for visual generation;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0.016 to 0.023). Exposure therefore identifies digitally intensive sectors rather than a specific propensity to acquire visual generators, which is a further reason not to read exposure gradients in hiring as effects of visual generation.</w:t>
      </w:r>
    </w:p>
    <w:bookmarkEnd w:id="41"/>
    <w:bookmarkEnd w:id="42"/>
    <w:bookmarkStart w:id="49" w:name="X0775f8330c9593e54d58f04a83b284a01583fa5"/>
    <w:p>
      <w:pPr>
        <w:pStyle w:val="Heading2"/>
      </w:pPr>
      <w:r>
        <w:rPr>
          <w:rFonts w:ascii="Times New Roman" w:hAnsi="Times New Roman" w:eastAsia="Times New Roman" w:cs="Times New Roman"/>
        </w:rPr>
        <w:t xml:space="preserve">7 Occupation-Level Hiring Through the Bound</w:t>
      </w:r>
    </w:p>
    <w:bookmarkStart w:id="43" w:name="exposure-gradients"/>
    <w:p>
      <w:pPr>
        <w:pStyle w:val="Heading3"/>
      </w:pPr>
      <w:r>
        <w:rPr>
          <w:rFonts w:ascii="Times New Roman" w:hAnsi="Times New Roman" w:eastAsia="Times New Roman" w:cs="Times New Roman"/>
        </w:rPr>
        <w:t xml:space="preserve">7.1 Exposure Gradients</w:t>
      </w:r>
    </w:p>
    <w:p>
      <w:pPr>
        <w:pStyle w:val="FirstParagraph"/>
        <w:spacing w:line="480" w:lineRule="auto" w:after="0" w:before="0"/>
        <w:ind w:firstLine="720"/>
        <w:jc w:val="left"/>
      </w:pPr>
      <w:r>
        <w:rPr>
          <w:rFonts w:ascii="Times New Roman" w:hAnsi="Times New Roman" w:eastAsia="Times New Roman" w:cs="Times New Roman"/>
        </w:rPr>
        <w:t xml:space="preserve">For each country-occupation cell in 16 European countries we regress the change in log online adverts relative to 2022 on standardized visual-creation exposure and standardized language-model exposure, separately for each year, with country fixed effects and standard errors clustered by ISCO occupation (Table 4).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permute exposure across occupations. A standard deviation of exposure is associated with 2.2 percent fewer adverts in 2023 (standard error 0.7, randomization</w:t>
      </w:r>
      <w:r>
        <w:rPr>
          <w:rFonts w:ascii="Times New Roman" w:hAnsi="Times New Roman" w:eastAsia="Times New Roman" w:cs="Times New Roman"/>
        </w:rPr>
        <w:t xml:space="preserve"> </w:t>
      </w:r>
      <m:oMath>
        <m:r>
          <m:t>p</m:t>
        </m:r>
        <m:r>
          <m:rPr>
            <m:sty m:val="p"/>
          </m:rPr>
          <m:t>=</m:t>
        </m:r>
        <m:r>
          <m:t>0.012</m:t>
        </m:r>
      </m:oMath>
      <w:r>
        <w:rPr>
          <w:rFonts w:ascii="Times New Roman" w:hAnsi="Times New Roman" w:eastAsia="Times New Roman" w:cs="Times New Roman"/>
        </w:rPr>
        <w:t xml:space="preserve">) and 2.9 percent fewer in 2024 (standard error 1.8,</w:t>
      </w:r>
      <w:r>
        <w:rPr>
          <w:rFonts w:ascii="Times New Roman" w:hAnsi="Times New Roman" w:eastAsia="Times New Roman" w:cs="Times New Roman"/>
        </w:rPr>
        <w:t xml:space="preserve"> </w:t>
      </w:r>
      <m:oMath>
        <m:r>
          <m:t>p</m:t>
        </m:r>
        <m:r>
          <m:rPr>
            <m:sty m:val="p"/>
          </m:rPr>
          <m:t>=</m:t>
        </m:r>
        <m:r>
          <m:t>0.080</m:t>
        </m:r>
      </m:oMath>
      <w:r>
        <w:rPr>
          <w:rFonts w:ascii="Times New Roman" w:hAnsi="Times New Roman" w:eastAsia="Times New Roman" w:cs="Times New Roman"/>
        </w:rPr>
        <w:t xml:space="preserve">). Without the language control the estimates are</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because exposure to visual content creation and exposure to language models are positively correlated across occupations (0.12).</w:t>
      </w:r>
    </w:p>
    <w:p>
      <w:pPr>
        <w:pStyle w:val="BodyText"/>
        <w:spacing w:line="240" w:lineRule="auto" w:after="120" w:before="0"/>
        <w:ind w:firstLine="0"/>
        <w:jc w:val="left"/>
      </w:pPr>
      <w:r>
        <w:rPr>
          <w:bCs/>
          <w:rFonts w:ascii="Times New Roman" w:hAnsi="Times New Roman" w:eastAsia="Times New Roman" w:cs="Times New Roman"/>
          <w:b/>
        </w:rPr>
        <w:t xml:space="preserve">Table 4. Europe: change in log adverts per standard deviation of visual-creation exposure, relative to 2022</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pP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2019</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2020</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2021</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2023</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2024</w:t>
            </w:r>
          </w:p>
        </w:tc>
      </w:tr>
      <w:tr>
        <w:tc>
          <w:tcPr/>
          <w:p>
            <w:pPr>
              <w:pStyle w:val="Compact"/>
              <w:spacing w:line="240" w:lineRule="auto" w:after="40"/>
              <w:ind w:firstLine="0"/>
              <w:jc w:val="left"/>
            </w:pPr>
            <w:r>
              <w:rPr>
                <w:rFonts w:ascii="Times New Roman" w:hAnsi="Times New Roman"/>
                <w:sz w:val="19"/>
              </w:rPr>
              <w:t xml:space="preserve">Preferred (country FE, language-model control)</w:t>
            </w:r>
          </w:p>
        </w:tc>
        <w:tc>
          <w:tcPr/>
          <w:p>
            <w:pPr>
              <w:pStyle w:val="Compact"/>
              <w:spacing w:line="240" w:lineRule="auto" w:after="40"/>
              <w:ind w:firstLine="0"/>
              <w:jc w:val="right"/>
            </w:pPr>
            <w:r>
              <w:rPr>
                <w:rFonts w:ascii="Times New Roman" w:hAnsi="Times New Roman"/>
                <w:sz w:val="19"/>
              </w:rPr>
              <w:t xml:space="preserve">+0.024 (0.015)</w:t>
            </w:r>
          </w:p>
        </w:tc>
        <w:tc>
          <w:tcPr/>
          <w:p>
            <w:pPr>
              <w:pStyle w:val="Compact"/>
              <w:spacing w:line="240" w:lineRule="auto" w:after="40"/>
              <w:ind w:firstLine="0"/>
              <w:jc w:val="right"/>
            </w:pPr>
            <w:r>
              <w:rPr>
                <w:rFonts w:ascii="Times New Roman" w:hAnsi="Times New Roman"/>
                <w:sz w:val="19"/>
              </w:rPr>
              <w:t xml:space="preserve">+0.010 (0.015)</w:t>
            </w:r>
          </w:p>
        </w:tc>
        <w:tc>
          <w:tcPr/>
          <w:p>
            <w:pPr>
              <w:pStyle w:val="Compact"/>
              <w:spacing w:line="240" w:lineRule="auto" w:after="40"/>
              <w:ind w:firstLine="0"/>
              <w:jc w:val="right"/>
            </w:pPr>
            <w:r>
              <w:rPr>
                <w:rFonts w:ascii="Times New Roman" w:hAnsi="Times New Roman"/>
                <w:sz w:val="19"/>
              </w:rPr>
              <w:t xml:space="preserve">+0.014 (0.009)</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−0.029 (0.018)</w:t>
            </w:r>
          </w:p>
        </w:tc>
      </w:tr>
      <w:tr>
        <w:tc>
          <w:tcPr/>
          <w:p>
            <w:pPr>
              <w:pStyle w:val="Compact"/>
              <w:spacing w:line="240" w:lineRule="auto" w:after="40"/>
              <w:ind w:firstLine="0"/>
              <w:jc w:val="left"/>
            </w:pPr>
            <w:r>
              <w:rPr>
                <w:rFonts w:ascii="Times New Roman" w:hAnsi="Times New Roman"/>
                <w:sz w:val="19"/>
              </w:rPr>
              <w:t xml:space="preserve">No language-model control</w:t>
            </w:r>
          </w:p>
        </w:tc>
        <w:tc>
          <w:tcPr/>
          <w:p>
            <w:pPr>
              <w:pStyle w:val="Compact"/>
              <w:spacing w:line="240" w:lineRule="auto" w:after="40"/>
              <w:ind w:firstLine="0"/>
              <w:jc w:val="right"/>
            </w:pPr>
            <w:r>
              <w:rPr>
                <w:rFonts w:ascii="Times New Roman" w:hAnsi="Times New Roman"/>
                <w:sz w:val="19"/>
              </w:rPr>
              <w:t xml:space="preserve">+0.014 (0.015)</w:t>
            </w:r>
          </w:p>
        </w:tc>
        <w:tc>
          <w:tcPr/>
          <w:p>
            <w:pPr>
              <w:pStyle w:val="Compact"/>
              <w:spacing w:line="240" w:lineRule="auto" w:after="40"/>
              <w:ind w:firstLine="0"/>
              <w:jc w:val="right"/>
            </w:pPr>
            <w:r>
              <w:rPr>
                <w:rFonts w:ascii="Times New Roman" w:hAnsi="Times New Roman"/>
                <w:sz w:val="19"/>
              </w:rPr>
              <w:t xml:space="preserve">+0.002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−0.034 (0.008)</w:t>
            </w:r>
          </w:p>
        </w:tc>
        <w:tc>
          <w:tcPr/>
          <w:p>
            <w:pPr>
              <w:pStyle w:val="Compact"/>
              <w:spacing w:line="240" w:lineRule="auto" w:after="40"/>
              <w:ind w:firstLine="0"/>
              <w:jc w:val="right"/>
            </w:pPr>
            <w:r>
              <w:rPr>
                <w:rFonts w:ascii="Times New Roman" w:hAnsi="Times New Roman"/>
                <w:sz w:val="19"/>
              </w:rPr>
              <w:t xml:space="preserve">−0.055 (0.020)</w:t>
            </w:r>
          </w:p>
        </w:tc>
      </w:tr>
      <w:tr>
        <w:tc>
          <w:tcPr/>
          <w:p>
            <w:pPr>
              <w:pStyle w:val="Compact"/>
              <w:spacing w:line="240" w:lineRule="auto" w:after="40"/>
              <w:ind w:firstLine="0"/>
              <w:jc w:val="left"/>
            </w:pPr>
            <w:r>
              <w:rPr>
                <w:rFonts w:ascii="Times New Roman" w:hAnsi="Times New Roman"/>
                <w:sz w:val="19"/>
              </w:rPr>
              <w:t xml:space="preserve">Deviation from linear pre-trend (preferred)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−0.017 (0.012)</w:t>
            </w:r>
          </w:p>
        </w:tc>
        <w:tc>
          <w:tcPr/>
          <w:p>
            <w:pPr>
              <w:pStyle w:val="Compact"/>
              <w:spacing w:line="240" w:lineRule="auto" w:after="40"/>
              <w:ind w:firstLine="0"/>
              <w:jc w:val="right"/>
            </w:pPr>
            <w:r>
              <w:rPr>
                <w:rFonts w:ascii="Times New Roman" w:hAnsi="Times New Roman"/>
                <w:sz w:val="19"/>
              </w:rPr>
              <w:t xml:space="preserve">−0.017 (0.029)</w:t>
            </w:r>
          </w:p>
        </w:tc>
      </w:tr>
      <w:tr>
        <w:tc>
          <w:tcPr/>
          <w:p>
            <w:pPr>
              <w:pStyle w:val="Compact"/>
              <w:spacing w:line="240" w:lineRule="auto" w:after="40"/>
              <w:ind w:firstLine="0"/>
              <w:jc w:val="left"/>
            </w:pPr>
            <w:r>
              <w:rPr>
                <w:rFonts w:ascii="Times New Roman" w:hAnsi="Times New Roman"/>
                <w:sz w:val="19"/>
              </w:rPr>
              <w:t xml:space="preserve">Randomization</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(preferred)</w:t>
            </w:r>
          </w:p>
        </w:tc>
        <w:tc>
          <w:tcPr/>
          <w:p>
            <w:pPr>
              <w:pStyle w:val="Compact"/>
              <w:spacing w:line="240" w:lineRule="auto" w:after="40"/>
              <w:ind w:firstLine="0"/>
              <w:jc w:val="right"/>
            </w:pPr>
            <w:r>
              <w:rPr>
                <w:rFonts w:ascii="Times New Roman" w:hAnsi="Times New Roman"/>
                <w:sz w:val="19"/>
              </w:rPr>
              <w:t xml:space="preserve">0.126</w:t>
            </w:r>
          </w:p>
        </w:tc>
        <w:tc>
          <w:tcPr/>
          <w:p>
            <w:pPr>
              <w:pStyle w:val="Compact"/>
              <w:spacing w:line="240" w:lineRule="auto" w:after="40"/>
              <w:ind w:firstLine="0"/>
              <w:jc w:val="right"/>
            </w:pPr>
            <w:r>
              <w:rPr>
                <w:rFonts w:ascii="Times New Roman" w:hAnsi="Times New Roman"/>
                <w:sz w:val="19"/>
              </w:rPr>
              <w:t xml:space="preserve">0.595</w:t>
            </w:r>
          </w:p>
        </w:tc>
        <w:tc>
          <w:tcPr/>
          <w:p>
            <w:pPr>
              <w:pStyle w:val="Compact"/>
              <w:spacing w:line="240" w:lineRule="auto" w:after="40"/>
              <w:ind w:firstLine="0"/>
              <w:jc w:val="right"/>
            </w:pPr>
            <w:r>
              <w:rPr>
                <w:rFonts w:ascii="Times New Roman" w:hAnsi="Times New Roman"/>
                <w:sz w:val="19"/>
              </w:rPr>
              <w:t xml:space="preserve">0.166</w:t>
            </w:r>
          </w:p>
        </w:tc>
        <w:tc>
          <w:tcPr/>
          <w:p>
            <w:pPr>
              <w:pStyle w:val="Compact"/>
              <w:spacing w:line="240" w:lineRule="auto" w:after="40"/>
              <w:ind w:firstLine="0"/>
              <w:jc w:val="right"/>
            </w:pPr>
            <w:r>
              <w:rPr>
                <w:rFonts w:ascii="Times New Roman" w:hAnsi="Times New Roman"/>
                <w:sz w:val="19"/>
              </w:rPr>
              <w:t xml:space="preserve">0.012</w:t>
            </w:r>
          </w:p>
        </w:tc>
        <w:tc>
          <w:tcPr/>
          <w:p>
            <w:pPr>
              <w:pStyle w:val="Compact"/>
              <w:spacing w:line="240" w:lineRule="auto" w:after="40"/>
              <w:ind w:firstLine="0"/>
              <w:jc w:val="right"/>
            </w:pPr>
            <w:r>
              <w:rPr>
                <w:rFonts w:ascii="Times New Roman" w:hAnsi="Times New Roman"/>
                <w:sz w:val="19"/>
              </w:rPr>
              <w:t xml:space="preserve">0.080</w:t>
            </w:r>
          </w:p>
        </w:tc>
      </w:tr>
      <w:tr>
        <w:tc>
          <w:tcPr/>
          <w:p>
            <w:pPr>
              <w:pStyle w:val="Compact"/>
              <w:spacing w:line="240" w:lineRule="auto" w:after="40"/>
              <w:ind w:firstLine="0"/>
              <w:jc w:val="left"/>
            </w:pPr>
            <w:r>
              <w:rPr>
                <w:rFonts w:ascii="Times New Roman" w:hAnsi="Times New Roman"/>
                <w:sz w:val="19"/>
              </w:rPr>
              <w:t xml:space="preserve">Minimum detectable effect (preferred)</w:t>
            </w:r>
          </w:p>
        </w:tc>
        <w:tc>
          <w:tcPr/>
          <w:p>
            <w:pPr>
              <w:pStyle w:val="Compact"/>
              <w:spacing w:line="240" w:lineRule="auto" w:after="40"/>
              <w:ind w:firstLine="0"/>
              <w:jc w:val="right"/>
            </w:pPr>
            <w:r>
              <w:rPr>
                <w:rFonts w:ascii="Times New Roman" w:hAnsi="Times New Roman"/>
                <w:sz w:val="19"/>
              </w:rPr>
              <w:t xml:space="preserve">0.041</w:t>
            </w:r>
          </w:p>
        </w:tc>
        <w:tc>
          <w:tcPr/>
          <w:p>
            <w:pPr>
              <w:pStyle w:val="Compact"/>
              <w:spacing w:line="240" w:lineRule="auto" w:after="40"/>
              <w:ind w:firstLine="0"/>
              <w:jc w:val="right"/>
            </w:pPr>
            <w:r>
              <w:rPr>
                <w:rFonts w:ascii="Times New Roman" w:hAnsi="Times New Roman"/>
                <w:sz w:val="19"/>
              </w:rPr>
              <w:t xml:space="preserve">0.042</w:t>
            </w:r>
          </w:p>
        </w:tc>
        <w:tc>
          <w:tcPr/>
          <w:p>
            <w:pPr>
              <w:pStyle w:val="Compact"/>
              <w:spacing w:line="240" w:lineRule="auto" w:after="40"/>
              <w:ind w:firstLine="0"/>
              <w:jc w:val="right"/>
            </w:pPr>
            <w:r>
              <w:rPr>
                <w:rFonts w:ascii="Times New Roman" w:hAnsi="Times New Roman"/>
                <w:sz w:val="19"/>
              </w:rPr>
              <w:t xml:space="preserve">0.025</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0.050</w:t>
            </w:r>
          </w:p>
        </w:tc>
      </w:tr>
      <w:tr>
        <w:tc>
          <w:tcPr/>
          <w:p>
            <w:pPr>
              <w:pStyle w:val="Compact"/>
              <w:spacing w:line="240" w:lineRule="auto" w:after="40"/>
              <w:ind w:firstLine="0"/>
              <w:jc w:val="left"/>
            </w:pPr>
            <w:r>
              <w:rPr>
                <w:rFonts w:ascii="Times New Roman" w:hAnsi="Times New Roman"/>
                <w:sz w:val="19"/>
              </w:rPr>
              <w:t xml:space="preserve">Second scorer (preferred)</w:t>
            </w:r>
          </w:p>
        </w:tc>
        <w:tc>
          <w:tcPr/>
          <w:p>
            <w:pPr>
              <w:pStyle w:val="Compact"/>
              <w:spacing w:line="240" w:lineRule="auto" w:after="40"/>
              <w:ind w:firstLine="0"/>
              <w:jc w:val="right"/>
            </w:pPr>
            <w:r>
              <w:rPr>
                <w:rFonts w:ascii="Times New Roman" w:hAnsi="Times New Roman"/>
                <w:sz w:val="19"/>
              </w:rPr>
              <w:t xml:space="preserve">+0.023 (0.015)</w:t>
            </w:r>
          </w:p>
        </w:tc>
        <w:tc>
          <w:tcPr/>
          <w:p>
            <w:pPr>
              <w:pStyle w:val="Compact"/>
              <w:spacing w:line="240" w:lineRule="auto" w:after="40"/>
              <w:ind w:firstLine="0"/>
              <w:jc w:val="right"/>
            </w:pPr>
            <w:r>
              <w:rPr>
                <w:rFonts w:ascii="Times New Roman" w:hAnsi="Times New Roman"/>
                <w:sz w:val="19"/>
              </w:rPr>
              <w:t xml:space="preserve">+0.004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−0.025 (0.007)</w:t>
            </w:r>
          </w:p>
        </w:tc>
        <w:tc>
          <w:tcPr/>
          <w:p>
            <w:pPr>
              <w:pStyle w:val="Compact"/>
              <w:spacing w:line="240" w:lineRule="auto" w:after="40"/>
              <w:ind w:firstLine="0"/>
              <w:jc w:val="right"/>
            </w:pPr>
            <w:r>
              <w:rPr>
                <w:rFonts w:ascii="Times New Roman" w:hAnsi="Times New Roman"/>
                <w:sz w:val="19"/>
              </w:rPr>
              <w:t xml:space="preserve">−0.032 (0.017)</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604 country-occupation cells (96 occupations, 16 countries); separate regressions by year with country fixed effects; standard errors clustered by ISCO three-digit occupation in parentheses.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come from 5,000 permutations of exposure across occupations. Minimum detectable effect = 2.8 × standard error (two-sided 5 percent test, 80 percent power). The deviation row fits a linear trend to the 2019–2021 coefficients and the 2022 base year (zero by construction) in a joint model with year-specific slopes, and reports the deviation of the 2023 and 2024 coefficients from its extrapolation; the fitted slope is</w:t>
      </w:r>
      <w:r>
        <w:rPr>
          <w:rFonts w:ascii="Times New Roman" w:hAnsi="Times New Roman" w:eastAsia="Times New Roman" w:cs="Times New Roman"/>
        </w:rPr>
        <w:t xml:space="preserve"> </w:t>
      </w:r>
      <m:oMath>
        <m:r>
          <m:rPr>
            <m:sty m:val="p"/>
          </m:rPr>
          <m:t>−</m:t>
        </m:r>
        <m:r>
          <m:t>0.0069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0.0056). The last row uses scores from a second model for both exposure measures.</w:t>
      </w:r>
    </w:p>
    <w:p>
      <w:pPr>
        <w:pStyle w:val="BodyText"/>
        <w:spacing w:line="480" w:lineRule="auto" w:after="0" w:before="0"/>
        <w:ind w:firstLine="720"/>
        <w:jc w:val="left"/>
      </w:pPr>
      <w:r>
        <w:rPr>
          <w:rFonts w:ascii="Times New Roman" w:hAnsi="Times New Roman" w:eastAsia="Times New Roman" w:cs="Times New Roman"/>
        </w:rPr>
        <w:t xml:space="preserve">The coefficients before 2022 are positive (+0.024, +0.010, and +0.014 for 2019, 2020, and 2021). Because the outcome is the change in adverts relative to 2022, a positive coefficient means that exposed occupations had more adverts in those years than in 2022, that is, they were already declining relative to others before generative tools were released. The trend is weak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0.006) and rests on four points, but it runs in the same direction as the post-2022 coefficients. Relative to its extrapolation, the 2023 and 2024 coefficients are</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and</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(0.029). The series has only two post-2022 years. In Canada, across 312 NOC unit groups with fixed effects for NOC two-digit groups and heteroskedasticity-robust standard errors, the coefficient is</w:t>
      </w:r>
      <w:r>
        <w:rPr>
          <w:rFonts w:ascii="Times New Roman" w:hAnsi="Times New Roman" w:eastAsia="Times New Roman" w:cs="Times New Roman"/>
        </w:rPr>
        <w:t xml:space="preserve"> </w:t>
      </w:r>
      <m:oMath>
        <m:r>
          <m:rPr>
            <m:sty m:val="p"/>
          </m:rPr>
          <m:t>−</m:t>
        </m:r>
        <m:r>
          <m:t>2.9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2023 (standard error 1.3, randomization</w:t>
      </w:r>
      <w:r>
        <w:rPr>
          <w:rFonts w:ascii="Times New Roman" w:hAnsi="Times New Roman" w:eastAsia="Times New Roman" w:cs="Times New Roman"/>
        </w:rPr>
        <w:t xml:space="preserve"> </w:t>
      </w:r>
      <m:oMath>
        <m:r>
          <m:t>p</m:t>
        </m:r>
        <m:r>
          <m:rPr>
            <m:sty m:val="p"/>
          </m:rPr>
          <m:t>=</m:t>
        </m:r>
        <m:r>
          <m:t>0.13</m:t>
        </m:r>
      </m:oMath>
      <w:r>
        <w:rPr>
          <w:rFonts w:ascii="Times New Roman" w:hAnsi="Times New Roman" w:eastAsia="Times New Roman" w:cs="Times New Roman"/>
        </w:rPr>
        <w:t xml:space="preserve">) and indistinguishable from zero afterward (</w:t>
      </w:r>
      <m:oMath>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0.7</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2024, 2025, and the first half of 2026, with standard errors of 3.3, 2.2, and 4.3), in a market where total vacancies fell 47 percent between 2022 and 2025–2026.</w:t>
      </w:r>
    </w:p>
    <w:bookmarkEnd w:id="43"/>
    <w:bookmarkStart w:id="44" w:name="applying-the-bound"/>
    <w:p>
      <w:pPr>
        <w:pStyle w:val="Heading3"/>
      </w:pPr>
      <w:r>
        <w:rPr>
          <w:rFonts w:ascii="Times New Roman" w:hAnsi="Times New Roman" w:eastAsia="Times New Roman" w:cs="Times New Roman"/>
        </w:rPr>
        <w:t xml:space="preserve">7.2 Applying the Bound</w:t>
      </w:r>
    </w:p>
    <w:p>
      <w:pPr>
        <w:pStyle w:val="FirstParagraph"/>
        <w:spacing w:line="480" w:lineRule="auto" w:after="0" w:before="0"/>
        <w:ind w:firstLine="720"/>
        <w:jc w:val="left"/>
      </w:pPr>
      <w:r>
        <w:rPr>
          <w:rFonts w:ascii="Times New Roman" w:hAnsi="Times New Roman" w:eastAsia="Times New Roman" w:cs="Times New Roman"/>
        </w:rPr>
        <w:t xml:space="preserve">In the European exposure distribution the most exposed occupations are architects, planners, surveyors, and designers (ISCO 216, which includes graphic designers, 5.3 standard deviations above the mean) and creative and performing artists (ISCO 265, 4.4 standard deviations). We set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the larger value and therefore the one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pStyle w:val="BodyText"/>
        <w:spacing w:line="240" w:lineRule="auto" w:after="120" w:before="0"/>
        <w:ind w:firstLine="0"/>
        <w:jc w:val="left"/>
      </w:pPr>
      <w:r>
        <w:rPr>
          <w:bCs/>
          <w:rFonts w:ascii="Times New Roman" w:hAnsi="Times New Roman" w:eastAsia="Times New Roman" w:cs="Times New Roman"/>
          <w:b/>
        </w:rPr>
        <w:t xml:space="preserve">Table 5. Coefficient per standard deviation implied by complete assimilation (</w:t>
      </w:r>
      <m:oMath>
        <m:sSup>
          <m:e>
            <m:r>
              <m:t>A</m:t>
            </m:r>
          </m:e>
          <m:sup>
            <m:r>
              <m:t>a</m:t>
            </m:r>
          </m:sup>
        </m:sSup>
        <m:r>
          <m:rPr>
            <m:sty m:val="p"/>
          </m:rPr>
          <m:t>=</m:t>
        </m:r>
        <m:sSup>
          <m:e>
            <m:r>
              <m:t>A</m:t>
            </m:r>
          </m:e>
          <m:sup>
            <m:r>
              <m:t>u</m:t>
            </m:r>
          </m:sup>
        </m:sSup>
      </m:oMath>
      <w:r>
        <w:rPr>
          <w:bCs/>
          <w:rFonts w:ascii="Times New Roman" w:hAnsi="Times New Roman" w:eastAsia="Times New Roman" w:cs="Times New Roman"/>
          <w:b/>
        </w:rPr>
        <w:t xml:space="preserve">), Europe,</w:t>
      </w:r>
      <w:r>
        <w:rPr>
          <w:bCs/>
          <w:rFonts w:ascii="Times New Roman" w:hAnsi="Times New Roman" w:eastAsia="Times New Roman" w:cs="Times New Roman"/>
          <w:b/>
        </w:rPr>
        <w:t xml:space="preserve"> </w:t>
      </w:r>
      <m:oMath>
        <m:r>
          <m:t>k</m:t>
        </m:r>
        <m:r>
          <m:rPr>
            <m:sty m:val="p"/>
          </m:rPr>
          <m:t>=</m:t>
        </m:r>
        <m:r>
          <m:t>5.3</m:t>
        </m:r>
      </m:oMath>
    </w:p>
    <w:p>
      <w:pPr>
        <w:pStyle w:val="BodyText"/>
        <w:spacing w:line="240" w:lineRule="auto" w:after="120" w:before="0"/>
        <w:ind w:firstLine="0"/>
        <w:jc w:val="left"/>
      </w:pPr>
      <w:r>
        <w:rPr>
          <w:iCs/>
          <w:rFonts w:ascii="Times New Roman" w:hAnsi="Times New Roman" w:eastAsia="Times New Roman" w:cs="Times New Roman"/>
          <w:i/>
        </w:rPr>
        <w:t xml:space="preserve">Panel A. Implied coefficients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980"/>
        <w:gridCol w:w="1980"/>
        <w:gridCol w:w="1980"/>
        <w:gridCol w:w="198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rate</w:t>
            </w:r>
            <w:r>
              <w:rPr>
                <w:rFonts w:ascii="Times New Roman" w:hAnsi="Times New Roman"/>
                <w:b/>
                <w:sz w:val="19"/>
              </w:rPr>
              <w:t xml:space="preserve"> </w:t>
            </w:r>
            <m:oMath>
              <m:sSup>
                <m:e>
                  <m:r>
                    <m:t>A</m:t>
                  </m:r>
                </m:e>
                <m:sup>
                  <m:r>
                    <m:t>u</m:t>
                  </m:r>
                </m:sup>
              </m:sSup>
            </m:oMath>
          </w:p>
        </w:tc>
        <w:tc>
          <w:tcPr>
            <w:tcBorders>
              <w:bottom w:val="single" w:sz="6" w:color="000000"/>
            </w:tcBorders>
          </w:tcPr>
          <w:p>
            <w:pPr>
              <w:pStyle w:val="Compact"/>
              <w:spacing w:line="240" w:lineRule="auto" w:after="40"/>
              <w:ind w:firstLine="0"/>
              <w:jc w:val="right"/>
            </w:pPr>
            <m:oMath>
              <m:r>
                <m:t>β</m:t>
              </m:r>
              <m:r>
                <m:rPr>
                  <m:sty m:val="p"/>
                </m:rPr>
                <m:t>=</m:t>
              </m:r>
              <m:r>
                <m:rPr>
                  <m:sty m:val="p"/>
                </m:rPr>
                <m:t>−</m:t>
              </m:r>
              <m:r>
                <m:t>0.19</m:t>
              </m:r>
            </m:oMath>
            <w:r>
              <w:rPr>
                <w:rFonts w:ascii="Times New Roman" w:hAnsi="Times New Roman"/>
                <w:b/>
                <w:sz w:val="19"/>
              </w:rPr>
              <w:t xml:space="preserve"> </w:t>
            </w:r>
            <w:r>
              <w:rPr>
                <w:rFonts w:ascii="Times New Roman" w:hAnsi="Times New Roman"/>
                <w:b/>
                <w:sz w:val="19"/>
              </w:rPr>
              <w:t xml:space="preserve">(platform)</w:t>
            </w:r>
          </w:p>
        </w:tc>
        <w:tc>
          <w:tcPr>
            <w:tcBorders>
              <w:bottom w:val="single" w:sz="6" w:color="000000"/>
            </w:tcBorders>
          </w:tcPr>
          <w:p>
            <w:pPr>
              <w:pStyle w:val="Compact"/>
              <w:spacing w:line="240" w:lineRule="auto" w:after="40"/>
              <w:ind w:firstLine="0"/>
              <w:jc w:val="right"/>
            </w:pPr>
            <m:oMath>
              <m:r>
                <m:t>β</m:t>
              </m:r>
              <m:r>
                <m:rPr>
                  <m:sty m:val="p"/>
                </m:rPr>
                <m:t>=</m:t>
              </m:r>
              <m:r>
                <m:rPr>
                  <m:sty m:val="p"/>
                </m:rPr>
                <m:t>−</m:t>
              </m:r>
              <m:r>
                <m:t>0.50</m:t>
              </m:r>
            </m:oMath>
            <w:r>
              <w:rPr>
                <w:rFonts w:ascii="Times New Roman" w:hAnsi="Times New Roman"/>
                <w:b/>
                <w:sz w:val="19"/>
              </w:rPr>
              <w:t xml:space="preserve"> </w:t>
            </w:r>
            <w:r>
              <w:rPr>
                <w:rFonts w:ascii="Times New Roman" w:hAnsi="Times New Roman"/>
                <w:b/>
                <w:sz w:val="19"/>
              </w:rPr>
              <w:t xml:space="preserve">(aggressive)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Implied log change, most exposed occupation (</w:t>
            </w:r>
            <m:oMath>
              <m:r>
                <m:t>β</m:t>
              </m:r>
              <m:r>
                <m:rPr>
                  <m:sty m:val="p"/>
                </m:rPr>
                <m:t>=</m:t>
              </m:r>
              <m:r>
                <m:rPr>
                  <m:sty m:val="p"/>
                </m:rPr>
                <m:t>−</m:t>
              </m:r>
              <m:r>
                <m:t>0.50</m:t>
              </m:r>
            </m:oMath>
            <w:r>
              <w:rPr>
                <w:rFonts w:ascii="Times New Roman" w:hAnsi="Times New Roman"/>
                <w:b/>
                <w:sz w:val="19"/>
              </w:rPr>
              <w:t xml:space="preserve">)</w:t>
            </w:r>
          </w:p>
        </w:tc>
      </w:tr>
      <w:tr>
        <w:tc>
          <w:tcPr/>
          <w:p>
            <w:pPr>
              <w:pStyle w:val="Compact"/>
              <w:spacing w:line="240" w:lineRule="auto" w:after="40"/>
              <w:ind w:firstLine="0"/>
              <w:jc w:val="left"/>
            </w:pPr>
            <w:r>
              <w:rPr>
                <w:rFonts w:ascii="Times New Roman" w:hAnsi="Times New Roman"/>
                <w:sz w:val="19"/>
              </w:rPr>
              <w:t xml:space="preserve">9.6% (EU, all firms)</w:t>
            </w:r>
          </w:p>
        </w:tc>
        <w:tc>
          <w:tcPr/>
          <w:p>
            <w:pPr>
              <w:pStyle w:val="Compact"/>
              <w:spacing w:line="240" w:lineRule="auto" w:after="40"/>
              <w:ind w:firstLine="0"/>
              <w:jc w:val="right"/>
            </w:pPr>
            <w:r>
              <w:rPr>
                <w:rFonts w:ascii="Times New Roman" w:hAnsi="Times New Roman"/>
                <w:sz w:val="19"/>
              </w:rPr>
              <w:t xml:space="preserve">−0.003</w:t>
            </w:r>
          </w:p>
        </w:tc>
        <w:tc>
          <w:tcPr/>
          <w:p>
            <w:pPr>
              <w:pStyle w:val="Compact"/>
              <w:spacing w:line="240" w:lineRule="auto" w:after="40"/>
              <w:ind w:firstLine="0"/>
              <w:jc w:val="right"/>
            </w:pPr>
            <w:r>
              <w:rPr>
                <w:rFonts w:ascii="Times New Roman" w:hAnsi="Times New Roman"/>
                <w:sz w:val="19"/>
              </w:rPr>
              <w:t xml:space="preserve">−0.009</w:t>
            </w:r>
          </w:p>
        </w:tc>
        <w:tc>
          <w:tcPr/>
          <w:p>
            <w:pPr>
              <w:pStyle w:val="Compact"/>
              <w:spacing w:line="240" w:lineRule="auto" w:after="40"/>
              <w:ind w:firstLine="0"/>
              <w:jc w:val="right"/>
            </w:pPr>
            <w:r>
              <w:rPr>
                <w:rFonts w:ascii="Times New Roman" w:hAnsi="Times New Roman"/>
                <w:sz w:val="19"/>
              </w:rPr>
              <w:t xml:space="preserve">−0.048</w:t>
            </w:r>
          </w:p>
        </w:tc>
      </w:tr>
      <w:tr>
        <w:tc>
          <w:tcPr/>
          <w:p>
            <w:pPr>
              <w:pStyle w:val="Compact"/>
              <w:spacing w:line="240" w:lineRule="auto" w:after="40"/>
              <w:ind w:firstLine="0"/>
              <w:jc w:val="left"/>
            </w:pPr>
            <w:r>
              <w:rPr>
                <w:rFonts w:ascii="Times New Roman" w:hAnsi="Times New Roman"/>
                <w:sz w:val="19"/>
              </w:rPr>
              <w:t xml:space="preserve">36.2% (publishing, film, broadcasting)</w:t>
            </w:r>
          </w:p>
        </w:tc>
        <w:tc>
          <w:tcPr/>
          <w:p>
            <w:pPr>
              <w:pStyle w:val="Compact"/>
              <w:spacing w:line="240" w:lineRule="auto" w:after="40"/>
              <w:ind w:firstLine="0"/>
              <w:jc w:val="right"/>
            </w:pPr>
            <w:r>
              <w:rPr>
                <w:rFonts w:ascii="Times New Roman" w:hAnsi="Times New Roman"/>
                <w:sz w:val="19"/>
              </w:rPr>
              <w:t xml:space="preserve">−0.013</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−0.181</w:t>
            </w:r>
          </w:p>
        </w:tc>
      </w:tr>
      <w:tr>
        <w:tc>
          <w:tcPr/>
          <w:p>
            <w:pPr>
              <w:pStyle w:val="Compact"/>
              <w:spacing w:line="240" w:lineRule="auto" w:after="40"/>
              <w:ind w:firstLine="0"/>
              <w:jc w:val="left"/>
            </w:pPr>
            <w:r>
              <w:rPr>
                <w:rFonts w:ascii="Times New Roman" w:hAnsi="Times New Roman"/>
                <w:sz w:val="19"/>
              </w:rPr>
              <w:t xml:space="preserve">2.1% (text generation 2023, proxy for early acquisition)</w:t>
            </w:r>
          </w:p>
        </w:tc>
        <w:tc>
          <w:tcPr/>
          <w:p>
            <w:pPr>
              <w:pStyle w:val="Compact"/>
              <w:spacing w:line="240" w:lineRule="auto" w:after="40"/>
              <w:ind w:firstLine="0"/>
              <w:jc w:val="right"/>
            </w:pPr>
            <w:r>
              <w:rPr>
                <w:rFonts w:ascii="Times New Roman" w:hAnsi="Times New Roman"/>
                <w:sz w:val="19"/>
              </w:rPr>
              <w:t xml:space="preserve">−0.001</w:t>
            </w:r>
          </w:p>
        </w:tc>
        <w:tc>
          <w:tcPr/>
          <w:p>
            <w:pPr>
              <w:pStyle w:val="Compact"/>
              <w:spacing w:line="240" w:lineRule="auto" w:after="40"/>
              <w:ind w:firstLine="0"/>
              <w:jc w:val="right"/>
            </w:pPr>
            <w:r>
              <w:rPr>
                <w:rFonts w:ascii="Times New Roman" w:hAnsi="Times New Roman"/>
                <w:sz w:val="19"/>
              </w:rPr>
              <w:t xml:space="preserve">−0.002</w:t>
            </w:r>
          </w:p>
        </w:tc>
        <w:tc>
          <w:tcPr/>
          <w:p>
            <w:pPr>
              <w:pStyle w:val="Compact"/>
              <w:spacing w:line="240" w:lineRule="auto" w:after="40"/>
              <w:ind w:firstLine="0"/>
              <w:jc w:val="right"/>
            </w:pPr>
            <w:r>
              <w:rPr>
                <w:rFonts w:ascii="Times New Roman" w:hAnsi="Times New Roman"/>
                <w:sz w:val="19"/>
              </w:rPr>
              <w:t xml:space="preserve">−0.011</w:t>
            </w:r>
          </w:p>
        </w:tc>
      </w:tr>
    </w:tbl>
    <w:p>
      <w:pPr>
        <w:pStyle w:val="BodyText"/>
        <w:spacing w:line="240" w:lineRule="auto" w:after="120" w:before="0"/>
        <w:ind w:firstLine="0"/>
        <w:jc w:val="left"/>
      </w:pPr>
      <w:r>
        <w:rPr>
          <w:iCs/>
          <w:rFonts w:ascii="Times New Roman" w:hAnsi="Times New Roman" w:eastAsia="Times New Roman" w:cs="Times New Roman"/>
          <w:i/>
        </w:rPr>
        <w:t xml:space="preserve">Panel B. Observed coefficients and detectability</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Year</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preferred (SE)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no language-model control</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Minimum detectable effect</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MDE</w:t>
            </w:r>
            <w:r>
              <w:rPr>
                <w:rFonts w:ascii="Times New Roman" w:hAnsi="Times New Roman"/>
                <w:b/>
                <w:sz w:val="19"/>
              </w:rPr>
              <w:t xml:space="preserve"> </w:t>
            </w:r>
            <m:oMath>
              <m:r>
                <m:rPr>
                  <m:sty m:val="p"/>
                </m:rPr>
                <m:t>×</m:t>
              </m:r>
              <m:r>
                <m:t>k</m:t>
              </m:r>
            </m:oMath>
            <w:r>
              <w:rPr>
                <w:rFonts w:ascii="Times New Roman" w:hAnsi="Times New Roman"/>
                <w:b/>
                <w:sz w:val="19"/>
              </w:rPr>
              <w:t xml:space="preserve"> </w:t>
            </w:r>
            <w:r>
              <w:rPr>
                <w:rFonts w:ascii="Times New Roman" w:hAnsi="Times New Roman"/>
                <w:b/>
                <w:sz w:val="19"/>
              </w:rPr>
              <w:t xml:space="preserve">(log change)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w:t>
            </w:r>
            <w:r>
              <w:rPr>
                <w:rFonts w:ascii="Times New Roman" w:hAnsi="Times New Roman"/>
                <w:b/>
                <w:sz w:val="19"/>
              </w:rPr>
              <w:t xml:space="preserve"> </w:t>
            </w:r>
            <m:oMath>
              <m:r>
                <m:rPr>
                  <m:sty m:val="p"/>
                </m:rPr>
                <m:t>×</m:t>
              </m:r>
              <m:r>
                <m:t>k</m:t>
              </m:r>
            </m:oMath>
            <w:r>
              <w:rPr>
                <w:rFonts w:ascii="Times New Roman" w:hAnsi="Times New Roman"/>
                <w:b/>
                <w:sz w:val="19"/>
              </w:rPr>
              <w:t xml:space="preserve">, preferred</w:t>
            </w:r>
          </w:p>
        </w:tc>
      </w:tr>
      <w:tr>
        <w:tc>
          <w:tcPr/>
          <w:p>
            <w:pPr>
              <w:pStyle w:val="Compact"/>
              <w:spacing w:line="240" w:lineRule="auto" w:after="40"/>
              <w:ind w:firstLine="0"/>
              <w:jc w:val="left"/>
            </w:pPr>
            <w:r>
              <w:rPr>
                <w:rFonts w:ascii="Times New Roman" w:hAnsi="Times New Roman"/>
                <w:sz w:val="19"/>
              </w:rPr>
              <w:t xml:space="preserve">2023</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0.10</w:t>
            </w:r>
          </w:p>
        </w:tc>
        <w:tc>
          <w:tcPr/>
          <w:p>
            <w:pPr>
              <w:pStyle w:val="Compact"/>
              <w:spacing w:line="240" w:lineRule="auto" w:after="40"/>
              <w:ind w:firstLine="0"/>
              <w:jc w:val="right"/>
            </w:pPr>
            <w:r>
              <w:rPr>
                <w:rFonts w:ascii="Times New Roman" w:hAnsi="Times New Roman"/>
                <w:sz w:val="19"/>
              </w:rPr>
              <w:t xml:space="preserve">−0.12</w:t>
            </w:r>
          </w:p>
        </w:tc>
      </w:tr>
      <w:tr>
        <w:tc>
          <w:tcPr/>
          <w:p>
            <w:pPr>
              <w:pStyle w:val="Compact"/>
              <w:spacing w:line="240" w:lineRule="auto" w:after="40"/>
              <w:ind w:firstLine="0"/>
              <w:jc w:val="left"/>
            </w:pPr>
            <w:r>
              <w:rPr>
                <w:rFonts w:ascii="Times New Roman" w:hAnsi="Times New Roman"/>
                <w:sz w:val="19"/>
              </w:rPr>
              <w:t xml:space="preserve">2024</w:t>
            </w:r>
          </w:p>
        </w:tc>
        <w:tc>
          <w:tcPr/>
          <w:p>
            <w:pPr>
              <w:pStyle w:val="Compact"/>
              <w:spacing w:line="240" w:lineRule="auto" w:after="40"/>
              <w:ind w:firstLine="0"/>
              <w:jc w:val="right"/>
            </w:pPr>
            <w:r>
              <w:rPr>
                <w:rFonts w:ascii="Times New Roman" w:hAnsi="Times New Roman"/>
                <w:sz w:val="19"/>
              </w:rPr>
              <w:t xml:space="preserve">−0.029 (0.018)</w:t>
            </w:r>
          </w:p>
        </w:tc>
        <w:tc>
          <w:tcPr/>
          <w:p>
            <w:pPr>
              <w:pStyle w:val="Compact"/>
              <w:spacing w:line="240" w:lineRule="auto" w:after="40"/>
              <w:ind w:firstLine="0"/>
              <w:jc w:val="right"/>
            </w:pPr>
            <w:r>
              <w:rPr>
                <w:rFonts w:ascii="Times New Roman" w:hAnsi="Times New Roman"/>
                <w:sz w:val="19"/>
              </w:rPr>
              <w:t xml:space="preserve">−0.055</w:t>
            </w:r>
          </w:p>
        </w:tc>
        <w:tc>
          <w:tcPr/>
          <w:p>
            <w:pPr>
              <w:pStyle w:val="Compact"/>
              <w:spacing w:line="240" w:lineRule="auto" w:after="40"/>
              <w:ind w:firstLine="0"/>
              <w:jc w:val="right"/>
            </w:pPr>
            <w:r>
              <w:rPr>
                <w:rFonts w:ascii="Times New Roman" w:hAnsi="Times New Roman"/>
                <w:sz w:val="19"/>
              </w:rPr>
              <w:t xml:space="preserve">0.050</w:t>
            </w:r>
          </w:p>
        </w:tc>
        <w:tc>
          <w:tcPr/>
          <w:p>
            <w:pPr>
              <w:pStyle w:val="Compact"/>
              <w:spacing w:line="240" w:lineRule="auto" w:after="40"/>
              <w:ind w:firstLine="0"/>
              <w:jc w:val="right"/>
            </w:pPr>
            <w:r>
              <w:rPr>
                <w:rFonts w:ascii="Times New Roman" w:hAnsi="Times New Roman"/>
                <w:sz w:val="19"/>
              </w:rPr>
              <w:t xml:space="preserve">0.27</w:t>
            </w:r>
          </w:p>
        </w:tc>
        <w:tc>
          <w:tcPr/>
          <w:p>
            <w:pPr>
              <w:pStyle w:val="Compact"/>
              <w:spacing w:line="240" w:lineRule="auto" w:after="40"/>
              <w:ind w:firstLine="0"/>
              <w:jc w:val="right"/>
            </w:pPr>
            <w:r>
              <w:rPr>
                <w:rFonts w:ascii="Times New Roman" w:hAnsi="Times New Roman"/>
                <w:sz w:val="19"/>
              </w:rPr>
              <w:t xml:space="preserve">−0.15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rPr>
            <m:sty m:val="p"/>
          </m:rPr>
          <m:t>⋅</m:t>
        </m:r>
        <m:r>
          <m:t>β</m:t>
        </m:r>
        <m:r>
          <m:rPr>
            <m:sty m:val="p"/>
          </m:rPr>
          <m:t>/</m:t>
        </m:r>
        <m:r>
          <m:t>k</m:t>
        </m:r>
      </m:oMath>
      <w:r>
        <w:rPr>
          <w:rFonts w:ascii="Times New Roman" w:hAnsi="Times New Roman" w:eastAsia="Times New Roman" w:cs="Times New Roman"/>
        </w:rPr>
        <w:t xml:space="preserve">. The upper bound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maximizes the implied response; any assimilation gap makes it smaller. Acquisition rates: Eurostat 2025 (all enterprises; publishing, film, television, and music) and Eurostat 2023 text generation as a proxy for early acquisition. The last column of Panel A and the last two columns of Panel B express the coefficients on the scale of the most exposed occupation. The no-language-control estimate multiplied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0.29</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2024.</w:t>
      </w:r>
    </w:p>
    <w:p>
      <w:pPr>
        <w:pStyle w:val="BodyText"/>
        <w:spacing w:line="480" w:lineRule="auto" w:after="0" w:before="0"/>
        <w:ind w:firstLine="720"/>
        <w:jc w:val="left"/>
      </w:pPr>
      <w:r>
        <w:rPr>
          <w:rFonts w:ascii="Times New Roman" w:hAnsi="Times New Roman" w:eastAsia="Times New Roman" w:cs="Times New Roman"/>
        </w:rPr>
        <w:t xml:space="preserve">Two results follow. First, every complete-assimilation scenario for 2024 implies a coefficient below the minimum detectable effect of 0.050. The largest,</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requires a 39 percent fall among assimilating employers in a sector where 36 percent have acquired the tool, and assimilation by all of them. Under rule (i), the 2024 European estimate is uninformative about whether acquisition has been assimilated. The preferred estimate of</w:t>
      </w:r>
      <w:r>
        <w:rPr>
          <w:rFonts w:ascii="Times New Roman" w:hAnsi="Times New Roman" w:eastAsia="Times New Roman" w:cs="Times New Roman"/>
        </w:rPr>
        <w:t xml:space="preserve"> </w:t>
      </w:r>
      <m:oMath>
        <m:r>
          <m:rPr>
            <m:sty m:val="p"/>
          </m:rPr>
          <m:t>−</m:t>
        </m:r>
        <m:r>
          <m:t>0.029</m:t>
        </m:r>
      </m:oMath>
      <w:r>
        <w:rPr>
          <w:rFonts w:ascii="Times New Roman" w:hAnsi="Times New Roman" w:eastAsia="Times New Roman" w:cs="Times New Roman"/>
        </w:rPr>
        <w:t xml:space="preserve"> </w:t>
      </w:r>
      <w:r>
        <w:rPr>
          <w:rFonts w:ascii="Times New Roman" w:hAnsi="Times New Roman" w:eastAsia="Times New Roman" w:cs="Times New Roman"/>
        </w:rPr>
        <w:t xml:space="preserve">is larger in magnitude than the economy-wide scenarios (</w:t>
      </w:r>
      <m:oMath>
        <m:r>
          <m:rPr>
            <m:sty m:val="p"/>
          </m:rPr>
          <m:t>−</m:t>
        </m:r>
        <m:r>
          <m:t>0.003</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but its 95 percent confidence interval (</w:t>
      </w:r>
      <m:oMath>
        <m:r>
          <m:rPr>
            <m:sty m:val="p"/>
          </m:rPr>
          <m:t>−</m:t>
        </m:r>
        <m:r>
          <m:t>0.064</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0.006</m:t>
        </m:r>
      </m:oMath>
      <w:r>
        <w:rPr>
          <w:rFonts w:ascii="Times New Roman" w:hAnsi="Times New Roman" w:eastAsia="Times New Roman" w:cs="Times New Roman"/>
        </w:rPr>
        <w:t xml:space="preserve">) contains zero and every scenario in Table 5, so it supports neither the gap nor substitution. The estimate without the language control (</w:t>
      </w:r>
      <m:oMath>
        <m:r>
          <m:rPr>
            <m:sty m:val="p"/>
          </m:rPr>
          <m:t>−</m:t>
        </m:r>
        <m:r>
          <m:t>0.055</m:t>
        </m:r>
      </m:oMath>
      <w:r>
        <w:rPr>
          <w:rFonts w:ascii="Times New Roman" w:hAnsi="Times New Roman" w:eastAsia="Times New Roman" w:cs="Times New Roman"/>
        </w:rPr>
        <w:t xml:space="preserve">) is larger than any scenario, but it is not significantly larger than</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0.034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1.1</m:t>
        </m:r>
      </m:oMath>
      <w:r>
        <w:rPr>
          <w:rFonts w:ascii="Times New Roman" w:hAnsi="Times New Roman" w:eastAsia="Times New Roman" w:cs="Times New Roman"/>
        </w:rPr>
        <w:t xml:space="preserve">) and, as the difference between the specifications shows, partly reflects exposure to language models.</w:t>
      </w:r>
    </w:p>
    <w:p>
      <w:pPr>
        <w:pStyle w:val="BodyText"/>
        <w:spacing w:line="480" w:lineRule="auto" w:after="0" w:before="0"/>
        <w:ind w:firstLine="720"/>
        <w:jc w:val="left"/>
      </w:pPr>
      <w:r>
        <w:rPr>
          <w:rFonts w:ascii="Times New Roman" w:hAnsi="Times New Roman" w:eastAsia="Times New Roman" w:cs="Times New Roman"/>
        </w:rPr>
        <w:t xml:space="preserve">Second, the 2023 estimate has more power (minimum detectable effect 0.019). Text-generation acquisition stood at 2.1 percent in 2023. If acquisition of visual generators was similarly low,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implies a coefficient of about</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and the observed</w:t>
      </w:r>
      <w:r>
        <w:rPr>
          <w:rFonts w:ascii="Times New Roman" w:hAnsi="Times New Roman" w:eastAsia="Times New Roman" w:cs="Times New Roman"/>
        </w:rPr>
        <w:t xml:space="preserve"> </w:t>
      </w:r>
      <m:oMath>
        <m:r>
          <m:rPr>
            <m:sty m:val="p"/>
          </m:rPr>
          <m:t>−</m:t>
        </m:r>
        <m:r>
          <m:t>0.022</m:t>
        </m:r>
      </m:oMath>
      <w:r>
        <w:rPr>
          <w:rFonts w:ascii="Times New Roman" w:hAnsi="Times New Roman" w:eastAsia="Times New Roman" w:cs="Times New Roman"/>
        </w:rPr>
        <w:t xml:space="preserve"> </w:t>
      </w:r>
      <w:r>
        <w:rPr>
          <w:rFonts w:ascii="Times New Roman" w:hAnsi="Times New Roman" w:eastAsia="Times New Roman" w:cs="Times New Roman"/>
        </w:rPr>
        <w:t xml:space="preserve">differs from it significantly (</w:t>
      </w:r>
      <m:oMath>
        <m:r>
          <m:t>z</m:t>
        </m:r>
        <m:r>
          <m:rPr>
            <m:sty m:val="p"/>
          </m:rPr>
          <m:t>=</m:t>
        </m:r>
        <m:r>
          <m:t>2.9</m:t>
        </m:r>
      </m:oMath>
      <w:r>
        <w:rPr>
          <w:rFonts w:ascii="Times New Roman" w:hAnsi="Times New Roman" w:eastAsia="Times New Roman" w:cs="Times New Roman"/>
        </w:rPr>
        <w:t xml:space="preserve">); if acquisition had already reached its 2025 level, the implied coefficient would be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the difference would be borderline (</w:t>
      </w:r>
      <m:oMath>
        <m:r>
          <m:t>z</m:t>
        </m:r>
        <m:r>
          <m:rPr>
            <m:sty m:val="p"/>
          </m:rPr>
          <m:t>≈</m:t>
        </m:r>
        <m:r>
          <m:t>1.9</m:t>
        </m:r>
      </m:oMath>
      <w:r>
        <w:rPr>
          <w:rFonts w:ascii="Times New Roman" w:hAnsi="Times New Roman" w:eastAsia="Times New Roman" w:cs="Times New Roman"/>
        </w:rPr>
        <w:t xml:space="preserve">). The 2023 gradient therefore cannot be dismissed as too small to matter, but neither can it be attributed to generative visual AI. Exposed occupations were already declining relative to others before 2022 (the 2019 coefficient is</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and relative to the extrapolated trend the 2023 gradient is</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 difference we cannot distinguish from zero. The trend is itself imprecise, so we cannot rule out that part of the 2023 gradient reflects the technology. Under rule (iii) we classify the gradient as not attributable to generative visual AI on these data.</w:t>
      </w:r>
    </w:p>
    <w:p>
      <w:pPr>
        <w:pStyle w:val="BodyText"/>
        <w:spacing w:line="480" w:lineRule="auto" w:after="0" w:before="0"/>
        <w:ind w:firstLine="720"/>
        <w:jc w:val="left"/>
      </w:pPr>
      <w:r>
        <w:rPr>
          <w:rFonts w:ascii="Times New Roman" w:hAnsi="Times New Roman" w:eastAsia="Times New Roman" w:cs="Times New Roman"/>
        </w:rPr>
        <w:t xml:space="preserve">The Canadian series has standard errors of 0.013 to 0.043 per standard deviation after 2022, so its minimum detectable effect is about 0.04 to 0.12 per standard deviation. For the most exposed unit group, 7.1 standard deviations above the mean, this corresponds to a log change of about 0.25 to 0.85. The Canadian series is therefore uninformative about assimilation at any plausible acquisition rate, and its first-year coefficient, which does not persist, leads to the same classification.</w:t>
      </w:r>
    </w:p>
    <w:bookmarkEnd w:id="44"/>
    <w:bookmarkStart w:id="45" w:name="employment-where-acquisition-is-highest"/>
    <w:p>
      <w:pPr>
        <w:pStyle w:val="Heading3"/>
      </w:pPr>
      <w:r>
        <w:rPr>
          <w:rFonts w:ascii="Times New Roman" w:hAnsi="Times New Roman" w:eastAsia="Times New Roman" w:cs="Times New Roman"/>
        </w:rPr>
        <w:t xml:space="preserve">7.3 Employment Where Acquisition Is Highest</w:t>
      </w:r>
    </w:p>
    <w:p>
      <w:pPr>
        <w:pStyle w:val="FirstParagraph"/>
        <w:spacing w:line="480" w:lineRule="auto" w:after="0" w:before="0"/>
        <w:ind w:firstLine="720"/>
        <w:jc w:val="left"/>
      </w:pPr>
      <w:r>
        <w:rPr>
          <w:rFonts w:ascii="Times New Roman" w:hAnsi="Times New Roman" w:eastAsia="Times New Roman" w:cs="Times New Roman"/>
        </w:rPr>
        <w:t xml:space="preserve">European Labour Force Survey employment in motion picture and video production (NACE 59), advertising and market research (73), and other professional, scientific, and technical activities including design and photography (74) rose between 2019–2021 and 2023–2025 by 0.13, 0.11, and 0.15 log points, against a median of 0.04 across 89 industries; these three creative industries gained 0.09 log points relative to other industries (randomization</w:t>
      </w:r>
      <w:r>
        <w:rPr>
          <w:rFonts w:ascii="Times New Roman" w:hAnsi="Times New Roman" w:eastAsia="Times New Roman" w:cs="Times New Roman"/>
        </w:rPr>
        <w:t xml:space="preserve"> </w:t>
      </w:r>
      <m:oMath>
        <m:r>
          <m:t>p</m:t>
        </m:r>
        <m:r>
          <m:rPr>
            <m:sty m:val="p"/>
          </m:rPr>
          <m:t>=</m:t>
        </m:r>
        <m:r>
          <m:t>0.18</m:t>
        </m:r>
      </m:oMath>
      <w:r>
        <w:rPr>
          <w:rFonts w:ascii="Times New Roman" w:hAnsi="Times New Roman" w:eastAsia="Times New Roman" w:cs="Times New Roman"/>
        </w:rPr>
        <w:t xml:space="preserve">). In the United States, Indeed postings in arts and entertainment, media and communications, and marketing fell by 0.44, 0.63, and 0.62 log points between 2022 and 2023–2025, against a median of</w:t>
      </w:r>
      <w:r>
        <w:rPr>
          <w:rFonts w:ascii="Times New Roman" w:hAnsi="Times New Roman" w:eastAsia="Times New Roman" w:cs="Times New Roman"/>
        </w:rPr>
        <w:t xml:space="preserve"> </w:t>
      </w:r>
      <m:oMath>
        <m:r>
          <m:rPr>
            <m:sty m:val="p"/>
          </m:rPr>
          <m:t>−</m:t>
        </m:r>
        <m:r>
          <m:t>0.27</m:t>
        </m:r>
      </m:oMath>
      <w:r>
        <w:rPr>
          <w:rFonts w:ascii="Times New Roman" w:hAnsi="Times New Roman" w:eastAsia="Times New Roman" w:cs="Times New Roman"/>
        </w:rPr>
        <w:t xml:space="preserve"> </w:t>
      </w:r>
      <w:r>
        <w:rPr>
          <w:rFonts w:ascii="Times New Roman" w:hAnsi="Times New Roman" w:eastAsia="Times New Roman" w:cs="Times New Roman"/>
        </w:rPr>
        <w:t xml:space="preserve">across 47 sectors, but postings for software development and for data and analytics fell by 0.96 and 0.86, and four of the five sectors had risen by more than the median sector between 2020 and 2022 (descriptive only).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21 sections; these groups are dominated by occupations other than visual production, and two-digit occupation data (legal, social, and cultural professionals, +0.09, against a median of 0.02 across two-digit occupations) are too coarse to isolate designers or artists. Neither series isolates visual generation, and both are consistent with every account in Table 1 other than large and rapid net substitution.</w:t>
      </w:r>
    </w:p>
    <w:bookmarkEnd w:id="45"/>
    <w:bookmarkStart w:id="46" w:name="acquisition-interaction-in-europe"/>
    <w:p>
      <w:pPr>
        <w:pStyle w:val="Heading3"/>
      </w:pPr>
      <w:r>
        <w:rPr>
          <w:rFonts w:ascii="Times New Roman" w:hAnsi="Times New Roman" w:eastAsia="Times New Roman" w:cs="Times New Roman"/>
        </w:rPr>
        <w:t xml:space="preserve">7.4 Acquisition Interaction in Europe</w:t>
      </w:r>
    </w:p>
    <w:p>
      <w:pPr>
        <w:pStyle w:val="FirstParagraph"/>
        <w:spacing w:line="480" w:lineRule="auto" w:after="0" w:before="0"/>
        <w:ind w:firstLine="720"/>
        <w:jc w:val="left"/>
      </w:pPr>
      <w:r>
        <w:rPr>
          <w:rFonts w:ascii="Times New Roman" w:hAnsi="Times New Roman" w:eastAsia="Times New Roman" w:cs="Times New Roman"/>
        </w:rPr>
        <w:t xml:space="preserve">A European dose-response test interacts occupational exposure with country-level acquisition of picture, video, or audio generation in 2025 (Eurostat, 2026), which is available for all 16 countries in the sample; language-model exposure and its interaction enter as controls. Complete assimilation predicts a steeper exposure gradient where acquisition is higher, whereas the gap and offsetting-scale accounts predict no such interaction. The interaction coefficient per standard deviation of acquisition (4.8 percentage points)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0.006) in 2023 and</w:t>
      </w:r>
      <w:r>
        <w:rPr>
          <w:rFonts w:ascii="Times New Roman" w:hAnsi="Times New Roman" w:eastAsia="Times New Roman" w:cs="Times New Roman"/>
        </w:rPr>
        <w:t xml:space="preserve"> </w:t>
      </w:r>
      <m:oMath>
        <m:r>
          <m:rPr>
            <m:sty m:val="p"/>
          </m:rPr>
          <m:t>−</m:t>
        </m:r>
        <m:r>
          <m:t>0.021</m:t>
        </m:r>
      </m:oMath>
      <w:r>
        <w:rPr>
          <w:rFonts w:ascii="Times New Roman" w:hAnsi="Times New Roman" w:eastAsia="Times New Roman" w:cs="Times New Roman"/>
        </w:rPr>
        <w:t xml:space="preserve"> </w:t>
      </w:r>
      <w:r>
        <w:rPr>
          <w:rFonts w:ascii="Times New Roman" w:hAnsi="Times New Roman" w:eastAsia="Times New Roman" w:cs="Times New Roman"/>
        </w:rPr>
        <w:t xml:space="preserve">(0.018) in 2024;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across countries are 0.85 and 0.36. In 2021, before the base year, it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(0.008;</w:t>
      </w:r>
      <w:r>
        <w:rPr>
          <w:rFonts w:ascii="Times New Roman" w:hAnsi="Times New Roman" w:eastAsia="Times New Roman" w:cs="Times New Roman"/>
        </w:rPr>
        <w:t xml:space="preserve"> </w:t>
      </w:r>
      <m:oMath>
        <m:r>
          <m:t>p</m:t>
        </m:r>
        <m:r>
          <m:rPr>
            <m:sty m:val="p"/>
          </m:rPr>
          <m:t>=</m:t>
        </m:r>
        <m:r>
          <m:t>0.83</m:t>
        </m:r>
      </m:oMath>
      <w:r>
        <w:rPr>
          <w:rFonts w:ascii="Times New Roman" w:hAnsi="Times New Roman" w:eastAsia="Times New Roman" w:cs="Times New Roman"/>
        </w:rPr>
        <w:t xml:space="preserve">).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predicts an interaction of only about</w:t>
      </w:r>
      <w:r>
        <w:rPr>
          <w:rFonts w:ascii="Times New Roman" w:hAnsi="Times New Roman" w:eastAsia="Times New Roman" w:cs="Times New Roman"/>
        </w:rPr>
        <w:t xml:space="preserve"> </w:t>
      </w:r>
      <m:oMath>
        <m:r>
          <m:rPr>
            <m:sty m:val="p"/>
          </m:rPr>
          <m:t>−</m:t>
        </m:r>
        <m:r>
          <m:t>0.005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0.5</m:t>
        </m:r>
        <m:r>
          <m:rPr>
            <m:sty m:val="p"/>
          </m:rPr>
          <m:t>×</m:t>
        </m:r>
        <m:r>
          <m:t>0.048</m:t>
        </m:r>
        <m:r>
          <m:rPr>
            <m:sty m:val="p"/>
          </m:rPr>
          <m:t>/</m:t>
        </m:r>
        <m:r>
          <m:t>5.3</m:t>
        </m:r>
      </m:oMath>
      <w:r>
        <w:rPr>
          <w:rFonts w:ascii="Times New Roman" w:hAnsi="Times New Roman" w:eastAsia="Times New Roman" w:cs="Times New Roman"/>
        </w:rPr>
        <w:t xml:space="preserve">), far smaller than the 2024 standard error, so the test cannot discriminate among the accounts. Acquisition is measured in 2025, after the outcomes. We report the test because it is the only one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bookmarkEnd w:id="46"/>
    <w:bookmarkStart w:id="47" w:name="sector-level-acquisition-and-employment"/>
    <w:p>
      <w:pPr>
        <w:pStyle w:val="Heading3"/>
      </w:pPr>
      <w:r>
        <w:rPr>
          <w:rFonts w:ascii="Times New Roman" w:hAnsi="Times New Roman" w:eastAsia="Times New Roman" w:cs="Times New Roman"/>
        </w:rPr>
        <w:t xml:space="preserve">7.5 Sector-Level Acquisition and Employment</w:t>
      </w:r>
    </w:p>
    <w:p>
      <w:pPr>
        <w:pStyle w:val="FirstParagraph"/>
        <w:spacing w:line="480" w:lineRule="auto" w:after="0" w:before="0"/>
        <w:ind w:firstLine="720"/>
        <w:jc w:val="left"/>
      </w:pPr>
      <w:r>
        <w:rPr>
          <w:rFonts w:ascii="Times New Roman" w:hAnsi="Times New Roman" w:eastAsia="Times New Roman" w:cs="Times New Roman"/>
        </w:rPr>
        <w:t xml:space="preserve">Firm-level links between use and hiring are not public, so we use sectors as the nearest proxy. In 258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(heteroskedasticity-robust standard error 0.009). The same relationship holds before the technology: for 2016–2018 to 2019–2021 the coefficient is 0.049 (0.006), and the difference between the two periods is 0.002 (0.010). Acquisition is not a separate signal here, because it correlates 0.92 with acquisition of text generation and 0.95 with use of any AI across cells; adding the text-generation control leaves a post-minus-pre difference of 0.041 (0.030), which is imprecise because of this collinearity.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would imply a coefficient of about</w:t>
      </w:r>
      <w:r>
        <w:rPr>
          <w:rFonts w:ascii="Times New Roman" w:hAnsi="Times New Roman" w:eastAsia="Times New Roman" w:cs="Times New Roman"/>
        </w:rPr>
        <w:t xml:space="preserve"> </w:t>
      </w:r>
      <m:oMath>
        <m:r>
          <m:rPr>
            <m:sty m:val="p"/>
          </m:rPr>
          <m:t>−</m:t>
        </m:r>
        <m:r>
          <m:t>0.053</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the share of sector employment in visual-production occupations, per standard deviation of acquisition. Because</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bookmarkEnd w:id="47"/>
    <w:bookmarkStart w:id="48" w:name="evidence-from-job-advert-text"/>
    <w:p>
      <w:pPr>
        <w:pStyle w:val="Heading3"/>
      </w:pPr>
      <w:r>
        <w:rPr>
          <w:rFonts w:ascii="Times New Roman" w:hAnsi="Times New Roman" w:eastAsia="Times New Roman" w:cs="Times New Roman"/>
        </w:rPr>
        <w:t xml:space="preserve">7.6 Evidence from Job-Advert Text</w:t>
      </w:r>
    </w:p>
    <w:p>
      <w:pPr>
        <w:pStyle w:val="FirstParagraph"/>
        <w:spacing w:line="480" w:lineRule="auto" w:after="0" w:before="0"/>
        <w:ind w:firstLine="720"/>
        <w:jc w:val="left"/>
      </w:pPr>
      <w:r>
        <w:rPr>
          <w:rFonts w:ascii="Times New Roman" w:hAnsi="Times New Roman" w:eastAsia="Times New Roman" w:cs="Times New Roman"/>
        </w:rPr>
        <w:t xml:space="preserve">Occupation-level counts cannot show what employers ask of the people they hire. Advert text can, at least for skills. We use the schema.org JobPosting markup that Common Crawl collected and Web Data Commons published for three crawls (December 2022, 2023, and 2024). They contain 4.8, 4.6, and 4.0 million postings with a named hiring organization, from about 590,000, 560,000, and 550,000 organizations. The postings are not restricted to the European Union. We identify visual-production roles in two steps: a multilingual keyword filter on posting titles, then classification of the unique candidate titles by a language model (Claude Haiku 5.5; prompts are in the replication repository). We then grade the postings that mention generative AI tools by whether the tools are absent, mentioned as a preferred skill or as company context, or required as a skill or core duty of the role.</w:t>
      </w:r>
    </w:p>
    <w:p>
      <w:pPr>
        <w:pStyle w:val="BodyText"/>
        <w:spacing w:line="480" w:lineRule="auto" w:after="0" w:before="0"/>
        <w:ind w:firstLine="720"/>
        <w:jc w:val="left"/>
      </w:pPr>
      <w:r>
        <w:rPr>
          <w:rFonts w:ascii="Times New Roman" w:hAnsi="Times New Roman" w:eastAsia="Times New Roman" w:cs="Times New Roman"/>
        </w:rPr>
        <w:t xml:space="preserve">The counts are small but move fast. Visual-production postings number 30,728, 28,138, and 24,478 in the three crawls. Postings that mention generative AI tools rise from 11 in 2022 to 176 in 2023 and 721 in 2024, and postings that require such tools rise from none to 24 and 50. In 2024, then, about 3 percent of visual-production postings mention generative AI tools and about 0.2 percent require them. As a check on keyword recall, 8 of 1,224 randomly drawn visual-role postings without a keyword hit were graded as mentioning such tools, so the counts are close to, but below, the true values. At the same time, 9.6 percent of EU enterprises report using generative visual AI (Section 6.1). The two figures come from different populations and measure different things, because a posting reveals demanded skills, not reassigned tasks. They are nevertheless consistent with the gap that our theory describes: acquisition is widespread, while the demand for the skills that would accompany reassignment of visual tasks is still marginal.</w:t>
      </w:r>
    </w:p>
    <w:p>
      <w:pPr>
        <w:pStyle w:val="BodyText"/>
        <w:spacing w:line="480" w:lineRule="auto" w:after="0" w:before="0"/>
        <w:ind w:firstLine="720"/>
        <w:jc w:val="left"/>
      </w:pPr>
      <w:r>
        <w:rPr>
          <w:rFonts w:ascii="Times New Roman" w:hAnsi="Times New Roman" w:eastAsia="Times New Roman" w:cs="Times New Roman"/>
        </w:rPr>
        <w:t xml:space="preserve">We also tried to use the postings to test H3 and report the attempt because it fails instructively. We call an employer an acquirer if generative AI tools appear in any of its postings other than visual-production roles, and we treat compliance, legal, privacy, and AI-governance roles, as well as creative or design leadership roles, as indicators of complementary assets. Among 844 acquirers that posted visual-production roles in 2024, the presence of such complement postings does not raise the probability that visual postings mention AI tools (logit coefficient</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standard error 0.31). Among the 3,388 employers that posted visual-production roles in 2022 and had at least three postings in both 2022 and 2024, the interaction of acquirer status and complements on the change in the share of visual postings is</w:t>
      </w:r>
      <w:r>
        <w:rPr>
          <w:rFonts w:ascii="Times New Roman" w:hAnsi="Times New Roman" w:eastAsia="Times New Roman" w:cs="Times New Roman"/>
        </w:rPr>
        <w:t xml:space="preserve"> </w:t>
      </w:r>
      <m:oMath>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percentage points (standard error 1.0), the sign H3 predicts. But the same interaction is</w:t>
      </w:r>
      <w:r>
        <w:rPr>
          <w:rFonts w:ascii="Times New Roman" w:hAnsi="Times New Roman" w:eastAsia="Times New Roman" w:cs="Times New Roman"/>
        </w:rPr>
        <w:t xml:space="preserve"> </w:t>
      </w:r>
      <m:oMath>
        <m:r>
          <m:rPr>
            <m:sty m:val="p"/>
          </m:rPr>
          <m:t>−</m:t>
        </m:r>
        <m:r>
          <m:t>2.4</m:t>
        </m:r>
      </m:oMath>
      <w:r>
        <w:rPr>
          <w:rFonts w:ascii="Times New Roman" w:hAnsi="Times New Roman" w:eastAsia="Times New Roman" w:cs="Times New Roman"/>
        </w:rPr>
        <w:t xml:space="preserve"> </w:t>
      </w:r>
      <w:r>
        <w:rPr>
          <w:rFonts w:ascii="Times New Roman" w:hAnsi="Times New Roman" w:eastAsia="Times New Roman" w:cs="Times New Roman"/>
        </w:rPr>
        <w:t xml:space="preserve">points (0.9) for the change from 2022 to 2023, before generative tools were widely acquired, so it cannot be a consequence of acquisition. Restricting the sample to employers with at least ten postings in both years shrinks the 2022–2024 interaction to</w:t>
      </w:r>
      <w:r>
        <w:rPr>
          <w:rFonts w:ascii="Times New Roman" w:hAnsi="Times New Roman" w:eastAsia="Times New Roman" w:cs="Times New Roman"/>
        </w:rPr>
        <w:t xml:space="preserve"> </w:t>
      </w:r>
      <m:oMath>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points (0.7).</w:t>
      </w:r>
    </w:p>
    <w:p>
      <w:pPr>
        <w:pStyle w:val="BodyText"/>
        <w:spacing w:line="480" w:lineRule="auto" w:after="0" w:before="0"/>
        <w:ind w:firstLine="720"/>
        <w:jc w:val="left"/>
      </w:pPr>
      <w:r>
        <w:rPr>
          <w:rFonts w:ascii="Times New Roman" w:hAnsi="Times New Roman" w:eastAsia="Times New Roman" w:cs="Times New Roman"/>
        </w:rPr>
        <w:t xml:space="preserve">These data do not identify the mechanism, for reasons that bear on any use of advert text. A crawl records the stock of postings that were live and crawled at one time, not hires, and crawl coverage differs across years. Employers are matched by name. Acquirer status and complements are inferred from keywords and titles, and the cells with both are small. The evidence supports the descriptive point above and nothing stronger. A test of H3 needs the firm-level measures of use, complements, reassignment, and hiring described in Section 9.</w:t>
      </w:r>
    </w:p>
    <w:bookmarkEnd w:id="48"/>
    <w:bookmarkEnd w:id="49"/>
    <w:bookmarkStart w:id="50" w:name="X2061958f846d060753ea4141165ee0cf5000e1a"/>
    <w:p>
      <w:pPr>
        <w:pStyle w:val="Heading2"/>
      </w:pPr>
      <w:r>
        <w:rPr>
          <w:rFonts w:ascii="Times New Roman" w:hAnsi="Times New Roman" w:eastAsia="Times New Roman" w:cs="Times New Roman"/>
        </w:rPr>
        <w:t xml:space="preserve">8 When Will Occupation-Level Data Become Informative?</w:t>
      </w:r>
    </w:p>
    <w:p>
      <w:pPr>
        <w:pStyle w:val="FirstParagraph"/>
        <w:spacing w:line="480" w:lineRule="auto" w:after="0" w:before="0"/>
        <w:ind w:firstLine="720"/>
        <w:jc w:val="left"/>
      </w:pPr>
      <w:r>
        <w:rPr>
          <w:rFonts w:ascii="Times New Roman" w:hAnsi="Times New Roman" w:eastAsia="Times New Roman" w:cs="Times New Roman"/>
        </w:rPr>
        <w:t xml:space="preserve">Equation (5) also tells us when the European design would gain the power to detect complete assimilation. Holding the 2024 standard error fixed, detection for an occupation at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requires</w:t>
      </w:r>
      <w:r>
        <w:rPr>
          <w:rFonts w:ascii="Times New Roman" w:hAnsi="Times New Roman" w:eastAsia="Times New Roman" w:cs="Times New Roman"/>
        </w:rPr>
        <w:t xml:space="preserve"> </w:t>
      </w:r>
      <m:oMath>
        <m:d>
          <m:dPr>
            <m:begChr m:val="|"/>
            <m:endChr m:val="|"/>
            <m:sepChr m:val=""/>
            <m:grow/>
          </m:dPr>
          <m:e>
            <m:sSup>
              <m:e>
                <m:r>
                  <m:t>A</m:t>
                </m:r>
              </m:e>
              <m:sup>
                <m:r>
                  <m:t>a</m:t>
                </m:r>
              </m:sup>
            </m:sSup>
            <m:r>
              <m:rPr>
                <m:sty m:val="p"/>
              </m:rPr>
              <m:t>⋅</m:t>
            </m:r>
            <m:r>
              <m:t>β</m:t>
            </m:r>
          </m:e>
        </m:d>
        <m:r>
          <m:rPr>
            <m:sty m:val="p"/>
          </m:rPr>
          <m:t>≥</m:t>
        </m:r>
        <m:r>
          <m:t>0.27</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this cannot occur even at full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it requires</w:t>
      </w:r>
      <w:r>
        <w:rPr>
          <w:rFonts w:ascii="Times New Roman" w:hAnsi="Times New Roman" w:eastAsia="Times New Roman" w:cs="Times New Roman"/>
        </w:rPr>
        <w:t xml:space="preserve"> </w:t>
      </w:r>
      <m:oMath>
        <m:sSup>
          <m:e>
            <m:r>
              <m:t>A</m:t>
            </m:r>
          </m:e>
          <m:sup>
            <m:r>
              <m:t>a</m:t>
            </m:r>
          </m:sup>
        </m:sSup>
        <m:r>
          <m:rPr>
            <m:sty m:val="p"/>
          </m:rPr>
          <m:t>≥</m:t>
        </m:r>
        <m:r>
          <m:t>0.53</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 55 percent fall among assimilators),</w:t>
      </w:r>
      <w:r>
        <w:rPr>
          <w:rFonts w:ascii="Times New Roman" w:hAnsi="Times New Roman" w:eastAsia="Times New Roman" w:cs="Times New Roman"/>
        </w:rPr>
        <w:t xml:space="preserve"> </w:t>
      </w:r>
      <m:oMath>
        <m:sSup>
          <m:e>
            <m:r>
              <m:t>A</m:t>
            </m:r>
          </m:e>
          <m:sup>
            <m:r>
              <m:t>a</m:t>
            </m:r>
          </m:sup>
        </m:sSup>
        <m:r>
          <m:rPr>
            <m:sty m:val="p"/>
          </m:rPr>
          <m:t>≥</m:t>
        </m:r>
        <m:r>
          <m:t>0.33</m:t>
        </m:r>
      </m:oMath>
      <w:r>
        <w:rPr>
          <w:rFonts w:ascii="Times New Roman" w:hAnsi="Times New Roman" w:eastAsia="Times New Roman" w:cs="Times New Roman"/>
        </w:rPr>
        <w:t xml:space="preserve">. Table 6 reports the first year in which acquisition would reach these shares if its log-odds rose at the 2023–2025 pace of text-generation AI (about 0.75 per year) or at two-thirds or one-third of that pace. Because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these are the earliest possible detection dates; any persistent assimilation gap pushes them later. The standard error will change as post-2022 years accumulate, so the dates are conditional on the precision of the current design.</w:t>
      </w:r>
    </w:p>
    <w:p>
      <w:pPr>
        <w:pStyle w:val="BodyText"/>
        <w:spacing w:line="240" w:lineRule="auto" w:after="120" w:before="0"/>
        <w:ind w:firstLine="0"/>
        <w:jc w:val="left"/>
      </w:pPr>
      <w:r>
        <w:rPr>
          <w:bCs/>
          <w:rFonts w:ascii="Times New Roman" w:hAnsi="Times New Roman" w:eastAsia="Times New Roman" w:cs="Times New Roman"/>
          <w:b/>
        </w:rPr>
        <w:t xml:space="preserve">Table 6. Earliest year in which complete assimilation would become detectable, European design</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m:oMath>
              <m:r>
                <m:t>β</m:t>
              </m:r>
            </m:oMath>
            <w:r>
              <w:rPr>
                <w:rFonts w:ascii="Times New Roman" w:hAnsi="Times New Roman"/>
                <w:b/>
                <w:sz w:val="19"/>
              </w:rPr>
              <w:t xml:space="preserve"> </w:t>
            </w:r>
            <w:r>
              <w:rPr>
                <w:rFonts w:ascii="Times New Roman" w:hAnsi="Times New Roman"/>
                <w:b/>
                <w:sz w:val="19"/>
              </w:rPr>
              <w:t xml:space="preserve">among assimilators</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Required</w:t>
            </w:r>
            <w:r>
              <w:rPr>
                <w:rFonts w:ascii="Times New Roman" w:hAnsi="Times New Roman"/>
                <w:b/>
                <w:sz w:val="19"/>
              </w:rPr>
              <w:t xml:space="preserve"> </w:t>
            </w:r>
            <m:oMath>
              <m:sSup>
                <m:e>
                  <m:r>
                    <m:t>A</m:t>
                  </m:r>
                </m:e>
                <m:sup>
                  <m:r>
                    <m:t>a</m:t>
                  </m:r>
                </m:sup>
              </m:sSup>
            </m:oMath>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Fast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Medium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Slow (all / media)</w:t>
            </w:r>
          </w:p>
        </w:tc>
      </w:tr>
      <w:tr>
        <w:tc>
          <w:tcPr/>
          <w:p>
            <w:pPr>
              <w:pStyle w:val="Compact"/>
              <w:spacing w:line="240" w:lineRule="auto" w:after="40"/>
              <w:ind w:firstLine="0"/>
              <w:jc w:val="left"/>
            </w:pPr>
            <w:r>
              <w:rPr>
                <w:rFonts w:ascii="Times New Roman" w:hAnsi="Times New Roman"/>
                <w:sz w:val="19"/>
              </w:rPr>
              <w:t xml:space="preserve">−0.19 (−17%)</w:t>
            </w:r>
          </w:p>
        </w:tc>
        <w:tc>
          <w:tcPr/>
          <w:p>
            <w:pPr>
              <w:pStyle w:val="Compact"/>
              <w:spacing w:line="240" w:lineRule="auto" w:after="40"/>
              <w:ind w:firstLine="0"/>
              <w:jc w:val="right"/>
            </w:pPr>
            <w:r>
              <w:rPr>
                <w:rFonts w:ascii="Times New Roman" w:hAnsi="Times New Roman"/>
                <w:sz w:val="19"/>
              </w:rPr>
              <w:t xml:space="preserve">above 100%</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r>
      <w:tr>
        <w:tc>
          <w:tcPr/>
          <w:p>
            <w:pPr>
              <w:pStyle w:val="Compact"/>
              <w:spacing w:line="240" w:lineRule="auto" w:after="40"/>
              <w:ind w:firstLine="0"/>
              <w:jc w:val="left"/>
            </w:pPr>
            <w:r>
              <w:rPr>
                <w:rFonts w:ascii="Times New Roman" w:hAnsi="Times New Roman"/>
                <w:sz w:val="19"/>
              </w:rPr>
              <w:t xml:space="preserve">−0.50 (−39%)</w:t>
            </w:r>
          </w:p>
        </w:tc>
        <w:tc>
          <w:tcPr/>
          <w:p>
            <w:pPr>
              <w:pStyle w:val="Compact"/>
              <w:spacing w:line="240" w:lineRule="auto" w:after="40"/>
              <w:ind w:firstLine="0"/>
              <w:jc w:val="right"/>
            </w:pPr>
            <w:r>
              <w:rPr>
                <w:rFonts w:ascii="Times New Roman" w:hAnsi="Times New Roman"/>
                <w:sz w:val="19"/>
              </w:rPr>
              <w:t xml:space="preserve">53%</w:t>
            </w:r>
          </w:p>
        </w:tc>
        <w:tc>
          <w:tcPr/>
          <w:p>
            <w:pPr>
              <w:pStyle w:val="Compact"/>
              <w:spacing w:line="240" w:lineRule="auto" w:after="40"/>
              <w:ind w:firstLine="0"/>
              <w:jc w:val="left"/>
            </w:pPr>
            <w:r>
              <w:rPr>
                <w:rFonts w:ascii="Times New Roman" w:hAnsi="Times New Roman"/>
                <w:sz w:val="19"/>
              </w:rPr>
              <w:t xml:space="preserve">2029 / 2026</w:t>
            </w:r>
          </w:p>
        </w:tc>
        <w:tc>
          <w:tcPr/>
          <w:p>
            <w:pPr>
              <w:pStyle w:val="Compact"/>
              <w:spacing w:line="240" w:lineRule="auto" w:after="40"/>
              <w:ind w:firstLine="0"/>
              <w:jc w:val="left"/>
            </w:pPr>
            <w:r>
              <w:rPr>
                <w:rFonts w:ascii="Times New Roman" w:hAnsi="Times New Roman"/>
                <w:sz w:val="19"/>
              </w:rPr>
              <w:t xml:space="preserve">2030 / 2027</w:t>
            </w:r>
          </w:p>
        </w:tc>
        <w:tc>
          <w:tcPr/>
          <w:p>
            <w:pPr>
              <w:pStyle w:val="Compact"/>
              <w:spacing w:line="240" w:lineRule="auto" w:after="40"/>
              <w:ind w:firstLine="0"/>
              <w:jc w:val="left"/>
            </w:pPr>
            <w:r>
              <w:rPr>
                <w:rFonts w:ascii="Times New Roman" w:hAnsi="Times New Roman"/>
                <w:sz w:val="19"/>
              </w:rPr>
              <w:t xml:space="preserve">2035 / 2028</w:t>
            </w:r>
          </w:p>
        </w:tc>
      </w:tr>
      <w:tr>
        <w:tc>
          <w:tcPr/>
          <w:p>
            <w:pPr>
              <w:pStyle w:val="Compact"/>
              <w:spacing w:line="240" w:lineRule="auto" w:after="40"/>
              <w:ind w:firstLine="0"/>
              <w:jc w:val="left"/>
            </w:pPr>
            <w:r>
              <w:rPr>
                <w:rFonts w:ascii="Times New Roman" w:hAnsi="Times New Roman"/>
                <w:sz w:val="19"/>
              </w:rPr>
              <w:t xml:space="preserve">−0.80 (−55%)</w:t>
            </w:r>
          </w:p>
        </w:tc>
        <w:tc>
          <w:tcPr/>
          <w:p>
            <w:pPr>
              <w:pStyle w:val="Compact"/>
              <w:spacing w:line="240" w:lineRule="auto" w:after="40"/>
              <w:ind w:firstLine="0"/>
              <w:jc w:val="right"/>
            </w:pPr>
            <w:r>
              <w:rPr>
                <w:rFonts w:ascii="Times New Roman" w:hAnsi="Times New Roman"/>
                <w:sz w:val="19"/>
              </w:rPr>
              <w:t xml:space="preserve">33%</w:t>
            </w:r>
          </w:p>
        </w:tc>
        <w:tc>
          <w:tcPr/>
          <w:p>
            <w:pPr>
              <w:pStyle w:val="Compact"/>
              <w:spacing w:line="240" w:lineRule="auto" w:after="40"/>
              <w:ind w:firstLine="0"/>
              <w:jc w:val="left"/>
            </w:pPr>
            <w:r>
              <w:rPr>
                <w:rFonts w:ascii="Times New Roman" w:hAnsi="Times New Roman"/>
                <w:sz w:val="19"/>
              </w:rPr>
              <w:t xml:space="preserve">2028 / 2025</w:t>
            </w:r>
          </w:p>
        </w:tc>
        <w:tc>
          <w:tcPr/>
          <w:p>
            <w:pPr>
              <w:pStyle w:val="Compact"/>
              <w:spacing w:line="240" w:lineRule="auto" w:after="40"/>
              <w:ind w:firstLine="0"/>
              <w:jc w:val="left"/>
            </w:pPr>
            <w:r>
              <w:rPr>
                <w:rFonts w:ascii="Times New Roman" w:hAnsi="Times New Roman"/>
                <w:sz w:val="19"/>
              </w:rPr>
              <w:t xml:space="preserve">2029 / 2025</w:t>
            </w:r>
          </w:p>
        </w:tc>
        <w:tc>
          <w:tcPr/>
          <w:p>
            <w:pPr>
              <w:pStyle w:val="Compact"/>
              <w:spacing w:line="240" w:lineRule="auto" w:after="40"/>
              <w:ind w:firstLine="0"/>
              <w:jc w:val="left"/>
            </w:pPr>
            <w:r>
              <w:rPr>
                <w:rFonts w:ascii="Times New Roman" w:hAnsi="Times New Roman"/>
                <w:sz w:val="19"/>
              </w:rPr>
              <w:t xml:space="preserve">2032 / 2025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Paths start in 2025 at 9.6 percent (all firms) or 36.2 percent (publishing, film, and broadcasting) with log-odds slopes of 0.75 (fast), 0.50 (medium), and 0.25 (slow) per year. Detection threshold:</w:t>
      </w:r>
      <w:r>
        <w:rPr>
          <w:rFonts w:ascii="Times New Roman" w:hAnsi="Times New Roman" w:eastAsia="Times New Roman" w:cs="Times New Roman"/>
        </w:rPr>
        <w:t xml:space="preserve"> </w:t>
      </w:r>
      <m:oMath>
        <m:r>
          <m:t>2.8</m:t>
        </m:r>
        <m:r>
          <m:rPr>
            <m:sty m:val="p"/>
          </m:rPr>
          <m:t>×</m:t>
        </m:r>
        <m:r>
          <m:t>0.018</m:t>
        </m:r>
        <m:r>
          <m:rPr>
            <m:sty m:val="p"/>
          </m:rPr>
          <m:t>×</m:t>
        </m:r>
        <m:r>
          <m:t>5.3</m:t>
        </m:r>
        <m:r>
          <m:rPr>
            <m:sty m:val="p"/>
          </m:rPr>
          <m:t>≈</m:t>
        </m:r>
        <m:r>
          <m:t>0.27</m:t>
        </m:r>
      </m:oMath>
      <w:r>
        <w:rPr>
          <w:rFonts w:ascii="Times New Roman" w:hAnsi="Times New Roman" w:eastAsia="Times New Roman" w:cs="Times New Roman"/>
        </w:rPr>
        <w:t xml:space="preserve">. Each entry is the first year in which the required share is reached. Dates assume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 are lower bounds; entries that fall close to a threshold can shift by a year with the rounding of the standard error.</w:t>
      </w:r>
    </w:p>
    <w:p>
      <w:pPr>
        <w:pStyle w:val="BodyText"/>
        <w:spacing w:line="480" w:lineRule="auto" w:after="0" w:before="0"/>
        <w:ind w:firstLine="720"/>
        <w:jc w:val="left"/>
      </w:pPr>
      <w:r>
        <w:rPr>
          <w:rFonts w:ascii="Times New Roman" w:hAnsi="Times New Roman" w:eastAsia="Times New Roman" w:cs="Times New Roman"/>
        </w:rPr>
        <w:t xml:space="preserve">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bookmarkEnd w:id="50"/>
    <w:bookmarkStart w:id="51" w:name="X2117a87807dfa3e48e566d104cf7001f8a6fdcc"/>
    <w:p>
      <w:pPr>
        <w:pStyle w:val="Heading2"/>
      </w:pPr>
      <w:r>
        <w:rPr>
          <w:rFonts w:ascii="Times New Roman" w:hAnsi="Times New Roman" w:eastAsia="Times New Roman" w:cs="Times New Roman"/>
        </w:rPr>
        <w:t xml:space="preserve">9 A Research Design for H3: What Firm-Level Data Would Need to Show</w:t>
      </w:r>
    </w:p>
    <w:p>
      <w:pPr>
        <w:pStyle w:val="FirstParagraph"/>
        <w:spacing w:line="480" w:lineRule="auto" w:after="0" w:before="0"/>
        <w:ind w:firstLine="720"/>
        <w:jc w:val="left"/>
      </w:pPr>
      <w:r>
        <w:rPr>
          <w:rFonts w:ascii="Times New Roman" w:hAnsi="Times New Roman" w:eastAsia="Times New Roman" w:cs="Times New Roman"/>
        </w:rPr>
        <w:t xml:space="preserve">This section is a proposal. We do not have the firm-level data that H3 requires and do not claim to test it. Its purpose is to state the design precisely enough that the claims in Section 3.8 can be refuted.</w:t>
      </w:r>
    </w:p>
    <w:p>
      <w:pPr>
        <w:pStyle w:val="BodyText"/>
        <w:spacing w:line="480" w:lineRule="auto" w:after="0" w:before="0"/>
        <w:ind w:firstLine="720"/>
        <w:jc w:val="left"/>
      </w:pPr>
      <w:r>
        <w:rPr>
          <w:rFonts w:ascii="Times New Roman" w:hAnsi="Times New Roman" w:eastAsia="Times New Roman" w:cs="Times New Roman"/>
        </w:rPr>
        <w:t xml:space="preserve">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that carry employer identifiers can record both hiring for visual occupations and requests for generative-AI skills, in the spirit of the firm-level AI indicators built from workforce data by Babina et al. (2024). And a purpose-built survey of acquiring firms can measure the three assets and the share of visual tasks reassigned. Advert text alone is not enough, as the pilot in Section 7.6 shows: it documents demanded skills but, without hires and without independent measures of complements, it does not identify the mechanism.</w:t>
      </w:r>
    </w:p>
    <w:p>
      <w:pPr>
        <w:pStyle w:val="BodyText"/>
        <w:spacing w:line="480" w:lineRule="auto" w:after="0" w:before="0"/>
        <w:ind w:firstLine="720"/>
        <w:jc w:val="left"/>
      </w:pPr>
      <w:r>
        <w:rPr>
          <w:rFonts w:ascii="Times New Roman" w:hAnsi="Times New Roman" w:eastAsia="Times New Roman" w:cs="Times New Roman"/>
        </w:rPr>
        <w:t xml:space="preserve">The closest existing evidence comes from Denmark. Humlum and Vestergaard (2025) link representative surveys on chatbot use, employer policies, and reported time savings to administrative earnings and hours. They find that most employers encourage use and run training, that these employer investments raise adoption and perceived benefits, and that adopters’ earnings and hours show precise zeros, with confidence intervals ruling out effects larger than 1 percent, alongside average reported time savings of about 3 percent. Their design supplies what our theory calls complements (employer encouragement and training) and a measure of use. Its outcomes are the earnings and hours of adopters, not task reassignment and hiring in visual occupations, and the data are not public.</w:t>
      </w:r>
    </w:p>
    <w:p>
      <w:pPr>
        <w:pStyle w:val="BodyText"/>
        <w:spacing w:line="480" w:lineRule="auto" w:after="0" w:before="0"/>
        <w:ind w:firstLine="720"/>
        <w:jc w:val="left"/>
      </w:pPr>
      <w:r>
        <w:rPr>
          <w:bCs/>
          <w:rFonts w:ascii="Times New Roman" w:hAnsi="Times New Roman" w:eastAsia="Times New Roman" w:cs="Times New Roman"/>
          <w:b/>
        </w:rPr>
        <w:t xml:space="preserve">Unit and sampling.</w:t>
      </w:r>
      <w:r>
        <w:rPr>
          <w:rFonts w:ascii="Times New Roman" w:hAnsi="Times New Roman" w:eastAsia="Times New Roman" w:cs="Times New Roman"/>
        </w:rPr>
        <w:t xml:space="preserve"> </w:t>
      </w:r>
      <w:r>
        <w:rPr>
          <w:rFonts w:ascii="Times New Roman" w:hAnsi="Times New Roman" w:eastAsia="Times New Roman" w:cs="Times New Roman"/>
        </w:rPr>
        <w:t xml:space="preserve">The unit is the task within the firm. A survey of firms that report using generative visual tools would list the visual tasks the firm performs (for example, producing advertising images, editing product photographs, drafting video storyboards) and ask about each one. Because only about 10 percent of firms are acquirers overall, and 36 percent in publishing, film, and broadcasting, the sample should be drawn from sectors with high acquisition and screened for acquirers. As an illustration of scale, detecting a difference in task-reassignment rates of 10 versus 25 percent between firms with low and high review capacity needs about 96 firms per group at a 5 percent significance level and 80 percent power, and 10 versus 20 percent needs about 195 per group, before any adjustment for clustering of tasks within firms. Screening roughly 550 firms in a high-acquisition sector would yield about 200 acquirers.</w:t>
      </w:r>
    </w:p>
    <w:p>
      <w:pPr>
        <w:pStyle w:val="BodyText"/>
        <w:spacing w:line="480" w:lineRule="auto" w:after="0" w:before="0"/>
        <w:ind w:firstLine="720"/>
        <w:jc w:val="left"/>
      </w:pPr>
      <w:r>
        <w:rPr>
          <w:bCs/>
          <w:rFonts w:ascii="Times New Roman" w:hAnsi="Times New Roman" w:eastAsia="Times New Roman" w:cs="Times New Roman"/>
          <w:b/>
        </w:rPr>
        <w:t xml:space="preserve">Measures.</w:t>
      </w:r>
      <w:r>
        <w:rPr>
          <w:rFonts w:ascii="Times New Roman" w:hAnsi="Times New Roman" w:eastAsia="Times New Roman" w:cs="Times New Roman"/>
        </w:rPr>
        <w:t xml:space="preserve"> </w:t>
      </w:r>
      <w:r>
        <w:rPr>
          <w:rFonts w:ascii="Times New Roman" w:hAnsi="Times New Roman" w:eastAsia="Times New Roman" w:cs="Times New Roman"/>
        </w:rPr>
        <w:t xml:space="preserve">Table 7 lists the constructs. Complementary assets are measured as three separate stocks so that the account can be refuted if one of them matters and the others do not.</w:t>
      </w:r>
    </w:p>
    <w:p>
      <w:pPr>
        <w:pStyle w:val="BodyText"/>
        <w:spacing w:line="240" w:lineRule="auto" w:after="120" w:before="0"/>
        <w:ind w:firstLine="0"/>
        <w:jc w:val="left"/>
      </w:pPr>
      <w:r>
        <w:rPr>
          <w:bCs/>
          <w:rFonts w:ascii="Times New Roman" w:hAnsi="Times New Roman" w:eastAsia="Times New Roman" w:cs="Times New Roman"/>
          <w:b/>
        </w:rPr>
        <w:t xml:space="preserve">Table 7. Constructs for the proposed firm-level test</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Construct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Item (illustrative)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Scale</w:t>
            </w:r>
          </w:p>
        </w:tc>
      </w:tr>
      <w:tr>
        <w:tc>
          <w:tcPr/>
          <w:p>
            <w:pPr>
              <w:pStyle w:val="Compact"/>
              <w:spacing w:line="240" w:lineRule="auto" w:after="40"/>
              <w:ind w:firstLine="0"/>
              <w:jc w:val="left"/>
            </w:pPr>
            <w:r>
              <w:rPr>
                <w:rFonts w:ascii="Times New Roman" w:hAnsi="Times New Roman"/>
                <w:sz w:val="19"/>
              </w:rPr>
              <w:t xml:space="preserve">Acquisition</w:t>
            </w:r>
          </w:p>
        </w:tc>
        <w:tc>
          <w:tcPr/>
          <w:p>
            <w:pPr>
              <w:pStyle w:val="Compact"/>
              <w:spacing w:line="240" w:lineRule="auto" w:after="40"/>
              <w:ind w:firstLine="0"/>
              <w:jc w:val="left"/>
            </w:pPr>
            <w:r>
              <w:rPr>
                <w:rFonts w:ascii="Times New Roman" w:hAnsi="Times New Roman"/>
                <w:sz w:val="19"/>
              </w:rPr>
              <w:t xml:space="preserve">Has the firm used a tool that generates images, video, or audio in the past 12 months?</w:t>
            </w:r>
          </w:p>
        </w:tc>
        <w:tc>
          <w:tcPr/>
          <w:p>
            <w:pPr>
              <w:pStyle w:val="Compact"/>
              <w:spacing w:line="240" w:lineRule="auto" w:after="40"/>
              <w:ind w:firstLine="0"/>
              <w:jc w:val="left"/>
            </w:pPr>
            <w:r>
              <w:rPr>
                <w:rFonts w:ascii="Times New Roman" w:hAnsi="Times New Roman"/>
                <w:sz w:val="19"/>
              </w:rPr>
              <w:t xml:space="preserve">Yes/No</w:t>
            </w:r>
          </w:p>
        </w:tc>
      </w:tr>
      <w:tr>
        <w:tc>
          <w:tcPr/>
          <w:p>
            <w:pPr>
              <w:pStyle w:val="Compact"/>
              <w:spacing w:line="240" w:lineRule="auto" w:after="40"/>
              <w:ind w:firstLine="0"/>
              <w:jc w:val="left"/>
            </w:pPr>
            <w:r>
              <w:rPr>
                <w:rFonts w:ascii="Times New Roman" w:hAnsi="Times New Roman"/>
                <w:sz w:val="19"/>
              </w:rPr>
              <w:t xml:space="preserve">Task reassignment</w:t>
            </w:r>
          </w:p>
        </w:tc>
        <w:tc>
          <w:tcPr/>
          <w:p>
            <w:pPr>
              <w:pStyle w:val="Compact"/>
              <w:spacing w:line="240" w:lineRule="auto" w:after="40"/>
              <w:ind w:firstLine="0"/>
              <w:jc w:val="left"/>
            </w:pPr>
            <w:r>
              <w:rPr>
                <w:rFonts w:ascii="Times New Roman" w:hAnsi="Times New Roman"/>
                <w:sz w:val="19"/>
              </w:rPr>
              <w:t xml:space="preserve">For each listed visual task, what share of output in the past 12 months was generated by the tool and used after review, with no human production?</w:t>
            </w:r>
          </w:p>
        </w:tc>
        <w:tc>
          <w:tcPr/>
          <w:p>
            <w:pPr>
              <w:pStyle w:val="Compact"/>
              <w:spacing w:line="240" w:lineRule="auto" w:after="40"/>
              <w:ind w:firstLine="0"/>
              <w:jc w:val="left"/>
            </w:pPr>
            <w:r>
              <w:rPr>
                <w:rFonts w:ascii="Times New Roman" w:hAnsi="Times New Roman"/>
                <w:sz w:val="19"/>
              </w:rPr>
              <w:t xml:space="preserve">0–100% by task</w:t>
            </w:r>
          </w:p>
        </w:tc>
      </w:tr>
      <w:tr>
        <w:tc>
          <w:tcPr/>
          <w:p>
            <w:pPr>
              <w:pStyle w:val="Compact"/>
              <w:spacing w:line="240" w:lineRule="auto" w:after="40"/>
              <w:ind w:firstLine="0"/>
              <w:jc w:val="left"/>
            </w:pPr>
            <w:r>
              <w:rPr>
                <w:rFonts w:ascii="Times New Roman" w:hAnsi="Times New Roman"/>
                <w:sz w:val="19"/>
              </w:rPr>
              <w:t xml:space="preserve">Expertise</w:t>
            </w:r>
          </w:p>
        </w:tc>
        <w:tc>
          <w:tcPr/>
          <w:p>
            <w:pPr>
              <w:pStyle w:val="Compact"/>
              <w:spacing w:line="240" w:lineRule="auto" w:after="40"/>
              <w:ind w:firstLine="0"/>
              <w:jc w:val="left"/>
            </w:pPr>
            <w:r>
              <w:rPr>
                <w:rFonts w:ascii="Times New Roman" w:hAnsi="Times New Roman"/>
                <w:sz w:val="19"/>
              </w:rPr>
              <w:t xml:space="preserve">Does the firm employ staff able to judge whether generated visual output meets brand and quality standards? How many, and with what training?</w:t>
            </w:r>
          </w:p>
        </w:tc>
        <w:tc>
          <w:tcPr/>
          <w:p>
            <w:pPr>
              <w:pStyle w:val="Compact"/>
              <w:spacing w:line="240" w:lineRule="auto" w:after="40"/>
              <w:ind w:firstLine="0"/>
              <w:jc w:val="left"/>
            </w:pPr>
            <w:r>
              <w:rPr>
                <w:rFonts w:ascii="Times New Roman" w:hAnsi="Times New Roman"/>
                <w:sz w:val="19"/>
              </w:rPr>
              <w:t xml:space="preserve">Count; categories</w:t>
            </w:r>
          </w:p>
        </w:tc>
      </w:tr>
      <w:tr>
        <w:tc>
          <w:tcPr/>
          <w:p>
            <w:pPr>
              <w:pStyle w:val="Compact"/>
              <w:spacing w:line="240" w:lineRule="auto" w:after="40"/>
              <w:ind w:firstLine="0"/>
              <w:jc w:val="left"/>
            </w:pPr>
            <w:r>
              <w:rPr>
                <w:rFonts w:ascii="Times New Roman" w:hAnsi="Times New Roman"/>
                <w:sz w:val="19"/>
              </w:rPr>
              <w:t xml:space="preserve">Review capacity</w:t>
            </w:r>
          </w:p>
        </w:tc>
        <w:tc>
          <w:tcPr/>
          <w:p>
            <w:pPr>
              <w:pStyle w:val="Compact"/>
              <w:spacing w:line="240" w:lineRule="auto" w:after="40"/>
              <w:ind w:firstLine="0"/>
              <w:jc w:val="left"/>
            </w:pPr>
            <w:r>
              <w:rPr>
                <w:rFonts w:ascii="Times New Roman" w:hAnsi="Times New Roman"/>
                <w:sz w:val="19"/>
              </w:rPr>
              <w:t xml:space="preserve">Hours per week allocated to reviewing generated output; existence of a defined review step before publication</w:t>
            </w:r>
          </w:p>
        </w:tc>
        <w:tc>
          <w:tcPr/>
          <w:p>
            <w:pPr>
              <w:pStyle w:val="Compact"/>
              <w:spacing w:line="240" w:lineRule="auto" w:after="40"/>
              <w:ind w:firstLine="0"/>
              <w:jc w:val="left"/>
            </w:pPr>
            <w:r>
              <w:rPr>
                <w:rFonts w:ascii="Times New Roman" w:hAnsi="Times New Roman"/>
                <w:sz w:val="19"/>
              </w:rPr>
              <w:t xml:space="preserve">Hours; Yes/No</w:t>
            </w:r>
          </w:p>
        </w:tc>
      </w:tr>
      <w:tr>
        <w:tc>
          <w:tcPr/>
          <w:p>
            <w:pPr>
              <w:pStyle w:val="Compact"/>
              <w:spacing w:line="240" w:lineRule="auto" w:after="40"/>
              <w:ind w:firstLine="0"/>
              <w:jc w:val="left"/>
            </w:pPr>
            <w:r>
              <w:rPr>
                <w:rFonts w:ascii="Times New Roman" w:hAnsi="Times New Roman"/>
                <w:sz w:val="19"/>
              </w:rPr>
              <w:t xml:space="preserve">Compliance procedures</w:t>
            </w:r>
          </w:p>
        </w:tc>
        <w:tc>
          <w:tcPr/>
          <w:p>
            <w:pPr>
              <w:pStyle w:val="Compact"/>
              <w:spacing w:line="240" w:lineRule="auto" w:after="40"/>
              <w:ind w:firstLine="0"/>
              <w:jc w:val="left"/>
            </w:pPr>
            <w:r>
              <w:rPr>
                <w:rFonts w:ascii="Times New Roman" w:hAnsi="Times New Roman"/>
                <w:sz w:val="19"/>
              </w:rPr>
              <w:t xml:space="preserve">Written policy on copyright, licensing, and personal data in generated content; approval requirement</w:t>
            </w:r>
          </w:p>
        </w:tc>
        <w:tc>
          <w:tcPr/>
          <w:p>
            <w:pPr>
              <w:pStyle w:val="Compact"/>
              <w:spacing w:line="240" w:lineRule="auto" w:after="40"/>
              <w:ind w:firstLine="0"/>
              <w:jc w:val="left"/>
            </w:pPr>
            <w:r>
              <w:rPr>
                <w:rFonts w:ascii="Times New Roman" w:hAnsi="Times New Roman"/>
                <w:sz w:val="19"/>
              </w:rPr>
              <w:t xml:space="preserve">Yes/No; categories</w:t>
            </w:r>
          </w:p>
        </w:tc>
      </w:tr>
      <w:tr>
        <w:tc>
          <w:tcPr/>
          <w:p>
            <w:pPr>
              <w:pStyle w:val="Compact"/>
              <w:spacing w:line="240" w:lineRule="auto" w:after="40"/>
              <w:ind w:firstLine="0"/>
              <w:jc w:val="left"/>
            </w:pPr>
            <w:r>
              <w:rPr>
                <w:rFonts w:ascii="Times New Roman" w:hAnsi="Times New Roman"/>
                <w:sz w:val="19"/>
              </w:rPr>
              <w:t xml:space="preserve">Hiring</w:t>
            </w:r>
          </w:p>
        </w:tc>
        <w:tc>
          <w:tcPr/>
          <w:p>
            <w:pPr>
              <w:pStyle w:val="Compact"/>
              <w:spacing w:line="240" w:lineRule="auto" w:after="40"/>
              <w:ind w:firstLine="0"/>
              <w:jc w:val="left"/>
            </w:pPr>
            <w:r>
              <w:rPr>
                <w:rFonts w:ascii="Times New Roman" w:hAnsi="Times New Roman"/>
                <w:sz w:val="19"/>
              </w:rPr>
              <w:t xml:space="preserve">Postings and hires for visual occupations over the past 24 months, from administrative or advert data linked by employer</w:t>
            </w:r>
          </w:p>
        </w:tc>
        <w:tc>
          <w:tcPr/>
          <w:p>
            <w:pPr>
              <w:pStyle w:val="Compact"/>
              <w:spacing w:line="240" w:lineRule="auto" w:after="40"/>
              <w:ind w:firstLine="0"/>
              <w:jc w:val="left"/>
            </w:pPr>
            <w:r>
              <w:rPr>
                <w:rFonts w:ascii="Times New Roman" w:hAnsi="Times New Roman"/>
                <w:sz w:val="19"/>
              </w:rPr>
              <w:t xml:space="preserve">Counts</w:t>
            </w:r>
          </w:p>
        </w:tc>
      </w:tr>
      <w:tr>
        <w:tc>
          <w:tcPr/>
          <w:p>
            <w:pPr>
              <w:pStyle w:val="Compact"/>
              <w:spacing w:line="240" w:lineRule="auto" w:after="40"/>
              <w:ind w:firstLine="0"/>
              <w:jc w:val="left"/>
            </w:pPr>
            <w:r>
              <w:rPr>
                <w:rFonts w:ascii="Times New Roman" w:hAnsi="Times New Roman"/>
                <w:sz w:val="19"/>
              </w:rPr>
              <w:t xml:space="preserve">Controls</w:t>
            </w:r>
          </w:p>
        </w:tc>
        <w:tc>
          <w:tcPr/>
          <w:p>
            <w:pPr>
              <w:pStyle w:val="Compact"/>
              <w:spacing w:line="240" w:lineRule="auto" w:after="40"/>
              <w:ind w:firstLine="0"/>
              <w:jc w:val="left"/>
            </w:pPr>
            <w:r>
              <w:rPr>
                <w:rFonts w:ascii="Times New Roman" w:hAnsi="Times New Roman"/>
                <w:sz w:val="19"/>
              </w:rPr>
              <w:t xml:space="preserve">Sector, size, share of revenue from visual content, prior outsourcing of visual work</w:t>
            </w:r>
          </w:p>
        </w:tc>
        <w:tc>
          <w:tcPr/>
          <w:p>
            <w:pPr>
              <w:pStyle w:val="Compact"/>
              <w:spacing w:line="240" w:lineRule="auto" w:after="40"/>
              <w:ind w:firstLine="0"/>
              <w:jc w:val="left"/>
            </w:pPr>
            <w:r>
              <w:rPr>
                <w:rFonts w:ascii="Times New Roman" w:hAnsi="Times New Roman"/>
                <w:sz w:val="19"/>
              </w:rPr>
              <w:t xml:space="preserve">Standard</w:t>
            </w:r>
          </w:p>
        </w:tc>
      </w:tr>
    </w:tbl>
    <w:p>
      <w:pPr>
        <w:pStyle w:val="BodyText"/>
        <w:spacing w:line="480" w:lineRule="auto" w:after="0" w:before="0"/>
        <w:ind w:firstLine="720"/>
        <w:jc w:val="left"/>
      </w:pPr>
      <w:r>
        <w:rPr>
          <w:bCs/>
          <w:rFonts w:ascii="Times New Roman" w:hAnsi="Times New Roman" w:eastAsia="Times New Roman" w:cs="Times New Roman"/>
          <w:b/>
        </w:rPr>
        <w:t xml:space="preserve">Identification.</w:t>
      </w:r>
      <w:r>
        <w:rPr>
          <w:rFonts w:ascii="Times New Roman" w:hAnsi="Times New Roman" w:eastAsia="Times New Roman" w:cs="Times New Roman"/>
        </w:rPr>
        <w:t xml:space="preserve"> </w:t>
      </w:r>
      <w:r>
        <w:rPr>
          <w:rFonts w:ascii="Times New Roman" w:hAnsi="Times New Roman" w:eastAsia="Times New Roman" w:cs="Times New Roman"/>
        </w:rPr>
        <w:t xml:space="preserve">Three features make the test one of mechanism and not of association. First, the task-level structure allows firm fixed effects: within a firm, reassignment should be higher for tasks with lower review cost, such as internal drafts, than for tasks with higher review cost, such as public-facing brand imagery. Second, asset stocks should be measured, or recalled, as of the date before acquisition where possible, since firms may build review routines after they begin to reassign tasks. Third, the key prediction is an interaction, in which hiring falls with task reassignment only where assets are high. The raw correlation between use and hiring would not discriminate among the accounts in Table 1. Threats include selection into responding, social-desirability bias in reported compliance, and reverse causation between assets and reassignment; each can be partially addressed by the within-firm design and by pre-registering the hypotheses.</w:t>
      </w:r>
    </w:p>
    <w:p>
      <w:pPr>
        <w:pStyle w:val="BodyText"/>
        <w:spacing w:line="480" w:lineRule="auto" w:after="0" w:before="0"/>
        <w:ind w:firstLine="720"/>
        <w:jc w:val="left"/>
      </w:pPr>
      <w:r>
        <w:rPr>
          <w:bCs/>
          <w:rFonts w:ascii="Times New Roman" w:hAnsi="Times New Roman" w:eastAsia="Times New Roman" w:cs="Times New Roman"/>
          <w:b/>
        </w:rPr>
        <w:t xml:space="preserve">What would refute the account.</w:t>
      </w:r>
      <w:r>
        <w:rPr>
          <w:rFonts w:ascii="Times New Roman" w:hAnsi="Times New Roman" w:eastAsia="Times New Roman" w:cs="Times New Roman"/>
        </w:rPr>
        <w:t xml:space="preserve"> </w:t>
      </w:r>
      <w:r>
        <w:rPr>
          <w:rFonts w:ascii="Times New Roman" w:hAnsi="Times New Roman" w:eastAsia="Times New Roman" w:cs="Times New Roman"/>
        </w:rPr>
        <w:t xml:space="preserve">The assimilation-gap account would be refuted by finding that reassignment among acquirers is high on average (not low), that it does not rise with the three asset stocks, or that hiring falls equally among acquirers with low and high asset stocks. The claim in Section 3.8 that acquisition is less informative as it becomes cheaper would be refuted if the share of acquirers who have reassigned at least one task is no lower for generative visual tools than for comparable earlier technologies surveyed in the same way.</w:t>
      </w:r>
    </w:p>
    <w:p>
      <w:pPr>
        <w:pStyle w:val="BodyText"/>
        <w:spacing w:line="480" w:lineRule="auto" w:after="0" w:before="0"/>
        <w:ind w:firstLine="720"/>
        <w:jc w:val="left"/>
      </w:pPr>
      <w:r>
        <w:rPr>
          <w:rFonts w:ascii="Times New Roman" w:hAnsi="Times New Roman" w:eastAsia="Times New Roman" w:cs="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bookmarkEnd w:id="51"/>
    <w:bookmarkStart w:id="56" w:name="discussion"/>
    <w:p>
      <w:pPr>
        <w:pStyle w:val="Heading2"/>
      </w:pPr>
      <w:r>
        <w:rPr>
          <w:rFonts w:ascii="Times New Roman" w:hAnsi="Times New Roman" w:eastAsia="Times New Roman" w:cs="Times New Roman"/>
        </w:rPr>
        <w:t xml:space="preserve">10 Discussion</w:t>
      </w:r>
    </w:p>
    <w:bookmarkStart w:id="52" w:name="X8b5d7cb2dd9a2ce0d7f424e3d7c91bdc66a3387"/>
    <w:p>
      <w:pPr>
        <w:pStyle w:val="Heading3"/>
      </w:pPr>
      <w:r>
        <w:rPr>
          <w:rFonts w:ascii="Times New Roman" w:hAnsi="Times New Roman" w:eastAsia="Times New Roman" w:cs="Times New Roman"/>
        </w:rPr>
        <w:t xml:space="preserve">10.1 Contributions to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Assimilation research was built on technologies that were hard to make work, and it located the gap between acquiring and using them in the knowledge needed to build competence (Attewell, 1992; Fichman &amp; Kemerer, 1999). Generative AI removes much of that barrier, yet it leaves the gap in place, because the bottleneck moves from producing output to judging it. The complementary-asset account developed here gives the gap a precise location: review cost, which depends on expertise, review capacity, and compliance procedures rather than on the model. This adds a mechanism to IT-complementarity research for a class of technologies in which the complement is judgment. Unlike earlier enterprise systems, model quality alone cannot substitute for the missing complements; improvements in the generator matter only after those complements have brought review cost below the cost of human production. The account also moves the unit of assimilation from the firm to the task, since two employers with the same tool can differ in which tasks they have reassigned, depending on how costly each task is to review. The account connects two literatures that rarely meet. IS studies of AI inside adopting organizations (for example, Fügener et al., 2022) take use as given, and labor-market studies of exposure take the occupation as given. Placing the assimilation step between them clarifies what each can and cannot say. Section 3.8 sets out these extensions, together with boundary conditions for the account. They are conceptual claims whose test awaits the firm-level data described in Section 9. A further conjecture, that cheaper acquisition widens the gap between acquisition and assimilation, is more speculative: the public evidence in Section 3.8 does not support it, and we do not rest the contribution on it.</w:t>
      </w:r>
    </w:p>
    <w:p>
      <w:pPr>
        <w:pStyle w:val="BodyText"/>
        <w:spacing w:line="480" w:lineRule="auto" w:after="0" w:before="0"/>
        <w:ind w:firstLine="720"/>
        <w:jc w:val="left"/>
      </w:pPr>
      <w:r>
        <w:rPr>
          <w:rFonts w:ascii="Times New Roman" w:hAnsi="Times New Roman" w:eastAsia="Times New Roman" w:cs="Times New Roman"/>
        </w:rPr>
        <w:t xml:space="preserve">The paper also offers a methodological caution for a fast-growing literature. Exposure-based hiring designs are widely used to study generative AI, and their estimates are often read as early effects of the technology. The detectability bound shows that designs which relate occupation- or industry-level outcomes to exposure, with a limited number of units, cannot detect plausible assimilation effects of the size observed on platforms at current acquisition rates, and that the gradients they detect cannot be told apart from a trend that preceded the technology. Our European and Canadian estimates fall in this class, and so do the occupation-level estimates of Acemoglu et al. (2022), Albanesi et al. (2025) for 16 European countries, and Georgieff and Hyee (2022) for 23 OECD countries, whose standard errors imply minimum detectable effects of about 6 to 14 log points per standard deviation of exposure. The conclusion does not extend to every exposure design. Designs that use microdata, such as worker-level registers (Gathmann et al., 2024) or firm-by-occupation panels with observed AI use (Hampole et al., 2025), have minimum detectable effects of roughly one to three percent per standard deviation, and designs that observe adoption directly can rule out effects of the size seen on platforms (Humlum &amp; Vestergaard, 2025). For the first class a null or small coefficient is uninformative about assimilation; for the second it is informative. The bound tells the two apart, is simple enough to be reported alongside any exposure estimate, and doing so would prevent both false alarms and false reassurance. In this sense, the contribution is not a claim that generative visual AI has no labor-market effects, but a demonstration that occupation-level evidence of the kind currently available cannot yet reveal those effects.</w:t>
      </w:r>
    </w:p>
    <w:p>
      <w:pPr>
        <w:pStyle w:val="BodyText"/>
        <w:spacing w:line="480" w:lineRule="auto" w:after="0" w:before="0"/>
        <w:ind w:firstLine="720"/>
        <w:jc w:val="left"/>
      </w:pPr>
      <w:r>
        <w:rPr>
          <w:rFonts w:ascii="Times New Roman" w:hAnsi="Times New Roman" w:eastAsia="Times New Roman" w:cs="Times New Roman"/>
        </w:rPr>
        <w:t xml:space="preserve">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acceleration from an independent effect of the technology requires firm-level data that observe an employer’s industry, its use of the tool, and its hiring together.</w:t>
      </w:r>
    </w:p>
    <w:bookmarkEnd w:id="52"/>
    <w:bookmarkStart w:id="53" w:name="a-macroeconomic-reading"/>
    <w:p>
      <w:pPr>
        <w:pStyle w:val="Heading3"/>
      </w:pPr>
      <w:r>
        <w:rPr>
          <w:rFonts w:ascii="Times New Roman" w:hAnsi="Times New Roman" w:eastAsia="Times New Roman" w:cs="Times New Roman"/>
        </w:rPr>
        <w:t xml:space="preserve">10.2 A Macroeconomic Reading</w:t>
      </w:r>
    </w:p>
    <w:p>
      <w:pPr>
        <w:pStyle w:val="FirstParagraph"/>
        <w:spacing w:line="480" w:lineRule="auto" w:after="0" w:before="0"/>
        <w:ind w:firstLine="720"/>
        <w:jc w:val="left"/>
      </w:pPr>
      <w:r>
        <w:rPr>
          <w:rFonts w:ascii="Times New Roman" w:hAnsi="Times New Roman" w:eastAsia="Times New Roman" w:cs="Times New Roman"/>
        </w:rPr>
        <w:t xml:space="preserve">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pStyle w:val="BodyText"/>
        <w:spacing w:line="480" w:lineRule="auto" w:after="0" w:before="0"/>
        <w:ind w:firstLine="720"/>
        <w:jc w:val="left"/>
      </w:pPr>
      <w:r>
        <w:rPr>
          <w:rFonts w:ascii="Times New Roman" w:hAnsi="Times New Roman" w:eastAsia="Times New Roman" w:cs="Times New Roman"/>
        </w:rPr>
        <w:t xml:space="preserve">Two features of labor adjustment shape what the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pStyle w:val="BodyText"/>
        <w:spacing w:line="480" w:lineRule="auto" w:after="0" w:before="0"/>
        <w:ind w:firstLine="720"/>
        <w:jc w:val="left"/>
      </w:pPr>
      <w:r>
        <w:rPr>
          <w:rFonts w:ascii="Times New Roman" w:hAnsi="Times New Roman" w:eastAsia="Times New Roman" w:cs="Times New Roman"/>
        </w:rPr>
        <w:t xml:space="preserve">On timing, the evidence supports neither a prediction that effects will take decades nor the view that the future cannot be known. Table 6 gives earliest detection dates that range from 2025, for very large effects in high-acquisition sectors, to 2035, for a 39 percent fall under slow diffusion in the average firm, and never, in this design, for platform-sized effects. What the data cannot say is whether assimilation is occurring now. Answering that requires firm-level data that link use, complementary assets, task reassignment, and hiring.</w:t>
      </w:r>
    </w:p>
    <w:bookmarkEnd w:id="53"/>
    <w:bookmarkStart w:id="54" w:name="implications"/>
    <w:p>
      <w:pPr>
        <w:pStyle w:val="Heading3"/>
      </w:pPr>
      <w:r>
        <w:rPr>
          <w:rFonts w:ascii="Times New Roman" w:hAnsi="Times New Roman" w:eastAsia="Times New Roman" w:cs="Times New Roman"/>
        </w:rPr>
        <w:t xml:space="preserve">10.3 Implications</w:t>
      </w:r>
    </w:p>
    <w:p>
      <w:pPr>
        <w:pStyle w:val="FirstParagraph"/>
        <w:spacing w:line="480" w:lineRule="auto" w:after="0" w:before="0"/>
        <w:ind w:firstLine="720"/>
        <w:jc w:val="left"/>
      </w:pPr>
      <w:r>
        <w:rPr>
          <w:rFonts w:ascii="Times New Roman" w:hAnsi="Times New Roman" w:eastAsia="Times New Roman" w:cs="Times New Roman"/>
        </w:rPr>
        <w:t xml:space="preserve">For researchers, the implication is to report the acquisition rate and the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bookmarkEnd w:id="54"/>
    <w:bookmarkStart w:id="55" w:name="limitations"/>
    <w:p>
      <w:pPr>
        <w:pStyle w:val="Heading3"/>
      </w:pPr>
      <w:r>
        <w:rPr>
          <w:rFonts w:ascii="Times New Roman" w:hAnsi="Times New Roman" w:eastAsia="Times New Roman" w:cs="Times New Roman"/>
        </w:rPr>
        <w:t xml:space="preserve">10.4 Limitations</w:t>
      </w:r>
    </w:p>
    <w:p>
      <w:pPr>
        <w:pStyle w:val="FirstParagraph"/>
        <w:spacing w:line="480" w:lineRule="auto" w:after="0" w:before="0"/>
        <w:ind w:firstLine="720"/>
        <w:jc w:val="left"/>
      </w:pPr>
      <w:r>
        <w:rPr>
          <w:rFonts w:ascii="Times New Roman" w:hAnsi="Times New Roman" w:eastAsia="Times New Roman" w:cs="Times New Roman"/>
        </w:rPr>
        <w:t xml:space="preserve">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language-model scores that agree with two human coders only weakly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of 0.11 to 0.20, against 0.42 between the coders; Section 5.3), so they capture a minority of the visual content that humans identify. We argue that measurement noise strengthens the detectability result, but it limits what can be said about the gradients themselves, and a categorical treatment defined by occupation codes (for example, graphic designers, visual artists, and photographers) would avoid model-based scoring and is a natural next step that we leave to future work. The control for language-model exposure is our own construction, and the 2024 estimate depends on it (Table 4).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review floor in Proposition 1 rests on the assumption that review hours do not fall with model quality; where better models reduce visible defects, review may become cheaper and the threshold in equation (1) may fall without any change in complements, which would weaken Implication 1 for those tasks. The advert-text evidence in Section 7.6 covers a stock of postings rather than hires and relies on keyword-based inferences of acquirer status and complements.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bookmarkEnd w:id="55"/>
    <w:bookmarkEnd w:id="56"/>
    <w:bookmarkStart w:id="57" w:name="conclusion"/>
    <w:p>
      <w:pPr>
        <w:pStyle w:val="Heading2"/>
      </w:pPr>
      <w:r>
        <w:rPr>
          <w:rFonts w:ascii="Times New Roman" w:hAnsi="Times New Roman" w:eastAsia="Times New Roman" w:cs="Times New Roman"/>
        </w:rPr>
        <w:t xml:space="preserve">11 Conclusion</w:t>
      </w:r>
    </w:p>
    <w:p>
      <w:pPr>
        <w:pStyle w:val="FirstParagraph"/>
        <w:spacing w:line="480" w:lineRule="auto" w:after="0" w:before="0"/>
        <w:ind w:firstLine="720"/>
        <w:jc w:val="left"/>
      </w:pPr>
      <w:r>
        <w:rPr>
          <w:rFonts w:ascii="Times New Roman" w:hAnsi="Times New Roman" w:eastAsia="Times New Roman" w:cs="Times New Roman"/>
        </w:rPr>
        <w:t xml:space="preserve">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So far, occupation-level hiring data show no labor-market effect that can be attributed to generative visual AI: the exposure gradients are small, imprecise, and cannot be told apart from the trend that preceded the technology. That is not evidence of no effect, because these designs could not have detected complete assimilation at platform-sized effects and cannot tell whether acquisition has been assimilated. Answering the question requires linking firms’ use, their complementary assets, and their hiring, and this paper specifies what that evidence would have to show.</w:t>
      </w:r>
    </w:p>
    <w:bookmarkEnd w:id="57"/>
    <w:bookmarkStart w:id="58" w:name="data-code-and-use-of-generative-ai"/>
    <w:p>
      <w:pPr>
        <w:pStyle w:val="Heading2"/>
      </w:pPr>
      <w:r>
        <w:rPr>
          <w:rFonts w:ascii="Times New Roman" w:hAnsi="Times New Roman" w:eastAsia="Times New Roman" w:cs="Times New Roman"/>
        </w:rPr>
        <w:t xml:space="preserve">Data, Code, and Use of Generative AI</w:t>
      </w:r>
    </w:p>
    <w:p>
      <w:pPr>
        <w:pStyle w:val="FirstParagraph"/>
        <w:spacing w:line="480" w:lineRule="auto" w:after="0" w:before="0"/>
        <w:ind w:firstLine="720"/>
        <w:jc w:val="left"/>
      </w:pPr>
      <w:r>
        <w:rPr>
          <w:rFonts w:ascii="Times New Roman" w:hAnsi="Times New Roman" w:eastAsia="Times New Roman" w:cs="Times New Roman"/>
        </w:rPr>
        <w:t xml:space="preserve">All data are public (Eurostat, Statistics Canada, O*NET, Indeed Hiring Lab, Web Data Commons). Code, prompts, and the language-model task scores required to reproduce Tables 4 and 5 and the analyses in Sections 7.1 and 7.4 are available in an anonymized replication repository. Large language models (Claude Haiku 5.5, with GPT-5.6 Luna as a second scorer) were used as measurement instruments to code O*NET task statements and NOC main-duty statements, and Claude Haiku 5.5 to classify job-posting titles and the treatment of generative AI in posting text. A generative AI assistant was used to help write analysis code and to draft and edit the manuscript. The authors reviewed all results, text, and code and take responsibility for the content.</w:t>
      </w:r>
    </w:p>
    <w:bookmarkEnd w:id="58"/>
    <w:bookmarkStart w:id="59" w:name="appendix-a.-rubrics"/>
    <w:p>
      <w:pPr>
        <w:pStyle w:val="Heading2"/>
      </w:pPr>
      <w:r>
        <w:rPr>
          <w:rFonts w:ascii="Times New Roman" w:hAnsi="Times New Roman" w:eastAsia="Times New Roman" w:cs="Times New Roman"/>
        </w:rPr>
        <w:t xml:space="preserve">Appendix A. Rubrics</w:t>
      </w:r>
    </w:p>
    <w:p>
      <w:pPr>
        <w:pStyle w:val="FirstParagraph"/>
        <w:spacing w:line="480" w:lineRule="auto" w:after="0" w:before="0"/>
        <w:ind w:firstLine="720"/>
        <w:jc w:val="left"/>
      </w:pPr>
      <w:r>
        <w:rPr>
          <w:bCs/>
          <w:rFonts w:ascii="Times New Roman" w:hAnsi="Times New Roman" w:eastAsia="Times New Roman" w:cs="Times New Roman"/>
          <w:b/>
        </w:rPr>
        <w:t xml:space="preserve">Visual content creation (primary).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pStyle w:val="BodyText"/>
        <w:spacing w:line="480" w:lineRule="auto" w:after="0" w:before="0"/>
        <w:ind w:firstLine="720"/>
        <w:jc w:val="left"/>
      </w:pPr>
      <w:r>
        <w:rPr>
          <w:bCs/>
          <w:rFonts w:ascii="Times New Roman" w:hAnsi="Times New Roman" w:eastAsia="Times New Roman" w:cs="Times New Roman"/>
          <w:b/>
        </w:rPr>
        <w:t xml:space="preserve">Text work (control for language-model exposure).</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reading, writing, summarizing, translating, or otherwise producing or editing text is central to the task; 1 if text is a partial or supporting product; 0 otherwise. Spoken conversation, numeric calculation, and purely physical work do not count. Both rubrics were applied in a single prompt, in batches of 20 statements, at temperature zero; the prompt is in the replication repository.</w:t>
      </w:r>
    </w:p>
    <w:bookmarkEnd w:id="59"/>
    <w:bookmarkStart w:id="60" w:name="X8a54bc2e205ec9edb9f5805e6d8d6bb56135511"/>
    <w:p>
      <w:pPr>
        <w:pStyle w:val="Heading2"/>
      </w:pPr>
      <w:r>
        <w:rPr>
          <w:rFonts w:ascii="Times New Roman" w:hAnsi="Times New Roman" w:eastAsia="Times New Roman" w:cs="Times New Roman"/>
        </w:rPr>
        <w:t xml:space="preserve">Appendix B. Derivation of the Detectability Bound</w:t>
      </w:r>
    </w:p>
    <w:p>
      <w:pPr>
        <w:pStyle w:val="FirstParagraph"/>
        <w:spacing w:line="480" w:lineRule="auto" w:after="0" w:before="0"/>
        <w:ind w:firstLine="720"/>
        <w:jc w:val="left"/>
      </w:pPr>
      <w:r>
        <w:rPr>
          <w:rFonts w:ascii="Times New Roman" w:hAnsi="Times New Roman" w:eastAsia="Times New Roman" w:cs="Times New Roman"/>
        </w:rPr>
        <w:t xml:space="preserve">Let exposure</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proportional to the visual share of work,</w:t>
      </w:r>
      <w:r>
        <w:rPr>
          <w:rFonts w:ascii="Times New Roman" w:hAnsi="Times New Roman" w:eastAsia="Times New Roman" w:cs="Times New Roman"/>
        </w:rPr>
        <w:t xml:space="preserve"> </w:t>
      </w:r>
      <m:oMath>
        <m:sSub>
          <m:e>
            <m:r>
              <m:t>e</m:t>
            </m:r>
          </m:e>
          <m:sub>
            <m:r>
              <m:t>j</m:t>
            </m:r>
          </m:sub>
        </m:sSub>
        <m:r>
          <m:rPr>
            <m:sty m:val="p"/>
          </m:rPr>
          <m:t>=</m:t>
        </m:r>
        <m:r>
          <m:t>λ</m:t>
        </m:r>
        <m:sSub>
          <m:e>
            <m:r>
              <m:t>s</m:t>
            </m:r>
          </m:e>
          <m:sub>
            <m:r>
              <m:t>j</m:t>
            </m:r>
          </m:sub>
        </m:sSub>
      </m:oMath>
      <w:r>
        <w:rPr>
          <w:rFonts w:ascii="Times New Roman" w:hAnsi="Times New Roman" w:eastAsia="Times New Roman" w:cs="Times New Roman"/>
        </w:rPr>
        <w:t xml:space="preserve">, and let standardized exposure be</w:t>
      </w:r>
      <w:r>
        <w:rPr>
          <w:rFonts w:ascii="Times New Roman" w:hAnsi="Times New Roman" w:eastAsia="Times New Roman" w:cs="Times New Roman"/>
        </w:rPr>
        <w:t xml:space="preserve"> </w:t>
      </w:r>
      <m:oMath>
        <m:sSub>
          <m:e>
            <m:r>
              <m:t>z</m:t>
            </m:r>
          </m:e>
          <m:sub>
            <m:r>
              <m:t>j</m:t>
            </m:r>
          </m:sub>
        </m:sSub>
        <m:r>
          <m:rPr>
            <m:sty m:val="p"/>
          </m:rPr>
          <m:t>=</m:t>
        </m:r>
        <m:d>
          <m:dPr>
            <m:begChr m:val="("/>
            <m:endChr m:val=")"/>
            <m:sepChr m:val=""/>
            <m:grow/>
          </m:dPr>
          <m:e>
            <m:sSub>
              <m:e>
                <m:r>
                  <m:t>e</m:t>
                </m:r>
              </m:e>
              <m:sub>
                <m:r>
                  <m:t>j</m:t>
                </m:r>
              </m:sub>
            </m:sSub>
            <m:r>
              <m:rPr>
                <m:sty m:val="p"/>
              </m:rPr>
              <m:t>−</m:t>
            </m:r>
            <m:acc>
              <m:accPr>
                <m:chr m:val="‾"/>
              </m:accPr>
              <m:e>
                <m:r>
                  <m:t>e</m:t>
                </m:r>
              </m:e>
            </m:acc>
          </m:e>
        </m:d>
        <m:r>
          <m:rPr>
            <m:sty m:val="p"/>
          </m:rPr>
          <m:t>/</m:t>
        </m:r>
        <m:sSub>
          <m:e>
            <m:r>
              <m:t>σ</m:t>
            </m:r>
          </m:e>
          <m:sub>
            <m:r>
              <m:t>e</m:t>
            </m:r>
          </m:sub>
        </m:sSub>
      </m:oMath>
      <w:r>
        <w:rPr>
          <w:rFonts w:ascii="Times New Roman" w:hAnsi="Times New Roman" w:eastAsia="Times New Roman" w:cs="Times New Roman"/>
        </w:rPr>
        <w:t xml:space="preserve">. If the most exposed occupation has</w:t>
      </w:r>
      <w:r>
        <w:rPr>
          <w:rFonts w:ascii="Times New Roman" w:hAnsi="Times New Roman" w:eastAsia="Times New Roman" w:cs="Times New Roman"/>
        </w:rPr>
        <w:t xml:space="preserve"> </w:t>
      </w:r>
      <m:oMath>
        <m:sSub>
          <m:e>
            <m:r>
              <m:t>s</m:t>
            </m:r>
          </m:e>
          <m:sub>
            <m:r>
              <m:t>j</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b>
          <m:e>
            <m:r>
              <m:t>z</m:t>
            </m:r>
          </m:e>
          <m:sub>
            <m:r>
              <m:t>j</m:t>
            </m:r>
          </m:sub>
        </m:sSub>
        <m:r>
          <m:rPr>
            <m:sty m:val="p"/>
          </m:rPr>
          <m:t>=</m:t>
        </m:r>
        <m:r>
          <m:t>k</m:t>
        </m:r>
      </m:oMath>
      <w:r>
        <w:rPr>
          <w:rFonts w:ascii="Times New Roman" w:hAnsi="Times New Roman" w:eastAsia="Times New Roman" w:cs="Times New Roman"/>
        </w:rPr>
        <w:t xml:space="preserve">, and if exposure near the mean is small relative to its maximum, then</w:t>
      </w:r>
      <w:r>
        <w:rPr>
          <w:rFonts w:ascii="Times New Roman" w:hAnsi="Times New Roman" w:eastAsia="Times New Roman" w:cs="Times New Roman"/>
        </w:rPr>
        <w:t xml:space="preserve"> </w:t>
      </w:r>
      <m:oMath>
        <m:sSub>
          <m:e>
            <m:r>
              <m:t>s</m:t>
            </m:r>
          </m:e>
          <m:sub>
            <m:r>
              <m:t>j</m:t>
            </m:r>
          </m:sub>
        </m:sSub>
        <m:r>
          <m:rPr>
            <m:sty m:val="p"/>
          </m:rPr>
          <m:t>≈</m:t>
        </m:r>
        <m:sSub>
          <m:e>
            <m:r>
              <m:t>z</m:t>
            </m:r>
          </m:e>
          <m:sub>
            <m:r>
              <m:t>j</m:t>
            </m:r>
          </m:sub>
        </m:sSub>
        <m:r>
          <m:rPr>
            <m:sty m:val="p"/>
          </m:rPr>
          <m:t>/</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 the relevant range. Substituting into equation (2) with</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gives</w:t>
      </w:r>
      <w:r>
        <w:rPr>
          <w:rFonts w:ascii="Times New Roman" w:hAnsi="Times New Roman" w:eastAsia="Times New Roman" w:cs="Times New Roman"/>
        </w:rPr>
        <w:t xml:space="preserve"> </w:t>
      </w:r>
      <m:oMath>
        <m:r>
          <m:t>Δ</m:t>
        </m:r>
        <m:r>
          <m:rPr>
            <m:sty m:val="p"/>
          </m:rPr>
          <m:t>ln</m:t>
        </m:r>
        <m:sSub>
          <m:e>
            <m:r>
              <m:t>N</m:t>
            </m:r>
          </m:e>
          <m:sub>
            <m:r>
              <m:t>j</m:t>
            </m:r>
          </m:sub>
        </m:sSub>
        <m:r>
          <m:rPr>
            <m:sty m:val="p"/>
          </m:rPr>
          <m:t>≈</m:t>
        </m:r>
        <m:d>
          <m:dPr>
            <m:begChr m:val="("/>
            <m:endChr m:val=")"/>
            <m:sepChr m:val=""/>
            <m:grow/>
          </m:dPr>
          <m:e>
            <m:sSup>
              <m:e>
                <m:r>
                  <m:t>A</m:t>
                </m:r>
              </m:e>
              <m:sup>
                <m:r>
                  <m:t>u</m:t>
                </m:r>
              </m:sup>
            </m:sSup>
            <m:r>
              <m:t>β</m:t>
            </m:r>
            <m:r>
              <m:rPr>
                <m:sty m:val="p"/>
              </m:rPr>
              <m:t>/</m:t>
            </m:r>
            <m:r>
              <m:t>k</m:t>
            </m:r>
          </m:e>
        </m:d>
        <m:r>
          <m:rPr>
            <m:sty m:val="p"/>
          </m:rPr>
          <m:t>⋅</m:t>
        </m:r>
        <m:sSub>
          <m:e>
            <m:r>
              <m:t>z</m:t>
            </m:r>
          </m:e>
          <m:sub>
            <m:r>
              <m:t>j</m:t>
            </m:r>
          </m:sub>
        </m:sSub>
      </m:oMath>
      <w:r>
        <w:rPr>
          <w:rFonts w:ascii="Times New Roman" w:hAnsi="Times New Roman" w:eastAsia="Times New Roman" w:cs="Times New Roman"/>
        </w:rPr>
        <w:t xml:space="preserve">, so the regression coefficient on</w:t>
      </w:r>
      <w:r>
        <w:rPr>
          <w:rFonts w:ascii="Times New Roman" w:hAnsi="Times New Roman" w:eastAsia="Times New Roman" w:cs="Times New Roman"/>
        </w:rPr>
        <w:t xml:space="preserve"> </w:t>
      </w:r>
      <m:oMath>
        <m:sSub>
          <m:e>
            <m:r>
              <m:t>z</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under complete assimilation is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t>β</m:t>
        </m:r>
        <m:r>
          <m:rPr>
            <m:sty m:val="p"/>
          </m:rPr>
          <m:t>/</m:t>
        </m:r>
        <m:r>
          <m:t>k</m:t>
        </m:r>
      </m:oMath>
      <w:r>
        <w:rPr>
          <w:rFonts w:ascii="Times New Roman" w:hAnsi="Times New Roman" w:eastAsia="Times New Roman" w:cs="Times New Roman"/>
        </w:rPr>
        <w:t xml:space="preserve">. The minimum detectable effect for a two-sided test of size 0.05 with power 0.8 is</w:t>
      </w:r>
      <w:r>
        <w:rPr>
          <w:rFonts w:ascii="Times New Roman" w:hAnsi="Times New Roman" w:eastAsia="Times New Roman" w:cs="Times New Roman"/>
        </w:rPr>
        <w:t xml:space="preserve"> </w:t>
      </w:r>
      <m:oMath>
        <m:d>
          <m:dPr>
            <m:begChr m:val="("/>
            <m:endChr m:val=")"/>
            <m:sepChr m:val=""/>
            <m:grow/>
          </m:dPr>
          <m:e>
            <m:r>
              <m:t>1.96</m:t>
            </m:r>
            <m:r>
              <m:rPr>
                <m:sty m:val="p"/>
              </m:rPr>
              <m:t>+</m:t>
            </m:r>
            <m:r>
              <m:t>0.84</m:t>
            </m:r>
          </m:e>
        </m:d>
        <m:r>
          <m:rPr>
            <m:sty m:val="p"/>
          </m:rPr>
          <m:t>⋅</m:t>
        </m:r>
        <m:r>
          <m:t>S</m:t>
        </m:r>
        <m:r>
          <m:t>E</m:t>
        </m:r>
        <m:r>
          <m:rPr>
            <m:sty m:val="p"/>
          </m:rPr>
          <m:t>≈</m:t>
        </m:r>
        <m:r>
          <m:t>2.8</m:t>
        </m:r>
        <m:r>
          <m:t> </m:t>
        </m:r>
        <m:r>
          <m:t>S</m:t>
        </m:r>
        <m:r>
          <m:t>E</m:t>
        </m:r>
      </m:oMath>
      <w:r>
        <w:rPr>
          <w:rFonts w:ascii="Times New Roman" w:hAnsi="Times New Roman" w:eastAsia="Times New Roman" w:cs="Times New Roman"/>
        </w:rPr>
        <w:t xml:space="preserve">. Detection for the most exposed occupation requires</w:t>
      </w:r>
      <w:r>
        <w:rPr>
          <w:rFonts w:ascii="Times New Roman" w:hAnsi="Times New Roman" w:eastAsia="Times New Roman" w:cs="Times New Roman"/>
        </w:rPr>
        <w:t xml:space="preserve"> </w:t>
      </w:r>
      <m:oMath>
        <m:d>
          <m:dPr>
            <m:begChr m:val="|"/>
            <m:endChr m:val="|"/>
            <m:sepChr m:val=""/>
            <m:grow/>
          </m:dPr>
          <m:e>
            <m:sSup>
              <m:e>
                <m:r>
                  <m:t>A</m:t>
                </m:r>
              </m:e>
              <m:sup>
                <m:r>
                  <m:t>a</m:t>
                </m:r>
              </m:sup>
            </m:sSup>
            <m:r>
              <m:t>β</m:t>
            </m:r>
          </m:e>
        </m:d>
        <m:r>
          <m:rPr>
            <m:sty m:val="p"/>
          </m:rPr>
          <m:t>≥</m:t>
        </m:r>
        <m:r>
          <m:t>2.8</m:t>
        </m:r>
        <m:r>
          <m:t> </m:t>
        </m:r>
        <m:r>
          <m:t>S</m:t>
        </m:r>
        <m:r>
          <m:t>E</m:t>
        </m:r>
        <m:r>
          <m:rPr>
            <m:sty m:val="p"/>
          </m:rPr>
          <m:t>⋅</m:t>
        </m:r>
        <m:r>
          <m:t>k</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S</m:t>
        </m:r>
        <m:r>
          <m:t>E</m:t>
        </m:r>
        <m:r>
          <m:rPr>
            <m:sty m:val="p"/>
          </m:rPr>
          <m:t>=</m:t>
        </m:r>
        <m:r>
          <m:t>0.018</m:t>
        </m:r>
      </m:oMath>
      <w:r>
        <w:rPr>
          <w:rFonts w:ascii="Times New Roman" w:hAnsi="Times New Roman" w:eastAsia="Times New Roman" w:cs="Times New Roman"/>
        </w:rPr>
        <w:t xml:space="preserve"> </w:t>
      </w:r>
      <w:r>
        <w:rPr>
          <w:rFonts w:ascii="Times New Roman" w:hAnsi="Times New Roman" w:eastAsia="Times New Roman" w:cs="Times New Roman"/>
        </w:rPr>
        <w:t xml:space="preserve">(Europe, 2024) and</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threshold is 0.27. If mean exposure is not small relative to its maximum,</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overstates the effective spread and the implied</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somewhat larger, but for the values in Table 5 to cross the detection threshold the effective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would need to fall below about 3.6 under the most aggressive scenario.</w:t>
      </w:r>
    </w:p>
    <w:p>
      <w:pPr>
        <w:pStyle w:val="BodyText"/>
        <w:spacing w:line="480" w:lineRule="auto" w:after="0" w:before="0"/>
        <w:ind w:firstLine="720"/>
        <w:jc w:val="left"/>
      </w:pPr>
      <w:r>
        <w:rPr>
          <w:iCs/>
          <w:rFonts w:ascii="Times New Roman" w:hAnsi="Times New Roman" w:eastAsia="Times New Roman" w:cs="Times New Roman"/>
          <w:i/>
        </w:rPr>
        <w:t xml:space="preserve">Measurement error in exposure.</w:t>
      </w:r>
      <w:r>
        <w:rPr>
          <w:rFonts w:ascii="Times New Roman" w:hAnsi="Times New Roman" w:eastAsia="Times New Roman" w:cs="Times New Roman"/>
        </w:rPr>
        <w:t xml:space="preserve"> </w:t>
      </w:r>
      <w:r>
        <w:rPr>
          <w:rFonts w:ascii="Times New Roman" w:hAnsi="Times New Roman" w:eastAsia="Times New Roman" w:cs="Times New Roman"/>
        </w:rPr>
        <w:t xml:space="preserve">Suppose observed exposure is</w:t>
      </w:r>
      <w:r>
        <w:rPr>
          <w:rFonts w:ascii="Times New Roman" w:hAnsi="Times New Roman" w:eastAsia="Times New Roman" w:cs="Times New Roman"/>
        </w:rPr>
        <w:t xml:space="preserve"> </w:t>
      </w:r>
      <m:oMath>
        <m:sSub>
          <m:e>
            <m:acc>
              <m:accPr>
                <m:chr m:val="̃"/>
              </m:accPr>
              <m:e>
                <m:r>
                  <m:t>e</m:t>
                </m:r>
              </m:e>
            </m:acc>
          </m:e>
          <m:sub>
            <m:r>
              <m:t>j</m:t>
            </m:r>
          </m:sub>
        </m:sSub>
        <m:r>
          <m:rPr>
            <m:sty m:val="p"/>
          </m:rPr>
          <m:t>=</m:t>
        </m:r>
        <m:sSub>
          <m:e>
            <m:r>
              <m:t>e</m:t>
            </m:r>
          </m:e>
          <m:sub>
            <m:r>
              <m:t>j</m:t>
            </m:r>
          </m:sub>
        </m:sSub>
        <m:r>
          <m:rPr>
            <m:sty m:val="p"/>
          </m:rPr>
          <m:t>+</m:t>
        </m:r>
        <m:sSub>
          <m:e>
            <m:r>
              <m:t>u</m:t>
            </m:r>
          </m:e>
          <m:sub>
            <m:r>
              <m:t>j</m:t>
            </m:r>
          </m:sub>
        </m:sSub>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sSub>
          <m:e>
            <m:r>
              <m:t>u</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independent of</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of the outcome, and let</w:t>
      </w:r>
      <w:r>
        <w:rPr>
          <w:rFonts w:ascii="Times New Roman" w:hAnsi="Times New Roman" w:eastAsia="Times New Roman" w:cs="Times New Roman"/>
        </w:rPr>
        <w:t xml:space="preserve"> </w:t>
      </w:r>
      <m:oMath>
        <m:r>
          <m:t>R</m:t>
        </m:r>
        <m:r>
          <m:rPr>
            <m:sty m:val="p"/>
          </m:rPr>
          <m:t>=</m:t>
        </m:r>
        <m:r>
          <m:rPr>
            <m:sty m:val="p"/>
          </m:rPr>
          <m:t>v</m:t>
        </m:r>
        <m:r>
          <m:rPr>
            <m:sty m:val="p"/>
          </m:rPr>
          <m:t>a</m:t>
        </m:r>
        <m:r>
          <m:rPr>
            <m:sty m:val="p"/>
          </m:rPr>
          <m:t>r</m:t>
        </m:r>
        <m:d>
          <m:dPr>
            <m:begChr m:val="("/>
            <m:endChr m:val=")"/>
            <m:sepChr m:val=""/>
            <m:grow/>
          </m:dPr>
          <m:e>
            <m:r>
              <m:t>e</m:t>
            </m:r>
          </m:e>
        </m:d>
        <m:r>
          <m:rPr>
            <m:sty m:val="p"/>
          </m:rPr>
          <m:t>/</m:t>
        </m:r>
        <m:r>
          <m:rPr>
            <m:sty m:val="p"/>
          </m:rPr>
          <m:t>v</m:t>
        </m:r>
        <m:r>
          <m:rPr>
            <m:sty m:val="p"/>
          </m:rPr>
          <m:t>a</m:t>
        </m:r>
        <m:r>
          <m:rPr>
            <m:sty m:val="p"/>
          </m:rPr>
          <m:t>r</m:t>
        </m:r>
        <m:d>
          <m:dPr>
            <m:begChr m:val="("/>
            <m:endChr m:val=")"/>
            <m:sepChr m:val=""/>
            <m:grow/>
          </m:dPr>
          <m:e>
            <m:acc>
              <m:accPr>
                <m:chr m:val="̃"/>
              </m:accPr>
              <m:e>
                <m:r>
                  <m:t>e</m:t>
                </m:r>
              </m:e>
            </m:acc>
          </m:e>
        </m:d>
      </m:oMath>
      <w:r>
        <w:rPr>
          <w:rFonts w:ascii="Times New Roman" w:hAnsi="Times New Roman" w:eastAsia="Times New Roman" w:cs="Times New Roman"/>
        </w:rPr>
        <w:t xml:space="preserve"> </w:t>
      </w:r>
      <w:r>
        <w:rPr>
          <w:rFonts w:ascii="Times New Roman" w:hAnsi="Times New Roman" w:eastAsia="Times New Roman" w:cs="Times New Roman"/>
        </w:rPr>
        <w:t xml:space="preserve">denote its reliability. The slope per unit of observed exposure is</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 the slope per unit of true exposure. Because</w:t>
      </w:r>
      <w:r>
        <w:rPr>
          <w:rFonts w:ascii="Times New Roman" w:hAnsi="Times New Roman" w:eastAsia="Times New Roman" w:cs="Times New Roman"/>
        </w:rPr>
        <w:t xml:space="preserve"> </w:t>
      </w:r>
      <m:oMath>
        <m:sSub>
          <m:e>
            <m:r>
              <m:t>σ</m:t>
            </m:r>
          </m:e>
          <m:sub>
            <m:acc>
              <m:accPr>
                <m:chr m:val="̃"/>
              </m:accPr>
              <m:e>
                <m:r>
                  <m:t>e</m:t>
                </m:r>
              </m:e>
            </m:acc>
          </m:sub>
        </m:sSub>
        <m:r>
          <m:rPr>
            <m:sty m:val="p"/>
          </m:rPr>
          <m:t>=</m:t>
        </m:r>
        <m:sSub>
          <m:e>
            <m:r>
              <m:t>σ</m:t>
            </m:r>
          </m:e>
          <m:sub>
            <m:r>
              <m:t>e</m:t>
            </m:r>
          </m:sub>
        </m:sSub>
        <m:r>
          <m:rPr>
            <m:sty m:val="p"/>
          </m:rPr>
          <m:t>/</m:t>
        </m:r>
        <m:rad>
          <m:radPr>
            <m:degHide m:val="on"/>
          </m:radPr>
          <m:deg/>
          <m:e>
            <m:r>
              <m:t>R</m:t>
            </m:r>
          </m:e>
        </m:rad>
      </m:oMath>
      <w:r>
        <w:rPr>
          <w:rFonts w:ascii="Times New Roman" w:hAnsi="Times New Roman" w:eastAsia="Times New Roman" w:cs="Times New Roman"/>
        </w:rPr>
        <w:t xml:space="preserve">, the coefficient per standard deviation of observed exposure is</w:t>
      </w:r>
      <w:r>
        <w:rPr>
          <w:rFonts w:ascii="Times New Roman" w:hAnsi="Times New Roman" w:eastAsia="Times New Roman" w:cs="Times New Roman"/>
        </w:rPr>
        <w:t xml:space="preserve"> </w:t>
      </w:r>
      <m:oMath>
        <m:rad>
          <m:radPr>
            <m:degHide m:val="on"/>
          </m:radPr>
          <m:deg/>
          <m:e>
            <m:r>
              <m:t>R</m:t>
            </m:r>
          </m:e>
        </m:rad>
        <m:r>
          <m:t> </m:t>
        </m:r>
        <m:sSup>
          <m:e>
            <m:r>
              <m:t>γ</m:t>
            </m:r>
          </m:e>
          <m:sup>
            <m:r>
              <m:rPr>
                <m:sty m:val="p"/>
              </m:rPr>
              <m:t>*</m:t>
            </m:r>
          </m:sup>
        </m:sSup>
      </m:oMath>
      <w:r>
        <w:rPr>
          <w:rFonts w:ascii="Times New Roman" w:hAnsi="Times New Roman" w:eastAsia="Times New Roman" w:cs="Times New Roman"/>
        </w:rPr>
        <w:t xml:space="preserve">. Complete assimilation therefore implies a coefficient of magnitude</w:t>
      </w:r>
      <w:r>
        <w:rPr>
          <w:rFonts w:ascii="Times New Roman" w:hAnsi="Times New Roman" w:eastAsia="Times New Roman" w:cs="Times New Roman"/>
        </w:rPr>
        <w:t xml:space="preserve"> </w:t>
      </w:r>
      <m:oMath>
        <m:rad>
          <m:radPr>
            <m:degHide m:val="on"/>
          </m:radPr>
          <m:deg/>
          <m:e>
            <m:r>
              <m:t>R</m:t>
            </m:r>
          </m:e>
        </m:rad>
        <m:r>
          <m:t> </m:t>
        </m:r>
        <m:d>
          <m:dPr>
            <m:begChr m:val="|"/>
            <m:endChr m:val="|"/>
            <m:sepChr m:val=""/>
            <m:grow/>
          </m:dPr>
          <m:e>
            <m:sSup>
              <m:e>
                <m:r>
                  <m:t>γ</m:t>
                </m:r>
              </m:e>
              <m:sup>
                <m:r>
                  <m:rPr>
                    <m:sty m:val="p"/>
                  </m:rPr>
                  <m:t>*</m:t>
                </m:r>
              </m:sup>
            </m:sSup>
          </m:e>
        </m:d>
      </m:oMath>
      <w:r>
        <w:rPr>
          <w:rFonts w:ascii="Times New Roman" w:hAnsi="Times New Roman" w:eastAsia="Times New Roman" w:cs="Times New Roman"/>
        </w:rPr>
        <w:t xml:space="preserve">, while the minimum detectable effect, a function of the standard error, is not reduced. With</w:t>
      </w:r>
      <w:r>
        <w:rPr>
          <w:rFonts w:ascii="Times New Roman" w:hAnsi="Times New Roman" w:eastAsia="Times New Roman" w:cs="Times New Roman"/>
        </w:rPr>
        <w:t xml:space="preserve"> </w:t>
      </w:r>
      <m:oMath>
        <m:r>
          <m:t>R</m:t>
        </m:r>
        <m:r>
          <m:rPr>
            <m:sty m:val="p"/>
          </m:rPr>
          <m:t>=</m:t>
        </m:r>
        <m:r>
          <m:t>0.5</m:t>
        </m:r>
      </m:oMath>
      <w:r>
        <w:rPr>
          <w:rFonts w:ascii="Times New Roman" w:hAnsi="Times New Roman" w:eastAsia="Times New Roman" w:cs="Times New Roman"/>
        </w:rPr>
        <w:t xml:space="preserve">, for example, the largest scenario in Table 5 falls from</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w:t>
      </w:r>
      <w:r>
        <w:rPr>
          <w:rFonts w:ascii="Times New Roman" w:hAnsi="Times New Roman" w:eastAsia="Times New Roman" w:cs="Times New Roman"/>
        </w:rPr>
        <w:t xml:space="preserve">to about</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further below the 2024 minimum detectable effect of 0.050. Noise of this classical kind strengthens the conclusion that the design cannot detect complete assimilation. It does not license any substantive reading of the observed gradients, and if the error in the language-model score is correlated with exposure to language models, the direction of the bias is ambiguous.</w:t>
      </w:r>
    </w:p>
    <w:bookmarkEnd w:id="60"/>
    <w:bookmarkStart w:id="61" w:name="appendix-c.-derivations-for-section-3"/>
    <w:p>
      <w:pPr>
        <w:pStyle w:val="Heading2"/>
      </w:pPr>
      <w:r>
        <w:rPr>
          <w:rFonts w:ascii="Times New Roman" w:hAnsi="Times New Roman" w:eastAsia="Times New Roman" w:cs="Times New Roman"/>
        </w:rPr>
        <w:t xml:space="preserve">Appendix C. Derivations for Section 3</w:t>
      </w:r>
    </w:p>
    <w:p>
      <w:pPr>
        <w:pStyle w:val="FirstParagraph"/>
        <w:spacing w:line="480" w:lineRule="auto" w:after="0" w:before="0"/>
        <w:ind w:firstLine="720"/>
        <w:jc w:val="left"/>
      </w:pPr>
      <w:r>
        <w:rPr>
          <w:iCs/>
          <w:rFonts w:ascii="Times New Roman" w:hAnsi="Times New Roman" w:eastAsia="Times New Roman" w:cs="Times New Roman"/>
          <w:i/>
        </w:rPr>
        <w:t xml:space="preserve">Labor and cost ratios.</w:t>
      </w:r>
      <w:r>
        <w:rPr>
          <w:rFonts w:ascii="Times New Roman" w:hAnsi="Times New Roman" w:eastAsia="Times New Roman" w:cs="Times New Roman"/>
        </w:rPr>
        <w:t xml:space="preserve"> </w:t>
      </w:r>
      <w:r>
        <w:rPr>
          <w:rFonts w:ascii="Times New Roman" w:hAnsi="Times New Roman" w:eastAsia="Times New Roman" w:cs="Times New Roman"/>
        </w:rPr>
        <w:t xml:space="preserve">Human production of a unit takes</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With the generator, a unit requires</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review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expected labor per unit is</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r>
          <m:rPr>
            <m:sty m:val="p"/>
          </m:rPr>
          <m:t>=</m:t>
        </m:r>
        <m:r>
          <m:t>h</m:t>
        </m:r>
        <m:d>
          <m:dPr>
            <m:begChr m:val="("/>
            <m:endChr m:val=")"/>
            <m:sepChr m:val=""/>
            <m:grow/>
          </m:dPr>
          <m:e>
            <m:r>
              <m:t>ρ</m:t>
            </m:r>
            <m:r>
              <m:rPr>
                <m:sty m:val="p"/>
              </m:rPr>
              <m:t>+</m:t>
            </m:r>
            <m:r>
              <m:t>1</m:t>
            </m:r>
            <m:r>
              <m:rPr>
                <m:sty m:val="p"/>
              </m:rPr>
              <m:t>−</m:t>
            </m:r>
            <m:r>
              <m:t>a</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m:oMath>
        <m:r>
          <m:t>ρ</m:t>
        </m:r>
        <m:r>
          <m:rPr>
            <m:sty m:val="p"/>
          </m:rPr>
          <m:t>=</m:t>
        </m:r>
        <m:r>
          <m:t>u</m:t>
        </m:r>
        <m:r>
          <m:rPr>
            <m:sty m:val="p"/>
          </m:rPr>
          <m:t>/</m:t>
        </m:r>
        <m:r>
          <m:t>h</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at equal wages. Expected cost per unit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r>
          <m:rPr>
            <m:sty m:val="p"/>
          </m:rPr>
          <m:t>=</m:t>
        </m:r>
        <m:r>
          <m:t>θ</m:t>
        </m:r>
        <m:r>
          <m:t>κ</m:t>
        </m:r>
      </m:oMath>
      <w:r>
        <w:rPr>
          <w:rFonts w:ascii="Times New Roman" w:hAnsi="Times New Roman" w:eastAsia="Times New Roman" w:cs="Times New Roman"/>
        </w:rPr>
        <w:t xml:space="preserve">. Output scales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under constant elasticity</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so labor demand scales by</w:t>
      </w:r>
      <w:r>
        <w:rPr>
          <w:rFonts w:ascii="Times New Roman" w:hAnsi="Times New Roman" w:eastAsia="Times New Roman" w:cs="Times New Roman"/>
        </w:rPr>
        <w:t xml:space="preserve"> </w:t>
      </w:r>
      <m:oMath>
        <m:d>
          <m:dPr>
            <m:begChr m:val="("/>
            <m:endChr m:val=")"/>
            <m:sepChr m:val=""/>
            <m:grow/>
          </m:dPr>
          <m:e>
            <m:r>
              <m:t>1</m:t>
            </m:r>
            <m:r>
              <m:rPr>
                <m:sty m:val="p"/>
              </m:rPr>
              <m:t>−</m:t>
            </m:r>
            <m:r>
              <m:t>a</m:t>
            </m:r>
            <m:r>
              <m:rPr>
                <m:sty m:val="p"/>
              </m:rPr>
              <m:t>+</m:t>
            </m:r>
            <m:r>
              <m:t>ρ</m:t>
            </m:r>
          </m:e>
        </m:d>
        <m:sSup>
          <m:e>
            <m:r>
              <m:t>κ</m:t>
            </m:r>
          </m:e>
          <m:sup>
            <m:r>
              <m:rPr>
                <m:sty m:val="p"/>
              </m:rPr>
              <m:t>−</m:t>
            </m:r>
            <m:r>
              <m:t>ε</m:t>
            </m:r>
          </m:sup>
        </m:sSup>
      </m:oMath>
      <w:r>
        <w:rPr>
          <w:rFonts w:ascii="Times New Roman" w:hAnsi="Times New Roman" w:eastAsia="Times New Roman" w:cs="Times New Roman"/>
        </w:rPr>
        <w:t xml:space="preserve">, which gives equation (3) after taking logarithms.</w:t>
      </w:r>
    </w:p>
    <w:p>
      <w:pPr>
        <w:pStyle w:val="BodyText"/>
        <w:spacing w:line="480" w:lineRule="auto" w:after="0" w:before="0"/>
        <w:ind w:firstLine="720"/>
        <w:jc w:val="left"/>
      </w:pPr>
      <w:r>
        <w:rPr>
          <w:iCs/>
          <w:rFonts w:ascii="Times New Roman" w:hAnsi="Times New Roman" w:eastAsia="Times New Roman" w:cs="Times New Roman"/>
          <w:i/>
        </w:rPr>
        <w:t xml:space="preserve">Proposition 2.</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rPr>
            <m:sty m:val="p"/>
          </m:rPr>
          <m:t>ln</m:t>
        </m:r>
        <m:d>
          <m:dPr>
            <m:begChr m:val="("/>
            <m:endChr m:val=")"/>
            <m:sepChr m:val=""/>
            <m:grow/>
          </m:dPr>
          <m:e>
            <m:r>
              <m:t>1</m:t>
            </m:r>
            <m:r>
              <m:rPr>
                <m:sty m:val="p"/>
              </m:rPr>
              <m:t>−</m:t>
            </m:r>
            <m:r>
              <m:t>a</m:t>
            </m:r>
            <m:r>
              <m:rPr>
                <m:sty m:val="p"/>
              </m:rPr>
              <m:t>+</m:t>
            </m:r>
            <m:r>
              <m:t>ρ</m:t>
            </m:r>
          </m:e>
        </m:d>
        <m:r>
          <m:rPr>
            <m:sty m:val="p"/>
          </m:rPr>
          <m:t>&lt;</m:t>
        </m:r>
        <m:r>
          <m:t>ε</m:t>
        </m:r>
        <m:r>
          <m:rPr>
            <m:sty m:val="p"/>
          </m:rPr>
          <m:t>ln</m:t>
        </m:r>
        <m:r>
          <m:t>κ</m:t>
        </m:r>
      </m:oMath>
      <w:r>
        <w:rPr>
          <w:rFonts w:ascii="Times New Roman" w:hAnsi="Times New Roman" w:eastAsia="Times New Roman" w:cs="Times New Roman"/>
        </w:rPr>
        <w:t xml:space="preserve">. When</w:t>
      </w:r>
      <w:r>
        <w:rPr>
          <w:rFonts w:ascii="Times New Roman" w:hAnsi="Times New Roman" w:eastAsia="Times New Roman" w:cs="Times New Roman"/>
        </w:rPr>
        <w:t xml:space="preserve"> </w:t>
      </w:r>
      <m:oMath>
        <m:r>
          <m:t>γ</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m:t>
        </m:r>
        <m:r>
          <m:t>a</m:t>
        </m:r>
        <m:r>
          <m:rPr>
            <m:sty m:val="p"/>
          </m:rPr>
          <m:t>+</m:t>
        </m:r>
        <m:r>
          <m:t>ρ</m:t>
        </m:r>
        <m:r>
          <m:rPr>
            <m:sty m:val="p"/>
          </m:rPr>
          <m:t>&lt;</m:t>
        </m:r>
        <m:r>
          <m:t>κ</m:t>
        </m:r>
        <m:r>
          <m:rPr>
            <m:sty m:val="p"/>
          </m:rPr>
          <m:t>&lt;</m:t>
        </m:r>
        <m:r>
          <m:t>1</m:t>
        </m:r>
      </m:oMath>
      <w:r>
        <w:rPr>
          <w:rFonts w:ascii="Times New Roman" w:hAnsi="Times New Roman" w:eastAsia="Times New Roman" w:cs="Times New Roman"/>
        </w:rPr>
        <w:t xml:space="preserve">, so both logarithms are negative and</w:t>
      </w:r>
      <w:r>
        <w:rPr>
          <w:rFonts w:ascii="Times New Roman" w:hAnsi="Times New Roman" w:eastAsia="Times New Roman" w:cs="Times New Roman"/>
        </w:rPr>
        <w:t xml:space="preserve"> </w:t>
      </w:r>
      <m:oMath>
        <m:d>
          <m:dPr>
            <m:begChr m:val="|"/>
            <m:endChr m:val="|"/>
            <m:sepChr m:val=""/>
            <m:grow/>
          </m:dPr>
          <m:e>
            <m:r>
              <m:rPr>
                <m:sty m:val="p"/>
              </m:rPr>
              <m:t>ln</m:t>
            </m:r>
            <m:d>
              <m:dPr>
                <m:begChr m:val="("/>
                <m:endChr m:val=")"/>
                <m:sepChr m:val=""/>
                <m:grow/>
              </m:dPr>
              <m:e>
                <m:r>
                  <m:t>1</m:t>
                </m:r>
                <m:r>
                  <m:rPr>
                    <m:sty m:val="p"/>
                  </m:rPr>
                  <m:t>−</m:t>
                </m:r>
                <m:r>
                  <m:t>a</m:t>
                </m:r>
                <m:r>
                  <m:rPr>
                    <m:sty m:val="p"/>
                  </m:rPr>
                  <m:t>+</m:t>
                </m:r>
                <m:r>
                  <m:t>ρ</m:t>
                </m:r>
              </m:e>
            </m:d>
          </m:e>
        </m:d>
        <m:r>
          <m:rPr>
            <m:sty m:val="p"/>
          </m:rPr>
          <m:t>&gt;</m:t>
        </m:r>
        <m:d>
          <m:dPr>
            <m:begChr m:val="|"/>
            <m:endChr m:val="|"/>
            <m:sepChr m:val=""/>
            <m:grow/>
          </m:dPr>
          <m:e>
            <m:r>
              <m:rPr>
                <m:sty m:val="p"/>
              </m:rPr>
              <m:t>ln</m:t>
            </m:r>
            <m:r>
              <m:t>κ</m:t>
            </m:r>
          </m:e>
        </m:d>
      </m:oMath>
      <w:r>
        <w:rPr>
          <w:rFonts w:ascii="Times New Roman" w:hAnsi="Times New Roman" w:eastAsia="Times New Roman" w:cs="Times New Roman"/>
        </w:rPr>
        <w:t xml:space="preserve">. Dividing by</w:t>
      </w:r>
      <w:r>
        <w:rPr>
          <w:rFonts w:ascii="Times New Roman" w:hAnsi="Times New Roman" w:eastAsia="Times New Roman" w:cs="Times New Roman"/>
        </w:rPr>
        <w:t xml:space="preserve"> </w:t>
      </w:r>
      <m:oMath>
        <m:r>
          <m:rPr>
            <m:sty m:val="p"/>
          </m:rPr>
          <m:t>ln</m:t>
        </m:r>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reverses the inequality:</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sSup>
          <m:e>
            <m:r>
              <m:t>ε</m:t>
            </m:r>
          </m:e>
          <m:sup>
            <m:r>
              <m:rPr>
                <m:sty m:val="p"/>
              </m:rPr>
              <m:t>*</m:t>
            </m:r>
          </m:sup>
        </m:sSup>
        <m:r>
          <m:rPr>
            <m:sty m:val="p"/>
          </m:rPr>
          <m:t>&gt;</m:t>
        </m:r>
        <m:r>
          <m:t>1</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γ</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κ</m:t>
        </m:r>
        <m:r>
          <m:rPr>
            <m:sty m:val="p"/>
          </m:rPr>
          <m:t>→</m:t>
        </m:r>
        <m:r>
          <m:t>1</m:t>
        </m:r>
        <m:r>
          <m:rPr>
            <m:sty m:val="p"/>
          </m:rPr>
          <m:t>−</m:t>
        </m:r>
        <m:r>
          <m:t>a</m:t>
        </m:r>
        <m:r>
          <m:rPr>
            <m:sty m:val="p"/>
          </m:rPr>
          <m:t>+</m:t>
        </m:r>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ε</m:t>
            </m:r>
          </m:e>
          <m:sup>
            <m:r>
              <m:rPr>
                <m:sty m:val="p"/>
              </m:rPr>
              <m:t>*</m:t>
            </m:r>
          </m:sup>
        </m:sSup>
        <m:r>
          <m:rPr>
            <m:sty m:val="p"/>
          </m:rPr>
          <m:t>→</m:t>
        </m:r>
        <m:r>
          <m:t>1</m:t>
        </m:r>
      </m:oMath>
      <w:r>
        <w:rPr>
          <w:rFonts w:ascii="Times New Roman" w:hAnsi="Times New Roman" w:eastAsia="Times New Roman" w:cs="Times New Roman"/>
        </w:rPr>
        <w:t xml:space="preserve">.</w:t>
      </w:r>
    </w:p>
    <w:p>
      <w:pPr>
        <w:pStyle w:val="BodyText"/>
        <w:spacing w:line="480" w:lineRule="auto" w:after="0" w:before="0"/>
        <w:ind w:firstLine="720"/>
        <w:jc w:val="left"/>
      </w:pPr>
      <w:r>
        <w:rPr>
          <w:iCs/>
          <w:rFonts w:ascii="Times New Roman" w:hAnsi="Times New Roman" w:eastAsia="Times New Roman" w:cs="Times New Roman"/>
          <w:i/>
        </w:rPr>
        <w:t xml:space="preserve">Proposition 3.</w:t>
      </w:r>
      <w:r>
        <w:rPr>
          <w:rFonts w:ascii="Times New Roman" w:hAnsi="Times New Roman" w:eastAsia="Times New Roman" w:cs="Times New Roman"/>
        </w:rPr>
        <w:t xml:space="preserve"> </w:t>
      </w:r>
      <w:r>
        <w:rPr>
          <w:rFonts w:ascii="Times New Roman" w:hAnsi="Times New Roman" w:eastAsia="Times New Roman" w:cs="Times New Roman"/>
        </w:rPr>
        <w:t xml:space="preserve">Substituting equation (4) into the employment equation gives</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sSup>
          <m:e>
            <m:r>
              <m:t>L</m:t>
            </m:r>
          </m:e>
          <m:sup>
            <m:r>
              <m:rPr>
                <m:sty m:val="p"/>
              </m:rPr>
              <m:t>*</m:t>
            </m:r>
          </m:sup>
        </m:sSup>
        <m:r>
          <m:rPr>
            <m:sty m:val="p"/>
          </m:rPr>
          <m:t>=</m:t>
        </m:r>
        <m:d>
          <m:dPr>
            <m:begChr m:val="("/>
            <m:endChr m:val=")"/>
            <m:sepChr m:val=""/>
            <m:grow/>
          </m:dPr>
          <m:e>
            <m:r>
              <m:t>1</m:t>
            </m:r>
            <m:r>
              <m:rPr>
                <m:sty m:val="p"/>
              </m:rPr>
              <m:t>−</m:t>
            </m:r>
            <m:r>
              <m:t>λ</m:t>
            </m:r>
          </m:e>
        </m:d>
        <m:d>
          <m:dPr>
            <m:begChr m:val="("/>
            <m:endChr m:val=")"/>
            <m:sepChr m:val=""/>
            <m:grow/>
          </m:dPr>
          <m:e>
            <m:r>
              <m:t>L</m:t>
            </m:r>
            <m:d>
              <m:dPr>
                <m:begChr m:val="("/>
                <m:endChr m:val=")"/>
                <m:sepChr m:val=""/>
                <m:grow/>
              </m:dPr>
              <m:e>
                <m:r>
                  <m:t>t</m:t>
                </m:r>
              </m:e>
            </m:d>
            <m:r>
              <m:rPr>
                <m:sty m:val="p"/>
              </m:rPr>
              <m:t>−</m:t>
            </m:r>
            <m:sSup>
              <m:e>
                <m:r>
                  <m:t>L</m:t>
                </m:r>
              </m:e>
              <m:sup>
                <m:r>
                  <m:rPr>
                    <m:sty m:val="p"/>
                  </m:rPr>
                  <m:t>*</m:t>
                </m:r>
              </m:sup>
            </m:sSup>
          </m:e>
        </m:d>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r>
          <m:rPr>
            <m:sty m:val="p"/>
          </m:rPr>
          <m:t>=</m:t>
        </m:r>
        <m:sSup>
          <m:e>
            <m:d>
              <m:dPr>
                <m:begChr m:val="("/>
                <m:endChr m:val=")"/>
                <m:sepChr m:val=""/>
                <m:grow/>
              </m:dPr>
              <m:e>
                <m:r>
                  <m:t>1</m:t>
                </m:r>
                <m:r>
                  <m:rPr>
                    <m:sty m:val="p"/>
                  </m:rPr>
                  <m:t>−</m:t>
                </m:r>
                <m:r>
                  <m:t>λ</m:t>
                </m:r>
              </m:e>
            </m:d>
          </m:e>
          <m:sup>
            <m:r>
              <m:t>t</m:t>
            </m:r>
          </m:sup>
        </m:sSup>
        <m:d>
          <m:dPr>
            <m:begChr m:val="("/>
            <m:endChr m:val=")"/>
            <m:sepChr m:val=""/>
            <m:grow/>
          </m:dPr>
          <m:e>
            <m:sSub>
              <m:e>
                <m:r>
                  <m:t>L</m:t>
                </m:r>
              </m:e>
              <m:sub>
                <m:r>
                  <m:t>0</m:t>
                </m:r>
              </m:sub>
            </m:sSub>
            <m:r>
              <m:rPr>
                <m:sty m:val="p"/>
              </m:rPr>
              <m:t>−</m:t>
            </m:r>
            <m:sSup>
              <m:e>
                <m:r>
                  <m:t>L</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and the share of the gap closed after</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periods is</w:t>
      </w:r>
      <w:r>
        <w:rPr>
          <w:rFonts w:ascii="Times New Roman" w:hAnsi="Times New Roman" w:eastAsia="Times New Roman" w:cs="Times New Roman"/>
        </w:rPr>
        <w:t xml:space="preserve"> </w:t>
      </w:r>
      <m:oMath>
        <m:r>
          <m:t>1</m:t>
        </m:r>
        <m:r>
          <m:rPr>
            <m:sty m:val="p"/>
          </m:rPr>
          <m:t>−</m:t>
        </m:r>
        <m:sSup>
          <m:e>
            <m:d>
              <m:dPr>
                <m:begChr m:val="("/>
                <m:endChr m:val=")"/>
                <m:sepChr m:val=""/>
                <m:grow/>
              </m:dPr>
              <m:e>
                <m:r>
                  <m:t>1</m:t>
                </m:r>
                <m:r>
                  <m:rPr>
                    <m:sty m:val="p"/>
                  </m:rPr>
                  <m:t>−</m:t>
                </m:r>
                <m:r>
                  <m:t>λ</m:t>
                </m:r>
              </m:e>
            </m:d>
          </m:e>
          <m:sup>
            <m:r>
              <m:t>T</m:t>
            </m:r>
          </m:sup>
        </m:sSup>
      </m:oMath>
      <w:r>
        <w:rPr>
          <w:rFonts w:ascii="Times New Roman" w:hAnsi="Times New Roman" w:eastAsia="Times New Roman" w:cs="Times New Roman"/>
        </w:rPr>
        <w:t xml:space="preserve">. Hires in the first period are</w:t>
      </w:r>
      <w:r>
        <w:rPr>
          <w:rFonts w:ascii="Times New Roman" w:hAnsi="Times New Roman" w:eastAsia="Times New Roman" w:cs="Times New Roman"/>
        </w:rPr>
        <w:t xml:space="preserve"> </w:t>
      </w:r>
      <m:oMath>
        <m:r>
          <m:t>H</m:t>
        </m:r>
        <m:d>
          <m:dPr>
            <m:begChr m:val="("/>
            <m:endChr m:val=")"/>
            <m:sepChr m:val=""/>
            <m:grow/>
          </m:dPr>
          <m:e>
            <m:r>
              <m:t>0</m:t>
            </m:r>
          </m:e>
        </m:d>
        <m:r>
          <m:rPr>
            <m:sty m:val="p"/>
          </m:rPr>
          <m:t>=</m:t>
        </m:r>
        <m:r>
          <m:t>δ</m:t>
        </m:r>
        <m:sSub>
          <m:e>
            <m:r>
              <m:t>L</m:t>
            </m:r>
          </m:e>
          <m:sub>
            <m:r>
              <m:t>0</m:t>
            </m:r>
          </m:sub>
        </m:sSub>
        <m:r>
          <m:rPr>
            <m:sty m:val="p"/>
          </m:rPr>
          <m:t>−</m:t>
        </m:r>
        <m:r>
          <m:t>λ</m:t>
        </m:r>
        <m:r>
          <m:t>f</m:t>
        </m:r>
        <m:sSub>
          <m:e>
            <m:r>
              <m:t>L</m:t>
            </m:r>
          </m:e>
          <m:sub>
            <m:r>
              <m:t>0</m:t>
            </m:r>
          </m:sub>
        </m:sSub>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0</m:t>
            </m:r>
          </m:e>
        </m:d>
        <m:r>
          <m:rPr>
            <m:sty m:val="p"/>
          </m:rPr>
          <m:t>/</m:t>
        </m:r>
        <m:d>
          <m:dPr>
            <m:begChr m:val="("/>
            <m:endChr m:val=")"/>
            <m:sepChr m:val=""/>
            <m:grow/>
          </m:dPr>
          <m:e>
            <m:r>
              <m:t>δ</m:t>
            </m:r>
            <m:sSub>
              <m:e>
                <m:r>
                  <m:t>L</m:t>
                </m:r>
              </m:e>
              <m:sub>
                <m:r>
                  <m:t>0</m:t>
                </m:r>
              </m:sub>
            </m:sSub>
          </m:e>
        </m:d>
        <m:r>
          <m:rPr>
            <m:sty m:val="p"/>
          </m:rPr>
          <m:t>=</m:t>
        </m:r>
        <m:r>
          <m:t>1</m:t>
        </m:r>
        <m:r>
          <m:rPr>
            <m:sty m:val="p"/>
          </m:rPr>
          <m:t>−</m:t>
        </m:r>
        <m:d>
          <m:dPr>
            <m:begChr m:val="("/>
            <m:endChr m:val=")"/>
            <m:sepChr m:val=""/>
            <m:grow/>
          </m:dPr>
          <m:e>
            <m:r>
              <m:t>λ</m:t>
            </m:r>
            <m:r>
              <m:rPr>
                <m:sty m:val="p"/>
              </m:rPr>
              <m:t>/</m:t>
            </m:r>
            <m:r>
              <m:t>δ</m:t>
            </m:r>
          </m:e>
        </m:d>
        <m:r>
          <m:t>f</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H</m:t>
        </m:r>
        <m:d>
          <m:dPr>
            <m:begChr m:val="("/>
            <m:endChr m:val=")"/>
            <m:sepChr m:val=""/>
            <m:grow/>
          </m:dPr>
          <m:e>
            <m:r>
              <m:t>t</m:t>
            </m:r>
          </m:e>
        </m:d>
        <m:r>
          <m:rPr>
            <m:sty m:val="p"/>
          </m:rPr>
          <m:t>→</m:t>
        </m:r>
        <m:r>
          <m:t>δ</m:t>
        </m:r>
        <m:sSup>
          <m:e>
            <m:r>
              <m:t>L</m:t>
            </m:r>
          </m:e>
          <m:sup>
            <m:r>
              <m:rPr>
                <m:sty m:val="p"/>
              </m:rPr>
              <m:t>*</m:t>
            </m:r>
          </m:sup>
        </m:sSup>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t</m:t>
            </m:r>
          </m:e>
        </m:d>
        <m:r>
          <m:rPr>
            <m:sty m:val="p"/>
          </m:rPr>
          <m:t>/</m:t>
        </m:r>
        <m:d>
          <m:dPr>
            <m:begChr m:val="("/>
            <m:endChr m:val=")"/>
            <m:sepChr m:val=""/>
            <m:grow/>
          </m:dPr>
          <m:e>
            <m:r>
              <m:t>δ</m:t>
            </m:r>
            <m:sSub>
              <m:e>
                <m:r>
                  <m:t>L</m:t>
                </m:r>
              </m:e>
              <m:sub>
                <m:r>
                  <m:t>0</m:t>
                </m:r>
              </m:sub>
            </m:sSub>
          </m:e>
        </m:d>
        <m:r>
          <m:rPr>
            <m:sty m:val="p"/>
          </m:rPr>
          <m:t>→</m:t>
        </m:r>
        <m:r>
          <m:t>1</m:t>
        </m:r>
        <m:r>
          <m:rPr>
            <m:sty m:val="p"/>
          </m:rPr>
          <m:t>−</m:t>
        </m:r>
        <m:r>
          <m:t>f</m:t>
        </m:r>
      </m:oMath>
      <w:r>
        <w:rPr>
          <w:rFonts w:ascii="Times New Roman" w:hAnsi="Times New Roman" w:eastAsia="Times New Roman" w:cs="Times New Roman"/>
        </w:rPr>
        <w:t xml:space="preserve">. Hires are non-negative in every period when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because</w:t>
      </w:r>
      <w:r>
        <w:rPr>
          <w:rFonts w:ascii="Times New Roman" w:hAnsi="Times New Roman" w:eastAsia="Times New Roman" w:cs="Times New Roman"/>
        </w:rPr>
        <w:t xml:space="preserve"> </w:t>
      </w:r>
      <m:oMath>
        <m:r>
          <m:t>λ</m:t>
        </m:r>
        <m:r>
          <m:t>f</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for</w:t>
      </w:r>
      <w:r>
        <w:rPr>
          <w:rFonts w:ascii="Times New Roman" w:hAnsi="Times New Roman" w:eastAsia="Times New Roman" w:cs="Times New Roman"/>
        </w:rPr>
        <w:t xml:space="preserve"> </w:t>
      </w:r>
      <m:oMath>
        <m:r>
          <m:t>f</m:t>
        </m:r>
        <m:r>
          <m:rPr>
            <m:sty m:val="p"/>
          </m:rPr>
          <m:t>≤</m:t>
        </m:r>
        <m:r>
          <m:t>1</m:t>
        </m:r>
      </m:oMath>
      <w:r>
        <w:rPr>
          <w:rFonts w:ascii="Times New Roman" w:hAnsi="Times New Roman" w:eastAsia="Times New Roman" w:cs="Times New Roman"/>
        </w:rPr>
        <w:t xml:space="preserve">. The upper bound in part (i) holds when hiring is adjusted smoothly as in equation (4); a temporary hiring freeze could produce a larger transitory fall in adverts.</w:t>
      </w:r>
    </w:p>
    <w:bookmarkEnd w:id="61"/>
    <w:bookmarkStart w:id="62" w:name="references"/>
    <w:p>
      <w:pPr>
        <w:pStyle w:val="Heading2"/>
      </w:pPr>
      <w:r>
        <w:rPr>
          <w:rFonts w:ascii="Times New Roman" w:hAnsi="Times New Roman" w:eastAsia="Times New Roman" w:cs="Times New Roman"/>
        </w:rPr>
        <w:t xml:space="preserve">References</w:t>
      </w:r>
    </w:p>
    <w:p>
      <w:pPr>
        <w:pStyle w:val="FirstParagraph"/>
        <w:spacing w:line="480" w:lineRule="auto" w:after="0" w:before="0"/>
        <w:ind w:firstLine="720"/>
        <w:jc w:val="left"/>
      </w:pPr>
      <w:r>
        <w:rPr>
          <w:rFonts w:ascii="Times New Roman" w:hAnsi="Times New Roman" w:eastAsia="Times New Roman" w:cs="Times New Roman"/>
        </w:rPr>
        <w:t xml:space="preserve">Acemoglu, D., &amp; Restrepo, P. (2018). The race between man and machine: Implications of technology for growth, factor shares, and employment.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108</w:t>
      </w:r>
      <w:r>
        <w:rPr>
          <w:rFonts w:ascii="Times New Roman" w:hAnsi="Times New Roman" w:eastAsia="Times New Roman" w:cs="Times New Roman"/>
        </w:rPr>
        <w:t xml:space="preserve">(6), 1488–1542.</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(2019). Automation and new tasks: How technology displaces and reinstates labor.</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33</w:t>
      </w:r>
      <w:r>
        <w:rPr>
          <w:rFonts w:ascii="Times New Roman" w:hAnsi="Times New Roman" w:eastAsia="Times New Roman" w:cs="Times New Roman"/>
        </w:rPr>
        <w:t xml:space="preserve">(2), 3–30.</w:t>
      </w:r>
    </w:p>
    <w:p>
      <w:pPr>
        <w:pStyle w:val="BodyText"/>
        <w:spacing w:line="480" w:lineRule="auto" w:after="0" w:before="0"/>
        <w:ind w:firstLine="720"/>
        <w:jc w:val="left"/>
      </w:pPr>
      <w:r>
        <w:rPr>
          <w:rFonts w:ascii="Times New Roman" w:hAnsi="Times New Roman" w:eastAsia="Times New Roman" w:cs="Times New Roman"/>
        </w:rPr>
        <w:t xml:space="preserve">Acemoglu, D., Autor, D., Hazell, J., &amp; Restrepo, P. (2022). Artificial intelligence and jobs: Evidence from online vacancies.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Labor Economics, 40</w:t>
      </w:r>
      <w:r>
        <w:rPr>
          <w:rFonts w:ascii="Times New Roman" w:hAnsi="Times New Roman" w:eastAsia="Times New Roman" w:cs="Times New Roman"/>
        </w:rPr>
        <w:t xml:space="preserve">(S1), S293–S340.</w:t>
      </w:r>
    </w:p>
    <w:p>
      <w:pPr>
        <w:pStyle w:val="BodyText"/>
        <w:spacing w:line="480" w:lineRule="auto" w:after="0" w:before="0"/>
        <w:ind w:firstLine="720"/>
        <w:jc w:val="left"/>
      </w:pPr>
      <w:r>
        <w:rPr>
          <w:rFonts w:ascii="Times New Roman" w:hAnsi="Times New Roman" w:eastAsia="Times New Roman" w:cs="Times New Roman"/>
        </w:rPr>
        <w:t xml:space="preserve">Aghion, P., Jones, B. F., &amp; Jones, C. I. (2019). Artificial intelligence and economic growth. In A. Agrawal, J. Gans, &amp; A. Goldfarb (Eds.),</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economics of artificial intelligence: An agenda</w:t>
      </w:r>
      <w:r>
        <w:rPr>
          <w:rFonts w:ascii="Times New Roman" w:hAnsi="Times New Roman" w:eastAsia="Times New Roman" w:cs="Times New Roman"/>
        </w:rPr>
        <w:t xml:space="preserve">. University of Chicago Press.</w:t>
      </w:r>
    </w:p>
    <w:p>
      <w:pPr>
        <w:pStyle w:val="BodyText"/>
        <w:spacing w:line="480" w:lineRule="auto" w:after="0" w:before="0"/>
        <w:ind w:firstLine="720"/>
        <w:jc w:val="left"/>
      </w:pPr>
      <w:r>
        <w:rPr>
          <w:rFonts w:ascii="Times New Roman" w:hAnsi="Times New Roman" w:eastAsia="Times New Roman" w:cs="Times New Roman"/>
        </w:rPr>
        <w:t xml:space="preserve">Agrawal, A., Gans, J., &amp; Goldfarb, A. (2018).</w:t>
      </w:r>
      <w:r>
        <w:rPr>
          <w:rFonts w:ascii="Times New Roman" w:hAnsi="Times New Roman" w:eastAsia="Times New Roman" w:cs="Times New Roman"/>
        </w:rPr>
        <w:t xml:space="preserve"> </w:t>
      </w:r>
      <w:r>
        <w:rPr>
          <w:iCs/>
          <w:rFonts w:ascii="Times New Roman" w:hAnsi="Times New Roman" w:eastAsia="Times New Roman" w:cs="Times New Roman"/>
          <w:i/>
        </w:rPr>
        <w:t xml:space="preserve">Prediction machines: The simple economics of artificial intelligence</w:t>
      </w:r>
      <w:r>
        <w:rPr>
          <w:rFonts w:ascii="Times New Roman" w:hAnsi="Times New Roman" w:eastAsia="Times New Roman" w:cs="Times New Roman"/>
        </w:rPr>
        <w:t xml:space="preserve">. Harvard Business Review Press.</w:t>
      </w:r>
    </w:p>
    <w:p>
      <w:pPr>
        <w:pStyle w:val="BodyText"/>
        <w:spacing w:line="480" w:lineRule="auto" w:after="0" w:before="0"/>
        <w:ind w:firstLine="720"/>
        <w:jc w:val="left"/>
      </w:pPr>
      <w:r>
        <w:rPr>
          <w:rFonts w:ascii="Times New Roman" w:hAnsi="Times New Roman" w:eastAsia="Times New Roman" w:cs="Times New Roman"/>
        </w:rPr>
        <w:t xml:space="preserve">Albanesi, S., Dias da Silva, A., Jimeno, J. F., Lamo, A., &amp; Wabitsch, A. (2025). New technologies and jobs in Europe.</w:t>
      </w:r>
      <w:r>
        <w:rPr>
          <w:rFonts w:ascii="Times New Roman" w:hAnsi="Times New Roman" w:eastAsia="Times New Roman" w:cs="Times New Roman"/>
        </w:rPr>
        <w:t xml:space="preserve"> </w:t>
      </w:r>
      <w:r>
        <w:rPr>
          <w:iCs/>
          <w:rFonts w:ascii="Times New Roman" w:hAnsi="Times New Roman" w:eastAsia="Times New Roman" w:cs="Times New Roman"/>
          <w:i/>
        </w:rPr>
        <w:t xml:space="preserve">Economic Policy, 40</w:t>
      </w:r>
      <w:r>
        <w:rPr>
          <w:rFonts w:ascii="Times New Roman" w:hAnsi="Times New Roman" w:eastAsia="Times New Roman" w:cs="Times New Roman"/>
        </w:rPr>
        <w:t xml:space="preserve">(121), 71–139.</w:t>
      </w:r>
    </w:p>
    <w:p>
      <w:pPr>
        <w:pStyle w:val="BodyText"/>
        <w:spacing w:line="480" w:lineRule="auto" w:after="0" w:before="0"/>
        <w:ind w:firstLine="720"/>
        <w:jc w:val="left"/>
      </w:pPr>
      <w:r>
        <w:rPr>
          <w:rFonts w:ascii="Times New Roman" w:hAnsi="Times New Roman" w:eastAsia="Times New Roman" w:cs="Times New Roman"/>
        </w:rPr>
        <w:t xml:space="preserve">Aral, S., &amp; Weill, P. (2007). IT assets, organizational capabilities, and firm performance: How resource allocations and organizational differences explain performance variation.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18</w:t>
      </w:r>
      <w:r>
        <w:rPr>
          <w:rFonts w:ascii="Times New Roman" w:hAnsi="Times New Roman" w:eastAsia="Times New Roman" w:cs="Times New Roman"/>
        </w:rPr>
        <w:t xml:space="preserve">(5), 763–780.</w:t>
      </w:r>
    </w:p>
    <w:p>
      <w:pPr>
        <w:pStyle w:val="BodyText"/>
        <w:spacing w:line="480" w:lineRule="auto" w:after="0" w:before="0"/>
        <w:ind w:firstLine="720"/>
        <w:jc w:val="left"/>
      </w:pPr>
      <w:r>
        <w:rPr>
          <w:rFonts w:ascii="Times New Roman" w:hAnsi="Times New Roman" w:eastAsia="Times New Roman" w:cs="Times New Roman"/>
        </w:rPr>
        <w:t xml:space="preserve">Attewell, P. (1992). Technology diffusion and organizational learning: The case of business computing.</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w:t>
      </w:r>
      <w:r>
        <w:rPr>
          <w:rFonts w:ascii="Times New Roman" w:hAnsi="Times New Roman" w:eastAsia="Times New Roman" w:cs="Times New Roman"/>
        </w:rPr>
        <w:t xml:space="preserve">(1), 1–19.</w:t>
      </w:r>
    </w:p>
    <w:p>
      <w:pPr>
        <w:pStyle w:val="BodyText"/>
        <w:spacing w:line="480" w:lineRule="auto" w:after="0" w:before="0"/>
        <w:ind w:firstLine="720"/>
        <w:jc w:val="left"/>
      </w:pPr>
      <w:r>
        <w:rPr>
          <w:rFonts w:ascii="Times New Roman" w:hAnsi="Times New Roman" w:eastAsia="Times New Roman" w:cs="Times New Roman"/>
        </w:rPr>
        <w:t xml:space="preserve">Babina, T., Fedyk, A., He, A., &amp; Hodson, J. (2024). Artificial intelligence, firm growth, and product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 151</w:t>
      </w:r>
      <w:r>
        <w:rPr>
          <w:rFonts w:ascii="Times New Roman" w:hAnsi="Times New Roman" w:eastAsia="Times New Roman" w:cs="Times New Roman"/>
        </w:rPr>
        <w:t xml:space="preserve">, 103745.</w:t>
      </w:r>
    </w:p>
    <w:p>
      <w:pPr>
        <w:pStyle w:val="BodyText"/>
        <w:spacing w:line="480" w:lineRule="auto" w:after="0" w:before="0"/>
        <w:ind w:firstLine="720"/>
        <w:jc w:val="left"/>
      </w:pPr>
      <w:r>
        <w:rPr>
          <w:rFonts w:ascii="Times New Roman" w:hAnsi="Times New Roman" w:eastAsia="Times New Roman" w:cs="Times New Roman"/>
        </w:rPr>
        <w:t xml:space="preserve">Baumol, W. J. (1967). Macroeconomics of unbalanced growth: The anatomy of urban crisis.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57</w:t>
      </w:r>
      <w:r>
        <w:rPr>
          <w:rFonts w:ascii="Times New Roman" w:hAnsi="Times New Roman" w:eastAsia="Times New Roman" w:cs="Times New Roman"/>
        </w:rPr>
        <w:t xml:space="preserve">(3), 415–426.</w:t>
      </w:r>
    </w:p>
    <w:p>
      <w:pPr>
        <w:pStyle w:val="BodyText"/>
        <w:spacing w:line="480" w:lineRule="auto" w:after="0" w:before="0"/>
        <w:ind w:firstLine="720"/>
        <w:jc w:val="left"/>
      </w:pPr>
      <w:r>
        <w:rPr>
          <w:rFonts w:ascii="Times New Roman" w:hAnsi="Times New Roman" w:eastAsia="Times New Roman" w:cs="Times New Roman"/>
        </w:rPr>
        <w:t xml:space="preserve">Berente, N., Gu, B., Recker, J., &amp; Santhanam, R. (2021). Managing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45</w:t>
      </w:r>
      <w:r>
        <w:rPr>
          <w:rFonts w:ascii="Times New Roman" w:hAnsi="Times New Roman" w:eastAsia="Times New Roman" w:cs="Times New Roman"/>
        </w:rPr>
        <w:t xml:space="preserve">(3), 1433–1450.</w:t>
      </w:r>
    </w:p>
    <w:p>
      <w:pPr>
        <w:pStyle w:val="BodyText"/>
        <w:spacing w:line="480" w:lineRule="auto" w:after="0" w:before="0"/>
        <w:ind w:firstLine="720"/>
        <w:jc w:val="left"/>
      </w:pPr>
      <w:r>
        <w:rPr>
          <w:rFonts w:ascii="Times New Roman" w:hAnsi="Times New Roman" w:eastAsia="Times New Roman" w:cs="Times New Roman"/>
        </w:rPr>
        <w:t xml:space="preserve">Bick, A., Blandin, A., &amp; Deming, D. J. (2024).</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rapid adoption of generative AI</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32966).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Bresnahan, T. F., &amp; Trajtenberg, M. (1995). General purpose technologies: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Engines of growth</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Econometrics, 65</w:t>
      </w:r>
      <w:r>
        <w:rPr>
          <w:rFonts w:ascii="Times New Roman" w:hAnsi="Times New Roman" w:eastAsia="Times New Roman" w:cs="Times New Roman"/>
        </w:rPr>
        <w:t xml:space="preserve">(1), 83–108.</w:t>
      </w:r>
    </w:p>
    <w:p>
      <w:pPr>
        <w:pStyle w:val="BodyText"/>
        <w:spacing w:line="480" w:lineRule="auto" w:after="0" w:before="0"/>
        <w:ind w:firstLine="720"/>
        <w:jc w:val="left"/>
      </w:pPr>
      <w:r>
        <w:rPr>
          <w:rFonts w:ascii="Times New Roman" w:hAnsi="Times New Roman" w:eastAsia="Times New Roman" w:cs="Times New Roman"/>
        </w:rPr>
        <w:t xml:space="preserve">Brynjolfsson, E., &amp; Hitt, L. M. (2000). Beyond computation: Information technology, organizational transformation and business performance.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14</w:t>
      </w:r>
      <w:r>
        <w:rPr>
          <w:rFonts w:ascii="Times New Roman" w:hAnsi="Times New Roman" w:eastAsia="Times New Roman" w:cs="Times New Roman"/>
        </w:rPr>
        <w:t xml:space="preserve">(4), 23–48.</w:t>
      </w:r>
    </w:p>
    <w:p>
      <w:pPr>
        <w:pStyle w:val="BodyText"/>
        <w:spacing w:line="480" w:lineRule="auto" w:after="0" w:before="0"/>
        <w:ind w:firstLine="720"/>
        <w:jc w:val="left"/>
      </w:pPr>
      <w:r>
        <w:rPr>
          <w:rFonts w:ascii="Times New Roman" w:hAnsi="Times New Roman" w:eastAsia="Times New Roman" w:cs="Times New Roman"/>
        </w:rPr>
        <w:t xml:space="preserve">Brynjolfsson, E., Li, D., &amp; Raymond, L. (2025). Generative AI at work.</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Quarterly Journal of Economics, 140</w:t>
      </w:r>
      <w:r>
        <w:rPr>
          <w:rFonts w:ascii="Times New Roman" w:hAnsi="Times New Roman" w:eastAsia="Times New Roman" w:cs="Times New Roman"/>
        </w:rPr>
        <w:t xml:space="preserve">(2), 889–942.</w:t>
      </w:r>
    </w:p>
    <w:p>
      <w:pPr>
        <w:pStyle w:val="BodyText"/>
        <w:spacing w:line="480" w:lineRule="auto" w:after="0" w:before="0"/>
        <w:ind w:firstLine="720"/>
        <w:jc w:val="left"/>
      </w:pPr>
      <w:r>
        <w:rPr>
          <w:rFonts w:ascii="Times New Roman" w:hAnsi="Times New Roman" w:eastAsia="Times New Roman" w:cs="Times New Roman"/>
        </w:rPr>
        <w:t xml:space="preserve">Brynjolfsson, E., Rock, D., &amp; Syverson, C. (2021). The productivity J-curve: How intangibles complement general purpose technologies.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Journal: Macroeconomics, 13</w:t>
      </w:r>
      <w:r>
        <w:rPr>
          <w:rFonts w:ascii="Times New Roman" w:hAnsi="Times New Roman" w:eastAsia="Times New Roman" w:cs="Times New Roman"/>
        </w:rPr>
        <w:t xml:space="preserve">(1), 333–372.</w:t>
      </w:r>
    </w:p>
    <w:p>
      <w:pPr>
        <w:pStyle w:val="BodyText"/>
        <w:spacing w:line="480" w:lineRule="auto" w:after="0" w:before="0"/>
        <w:ind w:firstLine="720"/>
        <w:jc w:val="left"/>
      </w:pPr>
      <w:r>
        <w:rPr>
          <w:rFonts w:ascii="Times New Roman" w:hAnsi="Times New Roman" w:eastAsia="Times New Roman" w:cs="Times New Roman"/>
        </w:rPr>
        <w:t xml:space="preserve">Cohen, W. M., &amp; Levinthal, D. A. (1990). Absorptive capacity: A new perspective on learning and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Administrative Science Quarterly, 35</w:t>
      </w:r>
      <w:r>
        <w:rPr>
          <w:rFonts w:ascii="Times New Roman" w:hAnsi="Times New Roman" w:eastAsia="Times New Roman" w:cs="Times New Roman"/>
        </w:rPr>
        <w:t xml:space="preserve">(1), 128–152.</w:t>
      </w:r>
    </w:p>
    <w:p>
      <w:pPr>
        <w:pStyle w:val="BodyText"/>
        <w:spacing w:line="480" w:lineRule="auto" w:after="0" w:before="0"/>
        <w:ind w:firstLine="720"/>
        <w:jc w:val="left"/>
      </w:pPr>
      <w:r>
        <w:rPr>
          <w:rFonts w:ascii="Times New Roman" w:hAnsi="Times New Roman" w:eastAsia="Times New Roman" w:cs="Times New Roman"/>
        </w:rPr>
        <w:t xml:space="preserve">Cooper, R. B., &amp; Zmud, R. W. (1990). Information technology implementation research: A technological diffusion approach.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36</w:t>
      </w:r>
      <w:r>
        <w:rPr>
          <w:rFonts w:ascii="Times New Roman" w:hAnsi="Times New Roman" w:eastAsia="Times New Roman" w:cs="Times New Roman"/>
        </w:rPr>
        <w:t xml:space="preserve">(2), 123–139.</w:t>
      </w:r>
    </w:p>
    <w:p>
      <w:pPr>
        <w:pStyle w:val="BodyText"/>
        <w:spacing w:line="480" w:lineRule="auto" w:after="0" w:before="0"/>
        <w:ind w:firstLine="720"/>
        <w:jc w:val="left"/>
      </w:pPr>
      <w:r>
        <w:rPr>
          <w:rFonts w:ascii="Times New Roman" w:hAnsi="Times New Roman" w:eastAsia="Times New Roman" w:cs="Times New Roman"/>
        </w:rPr>
        <w:t xml:space="preserve">David, P. A. (1990). The dynamo and the computer: An historical perspective on the modern productivity paradox.</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80</w:t>
      </w:r>
      <w:r>
        <w:rPr>
          <w:rFonts w:ascii="Times New Roman" w:hAnsi="Times New Roman" w:eastAsia="Times New Roman" w:cs="Times New Roman"/>
        </w:rPr>
        <w:t xml:space="preserve">(2), 355–361.</w:t>
      </w:r>
    </w:p>
    <w:p>
      <w:pPr>
        <w:pStyle w:val="BodyText"/>
        <w:spacing w:line="480" w:lineRule="auto" w:after="0" w:before="0"/>
        <w:ind w:firstLine="720"/>
        <w:jc w:val="left"/>
      </w:pPr>
      <w:r>
        <w:rPr>
          <w:rFonts w:ascii="Times New Roman" w:hAnsi="Times New Roman" w:eastAsia="Times New Roman" w:cs="Times New Roman"/>
        </w:rPr>
        <w:t xml:space="preserve">Demirci, O., Hannane, J., &amp; Zhu, X. (2025). Who is AI replacing? The impact of generative AI on online freelancing platforms.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71</w:t>
      </w:r>
      <w:r>
        <w:rPr>
          <w:rFonts w:ascii="Times New Roman" w:hAnsi="Times New Roman" w:eastAsia="Times New Roman" w:cs="Times New Roman"/>
        </w:rPr>
        <w:t xml:space="preserve">(10), 8097–8108.</w:t>
      </w:r>
    </w:p>
    <w:p>
      <w:pPr>
        <w:pStyle w:val="BodyText"/>
        <w:spacing w:line="480" w:lineRule="auto" w:after="0" w:before="0"/>
        <w:ind w:firstLine="720"/>
        <w:jc w:val="left"/>
      </w:pPr>
      <w:r>
        <w:rPr>
          <w:rFonts w:ascii="Times New Roman" w:hAnsi="Times New Roman" w:eastAsia="Times New Roman" w:cs="Times New Roman"/>
        </w:rPr>
        <w:t xml:space="preserve">Eloundou, T., Manning, S., Mishkin, P., &amp; Rock, D. (2023).</w:t>
      </w:r>
      <w:r>
        <w:rPr>
          <w:rFonts w:ascii="Times New Roman" w:hAnsi="Times New Roman" w:eastAsia="Times New Roman" w:cs="Times New Roman"/>
        </w:rPr>
        <w:t xml:space="preserve"> </w:t>
      </w:r>
      <w:r>
        <w:rPr>
          <w:iCs/>
          <w:rFonts w:ascii="Times New Roman" w:hAnsi="Times New Roman" w:eastAsia="Times New Roman" w:cs="Times New Roman"/>
          <w:i/>
        </w:rPr>
        <w:t xml:space="preserve">GPTs are GPTs: An early look at the labor market impact potential of large language models</w:t>
      </w:r>
      <w:r>
        <w:rPr>
          <w:rFonts w:ascii="Times New Roman" w:hAnsi="Times New Roman" w:eastAsia="Times New Roman" w:cs="Times New Roman"/>
        </w:rPr>
        <w:t xml:space="preserve"> </w:t>
      </w:r>
      <w:r>
        <w:rPr>
          <w:rFonts w:ascii="Times New Roman" w:hAnsi="Times New Roman" w:eastAsia="Times New Roman" w:cs="Times New Roman"/>
        </w:rPr>
        <w:t xml:space="preserve">(arXiv:2303.10130). arXiv.</w:t>
      </w:r>
    </w:p>
    <w:p>
      <w:pPr>
        <w:pStyle w:val="BodyText"/>
        <w:spacing w:line="480" w:lineRule="auto" w:after="0" w:before="0"/>
        <w:ind w:firstLine="720"/>
        <w:jc w:val="left"/>
      </w:pPr>
      <w:r>
        <w:rPr>
          <w:rFonts w:ascii="Times New Roman" w:hAnsi="Times New Roman" w:eastAsia="Times New Roman" w:cs="Times New Roman"/>
        </w:rPr>
        <w:t xml:space="preserve">Eurostat.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ICT usage in enterprises; online job advertisements by occupation (experimental); Labour force survey</w:t>
      </w:r>
      <w:r>
        <w:rPr>
          <w:rFonts w:ascii="Times New Roman" w:hAnsi="Times New Roman" w:eastAsia="Times New Roman" w:cs="Times New Roman"/>
        </w:rPr>
        <w:t xml:space="preserve"> </w:t>
      </w:r>
      <w:r>
        <w:rPr>
          <w:rFonts w:ascii="Times New Roman" w:hAnsi="Times New Roman" w:eastAsia="Times New Roman" w:cs="Times New Roman"/>
        </w:rPr>
        <w:t xml:space="preserve">[Data sets]. Retrieved October 4, 2026, from the Eurostat dissemination database.</w:t>
      </w:r>
    </w:p>
    <w:p>
      <w:pPr>
        <w:pStyle w:val="BodyText"/>
        <w:spacing w:line="480" w:lineRule="auto" w:after="0" w:before="0"/>
        <w:ind w:firstLine="720"/>
        <w:jc w:val="left"/>
      </w:pPr>
      <w:r>
        <w:rPr>
          <w:rFonts w:ascii="Times New Roman" w:hAnsi="Times New Roman" w:eastAsia="Times New Roman" w:cs="Times New Roman"/>
        </w:rPr>
        <w:t xml:space="preserve">Felten, E., Raj, M., &amp; Seamans, R. (2021). Occupational, industry, and geographic exposure to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Strategic Management Journal, 42</w:t>
      </w:r>
      <w:r>
        <w:rPr>
          <w:rFonts w:ascii="Times New Roman" w:hAnsi="Times New Roman" w:eastAsia="Times New Roman" w:cs="Times New Roman"/>
        </w:rPr>
        <w:t xml:space="preserve">(12), 2195–2217.</w:t>
      </w:r>
    </w:p>
    <w:p>
      <w:pPr>
        <w:pStyle w:val="BodyText"/>
        <w:spacing w:line="480" w:lineRule="auto" w:after="0" w:before="0"/>
        <w:ind w:firstLine="720"/>
        <w:jc w:val="left"/>
      </w:pPr>
      <w:r>
        <w:rPr>
          <w:rFonts w:ascii="Times New Roman" w:hAnsi="Times New Roman" w:eastAsia="Times New Roman" w:cs="Times New Roman"/>
        </w:rPr>
        <w:t xml:space="preserve">Fichman, R. G., &amp; Kemerer, C. F. (1999). The illusory diffusion of innovation: An examination of assimilation gaps.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10</w:t>
      </w:r>
      <w:r>
        <w:rPr>
          <w:rFonts w:ascii="Times New Roman" w:hAnsi="Times New Roman" w:eastAsia="Times New Roman" w:cs="Times New Roman"/>
        </w:rPr>
        <w:t xml:space="preserve">(3), 255–275.</w:t>
      </w:r>
    </w:p>
    <w:p>
      <w:pPr>
        <w:pStyle w:val="BodyText"/>
        <w:spacing w:line="480" w:lineRule="auto" w:after="0" w:before="0"/>
        <w:ind w:firstLine="720"/>
        <w:jc w:val="left"/>
      </w:pPr>
      <w:r>
        <w:rPr>
          <w:rFonts w:ascii="Times New Roman" w:hAnsi="Times New Roman" w:eastAsia="Times New Roman" w:cs="Times New Roman"/>
        </w:rPr>
        <w:t xml:space="preserve">Fügener, A., Grahl, J., Gupta, A., &amp; Ketter, W. (2022). Cognitive challenges in human–artificial intelligence collaboration: Investigating the path toward productive delegation.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33</w:t>
      </w:r>
      <w:r>
        <w:rPr>
          <w:rFonts w:ascii="Times New Roman" w:hAnsi="Times New Roman" w:eastAsia="Times New Roman" w:cs="Times New Roman"/>
        </w:rPr>
        <w:t xml:space="preserve">(2), 678–696.</w:t>
      </w:r>
    </w:p>
    <w:p>
      <w:pPr>
        <w:pStyle w:val="BodyText"/>
        <w:spacing w:line="480" w:lineRule="auto" w:after="0" w:before="0"/>
        <w:ind w:firstLine="720"/>
        <w:jc w:val="left"/>
      </w:pPr>
      <w:r>
        <w:rPr>
          <w:rFonts w:ascii="Times New Roman" w:hAnsi="Times New Roman" w:eastAsia="Times New Roman" w:cs="Times New Roman"/>
        </w:rPr>
        <w:t xml:space="preserve">Gathmann, C., Grimm, F., &amp; Winkler, E. (2024).</w:t>
      </w:r>
      <w:r>
        <w:rPr>
          <w:rFonts w:ascii="Times New Roman" w:hAnsi="Times New Roman" w:eastAsia="Times New Roman" w:cs="Times New Roman"/>
        </w:rPr>
        <w:t xml:space="preserve"> </w:t>
      </w:r>
      <w:r>
        <w:rPr>
          <w:iCs/>
          <w:rFonts w:ascii="Times New Roman" w:hAnsi="Times New Roman" w:eastAsia="Times New Roman" w:cs="Times New Roman"/>
          <w:i/>
        </w:rPr>
        <w:t xml:space="preserve">AI, task changes in jobs, and worker reallocation</w:t>
      </w:r>
      <w:r>
        <w:rPr>
          <w:rFonts w:ascii="Times New Roman" w:hAnsi="Times New Roman" w:eastAsia="Times New Roman" w:cs="Times New Roman"/>
        </w:rPr>
        <w:t xml:space="preserve"> </w:t>
      </w:r>
      <w:r>
        <w:rPr>
          <w:rFonts w:ascii="Times New Roman" w:hAnsi="Times New Roman" w:eastAsia="Times New Roman" w:cs="Times New Roman"/>
        </w:rPr>
        <w:t xml:space="preserve">(IZA Discussion Paper No. 17554). IZA Institute of Labor Economics.</w:t>
      </w:r>
    </w:p>
    <w:p>
      <w:pPr>
        <w:pStyle w:val="BodyText"/>
        <w:spacing w:line="480" w:lineRule="auto" w:after="0" w:before="0"/>
        <w:ind w:firstLine="720"/>
        <w:jc w:val="left"/>
      </w:pPr>
      <w:r>
        <w:rPr>
          <w:rFonts w:ascii="Times New Roman" w:hAnsi="Times New Roman" w:eastAsia="Times New Roman" w:cs="Times New Roman"/>
        </w:rPr>
        <w:t xml:space="preserve">Georgieff, A., &amp; Hyee, R. (2022). Artificial intelligence and employment: New cross-country evidence.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Frontiers in Artificial Intelligence, 5</w:t>
      </w:r>
      <w:r>
        <w:rPr>
          <w:rFonts w:ascii="Times New Roman" w:hAnsi="Times New Roman" w:eastAsia="Times New Roman" w:cs="Times New Roman"/>
        </w:rPr>
        <w:t xml:space="preserve">, Article 832736.</w:t>
      </w:r>
    </w:p>
    <w:p>
      <w:pPr>
        <w:pStyle w:val="BodyText"/>
        <w:spacing w:line="480" w:lineRule="auto" w:after="0" w:before="0"/>
        <w:ind w:firstLine="720"/>
        <w:jc w:val="left"/>
      </w:pPr>
      <w:r>
        <w:rPr>
          <w:rFonts w:ascii="Times New Roman" w:hAnsi="Times New Roman" w:eastAsia="Times New Roman" w:cs="Times New Roman"/>
        </w:rPr>
        <w:t xml:space="preserve">Hampole, M., Papanikolaou, D., Schmidt, L. D. W., &amp; Seegmiller, B. (2025).</w:t>
      </w:r>
      <w:r>
        <w:rPr>
          <w:rFonts w:ascii="Times New Roman" w:hAnsi="Times New Roman" w:eastAsia="Times New Roman" w:cs="Times New Roman"/>
        </w:rPr>
        <w:t xml:space="preserve"> </w:t>
      </w:r>
      <w:r>
        <w:rPr>
          <w:iCs/>
          <w:rFonts w:ascii="Times New Roman" w:hAnsi="Times New Roman" w:eastAsia="Times New Roman" w:cs="Times New Roman"/>
          <w:i/>
        </w:rPr>
        <w:t xml:space="preserve">Artificial intelligence and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33509).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Hui, X., Reshef, O., &amp; Zhou, L. (2024). The short-term effects of generative artificial intelligence on employment: Evidence from an online labor market.</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35</w:t>
      </w:r>
      <w:r>
        <w:rPr>
          <w:rFonts w:ascii="Times New Roman" w:hAnsi="Times New Roman" w:eastAsia="Times New Roman" w:cs="Times New Roman"/>
        </w:rPr>
        <w:t xml:space="preserve">(6), 1977–1989.</w:t>
      </w:r>
    </w:p>
    <w:p>
      <w:pPr>
        <w:pStyle w:val="BodyText"/>
        <w:spacing w:line="480" w:lineRule="auto" w:after="0" w:before="0"/>
        <w:ind w:firstLine="720"/>
        <w:jc w:val="left"/>
      </w:pPr>
      <w:r>
        <w:rPr>
          <w:rFonts w:ascii="Times New Roman" w:hAnsi="Times New Roman" w:eastAsia="Times New Roman" w:cs="Times New Roman"/>
        </w:rPr>
        <w:t xml:space="preserve">Humlum, A., &amp; Vestergaard, E. (2025).</w:t>
      </w:r>
      <w:r>
        <w:rPr>
          <w:rFonts w:ascii="Times New Roman" w:hAnsi="Times New Roman" w:eastAsia="Times New Roman" w:cs="Times New Roman"/>
        </w:rPr>
        <w:t xml:space="preserve"> </w:t>
      </w:r>
      <w:r>
        <w:rPr>
          <w:iCs/>
          <w:rFonts w:ascii="Times New Roman" w:hAnsi="Times New Roman" w:eastAsia="Times New Roman" w:cs="Times New Roman"/>
          <w:i/>
        </w:rPr>
        <w:t xml:space="preserve">Large language models, small labor market effects</w:t>
      </w:r>
      <w:r>
        <w:rPr>
          <w:rFonts w:ascii="Times New Roman" w:hAnsi="Times New Roman" w:eastAsia="Times New Roman" w:cs="Times New Roman"/>
        </w:rPr>
        <w:t xml:space="preserve"> </w:t>
      </w:r>
      <w:r>
        <w:rPr>
          <w:rFonts w:ascii="Times New Roman" w:hAnsi="Times New Roman" w:eastAsia="Times New Roman" w:cs="Times New Roman"/>
        </w:rPr>
        <w:t xml:space="preserve">(BFI Working Paper No. 2025-56; NBER Working Paper No. 33777). Becker Friedman Institute and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Indeed Hiring Lab.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postings index, by sector, United States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Jasperson, J. S., Carter, P. E., &amp; Zmud, R. W. (2005). A comprehensive conceptualization of post-adoptive behaviors associated with information technology enabled work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29</w:t>
      </w:r>
      <w:r>
        <w:rPr>
          <w:rFonts w:ascii="Times New Roman" w:hAnsi="Times New Roman" w:eastAsia="Times New Roman" w:cs="Times New Roman"/>
        </w:rPr>
        <w:t xml:space="preserve">(3), 525–557.</w:t>
      </w:r>
    </w:p>
    <w:p>
      <w:pPr>
        <w:pStyle w:val="BodyText"/>
        <w:spacing w:line="480" w:lineRule="auto" w:after="0" w:before="0"/>
        <w:ind w:firstLine="720"/>
        <w:jc w:val="left"/>
      </w:pPr>
      <w:r>
        <w:rPr>
          <w:rFonts w:ascii="Times New Roman" w:hAnsi="Times New Roman" w:eastAsia="Times New Roman" w:cs="Times New Roman"/>
        </w:rPr>
        <w:t xml:space="preserve">Kim, S., Jin, G. Z., &amp; Lee, E.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Does generative AI crowd out human creators? Evidence from Pixiv</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34733).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Leonardi, P. M. (2011). When flexible routines meet flexible technologies: Affordance, constraint, and the imbrication of human and material agencies.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35</w:t>
      </w:r>
      <w:r>
        <w:rPr>
          <w:rFonts w:ascii="Times New Roman" w:hAnsi="Times New Roman" w:eastAsia="Times New Roman" w:cs="Times New Roman"/>
        </w:rPr>
        <w:t xml:space="preserve">(1), 147–167.</w:t>
      </w:r>
    </w:p>
    <w:p>
      <w:pPr>
        <w:pStyle w:val="BodyText"/>
        <w:spacing w:line="480" w:lineRule="auto" w:after="0" w:before="0"/>
        <w:ind w:firstLine="720"/>
        <w:jc w:val="left"/>
      </w:pPr>
      <w:r>
        <w:rPr>
          <w:rFonts w:ascii="Times New Roman" w:hAnsi="Times New Roman" w:eastAsia="Times New Roman" w:cs="Times New Roman"/>
        </w:rPr>
        <w:t xml:space="preserve">Liang, H., Saraf, N., Hu, Q., &amp; Xue, Y. (2007). Assimilation of enterprise systems: The effect of institutional pressures and the mediating role of top management.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31</w:t>
      </w:r>
      <w:r>
        <w:rPr>
          <w:rFonts w:ascii="Times New Roman" w:hAnsi="Times New Roman" w:eastAsia="Times New Roman" w:cs="Times New Roman"/>
        </w:rPr>
        <w:t xml:space="preserve">(1), 59–87.</w:t>
      </w:r>
    </w:p>
    <w:p>
      <w:pPr>
        <w:pStyle w:val="BodyText"/>
        <w:spacing w:line="480" w:lineRule="auto" w:after="0" w:before="0"/>
        <w:ind w:firstLine="720"/>
        <w:jc w:val="left"/>
      </w:pPr>
      <w:r>
        <w:rPr>
          <w:rFonts w:ascii="Times New Roman" w:hAnsi="Times New Roman" w:eastAsia="Times New Roman" w:cs="Times New Roman"/>
        </w:rPr>
        <w:t xml:space="preserve">Melville, N., Kraemer, K., &amp; Gurbaxani, V. (2004). Information technology and organizational performance: An integrative model of IT business value.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(2), 283–322.</w:t>
      </w:r>
    </w:p>
    <w:p>
      <w:pPr>
        <w:pStyle w:val="BodyText"/>
        <w:spacing w:line="480" w:lineRule="auto" w:after="0" w:before="0"/>
        <w:ind w:firstLine="720"/>
        <w:jc w:val="left"/>
      </w:pPr>
      <w:r>
        <w:rPr>
          <w:rFonts w:ascii="Times New Roman" w:hAnsi="Times New Roman" w:eastAsia="Times New Roman" w:cs="Times New Roman"/>
        </w:rPr>
        <w:t xml:space="preserve">National Center for O*NET Development.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O*NET database</w:t>
      </w:r>
      <w:r>
        <w:rPr>
          <w:rFonts w:ascii="Times New Roman" w:hAnsi="Times New Roman" w:eastAsia="Times New Roman" w:cs="Times New Roman"/>
        </w:rPr>
        <w:t xml:space="preserve"> </w:t>
      </w:r>
      <w:r>
        <w:rPr>
          <w:rFonts w:ascii="Times New Roman" w:hAnsi="Times New Roman" w:eastAsia="Times New Roman" w:cs="Times New Roman"/>
        </w:rPr>
        <w:t xml:space="preserve">(Version 29.1) [Data set]; ESCO crosswalk.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Orlikowski, W. J. (2000). Using technology and constituting structures: A practice lens for studying technology in organizations.</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11</w:t>
      </w:r>
      <w:r>
        <w:rPr>
          <w:rFonts w:ascii="Times New Roman" w:hAnsi="Times New Roman" w:eastAsia="Times New Roman" w:cs="Times New Roman"/>
        </w:rPr>
        <w:t xml:space="preserve">(4), 404–428.</w:t>
      </w:r>
    </w:p>
    <w:p>
      <w:pPr>
        <w:pStyle w:val="BodyText"/>
        <w:spacing w:line="480" w:lineRule="auto" w:after="0" w:before="0"/>
        <w:ind w:firstLine="720"/>
        <w:jc w:val="left"/>
      </w:pPr>
      <w:r>
        <w:rPr>
          <w:rFonts w:ascii="Times New Roman" w:hAnsi="Times New Roman" w:eastAsia="Times New Roman" w:cs="Times New Roman"/>
        </w:rPr>
        <w:t xml:space="preserve">Rai, A., Constantinides, P., &amp; Sarker, S. (2019). Next-generation digital platforms: Toward human–AI hybrids.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43</w:t>
      </w:r>
      <w:r>
        <w:rPr>
          <w:rFonts w:ascii="Times New Roman" w:hAnsi="Times New Roman" w:eastAsia="Times New Roman" w:cs="Times New Roman"/>
        </w:rPr>
        <w:t xml:space="preserve">(1), iii–ix.</w:t>
      </w:r>
    </w:p>
    <w:p>
      <w:pPr>
        <w:pStyle w:val="BodyText"/>
        <w:spacing w:line="480" w:lineRule="auto" w:after="0" w:before="0"/>
        <w:ind w:firstLine="720"/>
        <w:jc w:val="left"/>
      </w:pPr>
      <w:r>
        <w:rPr>
          <w:rFonts w:ascii="Times New Roman" w:hAnsi="Times New Roman" w:eastAsia="Times New Roman" w:cs="Times New Roman"/>
        </w:rPr>
        <w:t xml:space="preserve">Statistics Canada.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vacancies by occupation</w:t>
      </w:r>
      <w:r>
        <w:rPr>
          <w:rFonts w:ascii="Times New Roman" w:hAnsi="Times New Roman" w:eastAsia="Times New Roman" w:cs="Times New Roman"/>
        </w:rPr>
        <w:t xml:space="preserve"> </w:t>
      </w:r>
      <w:r>
        <w:rPr>
          <w:rFonts w:ascii="Times New Roman" w:hAnsi="Times New Roman" w:eastAsia="Times New Roman" w:cs="Times New Roman"/>
        </w:rPr>
        <w:t xml:space="preserve">(Table 14-10-0444; NOC 2021) [Data set]. Retrieved October 4, 2026. Statistics Canada Open Licence.</w:t>
      </w:r>
    </w:p>
    <w:p>
      <w:pPr>
        <w:pStyle w:val="BodyText"/>
        <w:spacing w:line="480" w:lineRule="auto" w:after="0" w:before="0"/>
        <w:ind w:firstLine="720"/>
        <w:jc w:val="left"/>
      </w:pPr>
      <w:r>
        <w:rPr>
          <w:rFonts w:ascii="Times New Roman" w:hAnsi="Times New Roman" w:eastAsia="Times New Roman" w:cs="Times New Roman"/>
        </w:rPr>
        <w:t xml:space="preserve">Susarla, A., Gopal, R., Thatcher, J. B., &amp; Sarker, S. (2023). The Janus effect of generative AI: Charting the path for responsible conduct of scholarly activities in information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34</w:t>
      </w:r>
      <w:r>
        <w:rPr>
          <w:rFonts w:ascii="Times New Roman" w:hAnsi="Times New Roman" w:eastAsia="Times New Roman" w:cs="Times New Roman"/>
        </w:rPr>
        <w:t xml:space="preserve">(2), 399–408.</w:t>
      </w:r>
    </w:p>
    <w:p>
      <w:pPr>
        <w:pStyle w:val="BodyText"/>
        <w:spacing w:line="480" w:lineRule="auto" w:after="0" w:before="0"/>
        <w:ind w:firstLine="720"/>
        <w:jc w:val="left"/>
      </w:pPr>
      <w:r>
        <w:rPr>
          <w:rFonts w:ascii="Times New Roman" w:hAnsi="Times New Roman" w:eastAsia="Times New Roman" w:cs="Times New Roman"/>
        </w:rPr>
        <w:t xml:space="preserve">Tambe, P., &amp; Hitt, L. M. (2012). The productivity of information technology investments: New evidence from IT labor data.</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23</w:t>
      </w:r>
      <w:r>
        <w:rPr>
          <w:rFonts w:ascii="Times New Roman" w:hAnsi="Times New Roman" w:eastAsia="Times New Roman" w:cs="Times New Roman"/>
        </w:rPr>
        <w:t xml:space="preserve">(3-part-1), 599–617.</w:t>
      </w:r>
    </w:p>
    <w:p>
      <w:pPr>
        <w:pStyle w:val="BodyText"/>
        <w:spacing w:line="480" w:lineRule="auto" w:after="0" w:before="0"/>
        <w:ind w:firstLine="720"/>
        <w:jc w:val="left"/>
      </w:pPr>
      <w:r>
        <w:rPr>
          <w:rFonts w:ascii="Times New Roman" w:hAnsi="Times New Roman" w:eastAsia="Times New Roman" w:cs="Times New Roman"/>
        </w:rPr>
        <w:t xml:space="preserve">Teece, D. J. (1986). Profiting from technological innovation: Implications for integration, collaboration, licensing and public policy.</w:t>
      </w:r>
      <w:r>
        <w:rPr>
          <w:rFonts w:ascii="Times New Roman" w:hAnsi="Times New Roman" w:eastAsia="Times New Roman" w:cs="Times New Roman"/>
        </w:rPr>
        <w:t xml:space="preserve"> </w:t>
      </w:r>
      <w:r>
        <w:rPr>
          <w:iCs/>
          <w:rFonts w:ascii="Times New Roman" w:hAnsi="Times New Roman" w:eastAsia="Times New Roman" w:cs="Times New Roman"/>
          <w:i/>
        </w:rPr>
        <w:t xml:space="preserve">Research Policy, 15</w:t>
      </w:r>
      <w:r>
        <w:rPr>
          <w:rFonts w:ascii="Times New Roman" w:hAnsi="Times New Roman" w:eastAsia="Times New Roman" w:cs="Times New Roman"/>
        </w:rPr>
        <w:t xml:space="preserve">(6), 285–305.</w:t>
      </w:r>
    </w:p>
    <w:p>
      <w:pPr>
        <w:pStyle w:val="BodyText"/>
        <w:spacing w:line="480" w:lineRule="auto" w:after="0" w:before="0"/>
        <w:ind w:firstLine="720"/>
        <w:jc w:val="left"/>
      </w:pPr>
      <w:r>
        <w:rPr>
          <w:rFonts w:ascii="Times New Roman" w:hAnsi="Times New Roman" w:eastAsia="Times New Roman" w:cs="Times New Roman"/>
        </w:rPr>
        <w:t xml:space="preserve">Wade, M., &amp; Hulland, J. (2004). The resource-based view and information systems research: Review, extension, and suggestions for future research.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(1), 107–142.</w:t>
      </w:r>
    </w:p>
    <w:p>
      <w:pPr>
        <w:pStyle w:val="BodyText"/>
        <w:spacing w:line="480" w:lineRule="auto" w:after="0" w:before="0"/>
        <w:ind w:firstLine="720"/>
        <w:jc w:val="left"/>
      </w:pPr>
      <w:r>
        <w:rPr>
          <w:rFonts w:ascii="Times New Roman" w:hAnsi="Times New Roman" w:eastAsia="Times New Roman" w:cs="Times New Roman"/>
        </w:rPr>
        <w:t xml:space="preserve">Web Data Commons. (2024).</w:t>
      </w:r>
      <w:r>
        <w:rPr>
          <w:rFonts w:ascii="Times New Roman" w:hAnsi="Times New Roman" w:eastAsia="Times New Roman" w:cs="Times New Roman"/>
        </w:rPr>
        <w:t xml:space="preserve"> </w:t>
      </w:r>
      <w:r>
        <w:rPr>
          <w:iCs/>
          <w:rFonts w:ascii="Times New Roman" w:hAnsi="Times New Roman" w:eastAsia="Times New Roman" w:cs="Times New Roman"/>
          <w:i/>
        </w:rPr>
        <w:t xml:space="preserve">Schema.org JobPosting class-specific subsets, crawls 2022-12, 2023-12, and 2024-12</w:t>
      </w:r>
      <w:r>
        <w:rPr>
          <w:rFonts w:ascii="Times New Roman" w:hAnsi="Times New Roman" w:eastAsia="Times New Roman" w:cs="Times New Roman"/>
        </w:rPr>
        <w:t xml:space="preserve"> </w:t>
      </w:r>
      <w:r>
        <w:rPr>
          <w:rFonts w:ascii="Times New Roman" w:hAnsi="Times New Roman" w:eastAsia="Times New Roman" w:cs="Times New Roman"/>
        </w:rPr>
        <w:t xml:space="preserve">[Data sets]. University of Mannheim. https://webdatacommons.org/structureddata/</w:t>
      </w:r>
    </w:p>
    <w:p>
      <w:pPr>
        <w:pStyle w:val="BodyText"/>
        <w:spacing w:line="480" w:lineRule="auto" w:after="0" w:before="0"/>
        <w:ind w:firstLine="720"/>
        <w:jc w:val="left"/>
      </w:pPr>
      <w:r>
        <w:rPr>
          <w:rFonts w:ascii="Times New Roman" w:hAnsi="Times New Roman" w:eastAsia="Times New Roman" w:cs="Times New Roman"/>
        </w:rPr>
        <w:t xml:space="preserve">Webb, M. (2020).</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impact of artificial intelligence on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[Working paper]. SSRN. https://ssrn.com/abstract=3482150</w:t>
      </w:r>
    </w:p>
    <w:p>
      <w:pPr>
        <w:pStyle w:val="BodyText"/>
        <w:spacing w:line="480" w:lineRule="auto" w:after="0" w:before="0"/>
        <w:ind w:firstLine="720"/>
        <w:jc w:val="left"/>
      </w:pPr>
      <w:r>
        <w:rPr>
          <w:rFonts w:ascii="Times New Roman" w:hAnsi="Times New Roman" w:eastAsia="Times New Roman" w:cs="Times New Roman"/>
        </w:rPr>
        <w:t xml:space="preserve">Zhou, E., &amp; Lee, D. (2024). Generative artificial intelligence, human creativity, and art.</w:t>
      </w:r>
      <w:r>
        <w:rPr>
          <w:rFonts w:ascii="Times New Roman" w:hAnsi="Times New Roman" w:eastAsia="Times New Roman" w:cs="Times New Roman"/>
        </w:rPr>
        <w:t xml:space="preserve"> </w:t>
      </w:r>
      <w:r>
        <w:rPr>
          <w:iCs/>
          <w:rFonts w:ascii="Times New Roman" w:hAnsi="Times New Roman" w:eastAsia="Times New Roman" w:cs="Times New Roman"/>
          <w:i/>
        </w:rPr>
        <w:t xml:space="preserve">PNAS Nexus, 3</w:t>
      </w:r>
      <w:r>
        <w:rPr>
          <w:rFonts w:ascii="Times New Roman" w:hAnsi="Times New Roman" w:eastAsia="Times New Roman" w:cs="Times New Roman"/>
        </w:rPr>
        <w:t xml:space="preserve">(3), Article pgae052.</w:t>
      </w:r>
    </w:p>
    <w:p>
      <w:pPr>
        <w:pStyle w:val="BodyText"/>
        <w:spacing w:line="480" w:lineRule="auto" w:after="0" w:before="0"/>
        <w:ind w:firstLine="720"/>
        <w:jc w:val="left"/>
      </w:pPr>
      <w:r>
        <w:rPr>
          <w:rFonts w:ascii="Times New Roman" w:hAnsi="Times New Roman" w:eastAsia="Times New Roman" w:cs="Times New Roman"/>
        </w:rPr>
        <w:t xml:space="preserve">Zhu, K., &amp; Kraemer, K. L. (2005). Post-adoption variations in usage and value of e-business by organizations: Cross-country evidence from the retail industry.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16</w:t>
      </w:r>
      <w:r>
        <w:rPr>
          <w:rFonts w:ascii="Times New Roman" w:hAnsi="Times New Roman" w:eastAsia="Times New Roman" w:cs="Times New Roman"/>
        </w:rPr>
        <w:t xml:space="preserve">(1), 61–84.</w:t>
      </w:r>
    </w:p>
    <w:bookmarkEnd w:id="6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pPr>
      <w:spacing w:after="180" w:before="180"/>
    </w:pPr>
    <w:qFormat/>
    <w:rPr>
      <w:rFonts w:ascii="Times New Roman" w:hAnsi="Times New Roman" w:eastAsia="Times New Roman" w:cs="Times New Roman"/>
      <w:sz w:val="24"/>
    </w:rPr>
  </w:style>
  <w:style w:customStyle="1" w:styleId="FirstParagraph" w:type="paragraph">
    <w:name w:val="First Paragraph"/>
    <w:basedOn w:val="BodyText"/>
    <w:next w:val="BodyText"/>
    <w:qFormat/>
    <w:rPr>
      <w:rFonts w:ascii="Times New Roman" w:hAnsi="Times New Roman" w:eastAsia="Times New Roman" w:cs="Times New Roman"/>
      <w:sz w:val="24"/>
    </w:rPr>
  </w:style>
  <w:style w:customStyle="1" w:styleId="Compact" w:type="paragraph">
    <w:name w:val="Compact"/>
    <w:basedOn w:val="BodyText"/>
    <w:qFormat/>
    <w:pPr>
      <w:spacing w:after="36" w:before="36"/>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jc w:val="center"/>
    </w:pPr>
    <w:rPr>
      <w:rFonts w:ascii="Times New Roman" w:hAnsi="Times New Roman" w:eastAsia="Times New Roman" w:cs="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sz w:val="24"/>
    </w:rPr>
  </w:style>
  <w:style w:styleId="Date" w:type="paragraph">
    <w:name w:val="Date"/>
    <w:next w:val="BodyText"/>
    <w:qFormat/>
    <w:pPr>
      <w:keepNext/>
      <w:keepLines/>
      <w:jc w:val="center"/>
    </w:pPr>
    <w:rPr>
      <w:rFonts w:ascii="Times New Roman" w:hAnsi="Times New Roman" w:eastAsia="Times New Roman" w:cs="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eastAsia="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4"/>
      <w:szCs w:val="20"/>
    </w:rPr>
  </w:style>
  <w:style w:styleId="Bibliography" w:type="paragraph">
    <w:name w:val="Bibliography"/>
    <w:basedOn w:val="Normal"/>
    <w:next w:val="Bibliography"/>
    <w:qFormat/>
    <w:pPr/>
    <w:rPr>
      <w:rFonts w:ascii="Times New Roman" w:hAnsi="Times New Roman" w:eastAsia="Times New Roman" w:cs="Times New Roman"/>
      <w:sz w:val="24"/>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120" w:before="240"/>
      <w:jc w:val="center"/>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120" w:before="240"/>
      <w:jc w:val="left"/>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rPr>
      <w:rFonts w:ascii="Times New Roman" w:hAnsi="Times New Roman" w:eastAsia="Times New Roman" w:cs="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4"/>
    </w:rPr>
  </w:style>
  <w:style w:customStyle="1" w:styleId="Definition" w:type="paragraph">
    <w:name w:val="Definition"/>
    <w:basedOn w:val="Normal"/>
    <w:rPr>
      <w:rFonts w:ascii="Times New Roman" w:hAnsi="Times New Roman" w:eastAsia="Times New Roman" w:cs="Times New Roman"/>
      <w:sz w:val="24"/>
    </w:rPr>
  </w:style>
  <w:style w:styleId="Caption" w:type="paragraph">
    <w:name w:val="Caption"/>
    <w:basedOn w:val="Normal"/>
    <w:link w:val="BodyTextChar"/>
    <w:pPr>
      <w:spacing w:after="120" w:before="0"/>
    </w:pPr>
    <w:rPr>
      <w:rFonts w:ascii="Times New Roman" w:hAnsi="Times New Roman" w:eastAsia="Times New Roman" w:cs="Times New Roman"/>
      <w:i/>
      <w:sz w:val="24"/>
    </w:rPr>
  </w:style>
  <w:style w:customStyle="1" w:styleId="TableCaption" w:type="paragraph">
    <w:name w:val="Table Caption"/>
    <w:basedOn w:val="Caption"/>
    <w:pPr>
      <w:keepNext/>
    </w:pPr>
    <w:rPr>
      <w:rFonts w:ascii="Times New Roman" w:hAnsi="Times New Roman" w:eastAsia="Times New Roman" w:cs="Times New Roman"/>
      <w:sz w:val="24"/>
    </w:rPr>
  </w:style>
  <w:style w:customStyle="1" w:styleId="ImageCaption" w:type="paragraph">
    <w:name w:val="Image Caption"/>
    <w:basedOn w:val="Caption"/>
    <w:rPr>
      <w:rFonts w:ascii="Times New Roman" w:hAnsi="Times New Roman" w:eastAsia="Times New Roman" w:cs="Times New Roman"/>
      <w:sz w:val="24"/>
    </w:rPr>
  </w:style>
  <w:style w:customStyle="1" w:styleId="Figure" w:type="paragraph">
    <w:name w:val="Figure"/>
    <w:basedOn w:val="Normal"/>
    <w:rPr>
      <w:rFonts w:ascii="Times New Roman" w:hAnsi="Times New Roman" w:eastAsia="Times New Roman" w:cs="Times New Roman"/>
      <w:sz w:val="24"/>
    </w:rPr>
  </w:style>
  <w:style w:customStyle="1" w:styleId="CaptionedFigure" w:type="paragraph">
    <w:name w:val="Captioned Figure"/>
    <w:basedOn w:val="Figure"/>
    <w:pPr>
      <w:keepNext/>
    </w:pPr>
    <w:rPr>
      <w:rFonts w:ascii="Times New Roman" w:hAnsi="Times New Roman" w:eastAsia="Times New Roman" w:cs="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Acquired, Not Yet Assimilated? Complementary Assets and the Limits of Occupation-Level Evidence on Generative Visual AI</dc:title>
  <dc:creator/>
  <cp:keywords/>
  <dcterms:created xsi:type="dcterms:W3CDTF">2026-10-28T08:09:51Z</dcterms:created>
  <dcterms:modified xsi:type="dcterms:W3CDTF">2026-10-28T08:09:51Z</dcterms:modified>
</cp:coreProperties>
</file>

<file path=docProps/custom.xml><?xml version="1.0" encoding="utf-8"?>
<Properties xmlns="http://schemas.openxmlformats.org/officeDocument/2006/custom-properties" xmlns:vt="http://schemas.openxmlformats.org/officeDocument/2006/docPropsVTypes"/>
</file>