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80" w:after="120"/>
        <w:rPr/>
      </w:pPr>
      <w:bookmarkStart w:id="0" w:name="X642f2b7e096a2208b729e0228ffaaae5906b275"/>
      <w:r>
        <w:rPr/>
        <w:t>Deference or Noise? Separating Stance Sensitivity from Instability in AI Reviewers and What It Costs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stract"/>
      <w:r>
        <w:rPr/>
        <w:t>Abstract</w:t>
      </w:r>
    </w:p>
    <w:p>
      <w:pPr>
        <w:pStyle w:val="FirstParagraph"/>
        <w:rPr/>
      </w:pPr>
      <w:r>
        <w:rPr/>
        <w:t>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the requester’s disclosed accuracy, and show how the corrected quantity enters the value of delegated review, (1 − s)(a − π). Across fourteen language models and 176,400 answers, correction removes a median 9% of raw deference but 21% to 75% for the five least stable models; stance-following responds to claimed evidence, no model shows pure deference, and larger models are not reliably less deferential. We offer an audit protocol and state its limits.</w:t>
      </w:r>
    </w:p>
    <w:p>
      <w:pPr>
        <w:pStyle w:val="BodyText"/>
        <w:rPr/>
      </w:pPr>
      <w:r>
        <w:rPr>
          <w:b/>
          <w:bCs/>
        </w:rPr>
        <w:t>Keywords:</w:t>
      </w:r>
      <w:r>
        <w:rPr/>
        <w:t xml:space="preserve"> AI delegation, sycophancy, AI auditing, value of information, large language models, measurement</w:t>
      </w:r>
    </w:p>
    <w:p>
      <w:pPr>
        <w:pStyle w:val="Normal"/>
        <w:rPr/>
      </w:pPr>
      <w:bookmarkStart w:id="2"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rPr/>
      </w:pPr>
      <w:r>
        <w:rPr/>
        <w:t>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pStyle w:val="Compact"/>
        <w:numPr>
          <w:ilvl w:val="0"/>
          <w:numId w:val="6"/>
        </w:numPr>
        <w:rPr/>
      </w:pPr>
      <w:r>
        <w:rPr>
          <w:i/>
          <w:iCs/>
        </w:rPr>
        <w:t>Instability.</w:t>
      </w:r>
      <w:r>
        <w:rPr/>
        <w:t xml:space="preserve"> The model gives different answers to the same question across draws, so some answers change with no stance at all.</w:t>
      </w:r>
    </w:p>
    <w:p>
      <w:pPr>
        <w:pStyle w:val="Compact"/>
        <w:numPr>
          <w:ilvl w:val="0"/>
          <w:numId w:val="1"/>
        </w:numPr>
        <w:rPr/>
      </w:pPr>
      <w:r>
        <w:rPr>
          <w:i/>
          <w:iCs/>
        </w:rPr>
        <w:t>Sensitivity to added text.</w:t>
      </w:r>
      <w:r>
        <w:rPr/>
        <w:t xml:space="preserve"> Any additional sentence, relevant or not, shifts the answer (Sclar et al. 2024).</w:t>
      </w:r>
    </w:p>
    <w:p>
      <w:pPr>
        <w:pStyle w:val="Compact"/>
        <w:numPr>
          <w:ilvl w:val="0"/>
          <w:numId w:val="1"/>
        </w:numPr>
        <w:rPr/>
      </w:pPr>
      <w:r>
        <w:rPr>
          <w:i/>
          <w:iCs/>
        </w:rPr>
        <w:t>Evidence-weighing.</w:t>
      </w:r>
      <w:r>
        <w:rPr/>
        <w:t xml:space="preserve"> The stance carries information, such as a claimed colleague review or an accuracy record, and a model that gives it some weight is behaving sensibly, though not necessarily well.</w:t>
      </w:r>
    </w:p>
    <w:p>
      <w:pPr>
        <w:pStyle w:val="Compact"/>
        <w:numPr>
          <w:ilvl w:val="0"/>
          <w:numId w:val="1"/>
        </w:numPr>
        <w:rPr/>
      </w:pPr>
      <w:r>
        <w:rPr>
          <w:i/>
          <w:iCs/>
        </w:rPr>
        <w:t>Deference.</w:t>
      </w:r>
      <w:r>
        <w:rPr/>
        <w:t xml:space="preserve"> The report follows the stance because it is the stance.</w:t>
      </w:r>
    </w:p>
    <w:p>
      <w:pPr>
        <w:pStyle w:val="FirstParagraph"/>
        <w:rPr/>
      </w:pPr>
      <w:r>
        <w:rPr/>
        <w:t>Only the fourth is the yes-man of Prendergast (1993), and only the fourth justifies paying for a reviewer with integrity. Prior measurements report the sum of all four. The omission matters for management decisions in two ways. A firm that treats instability as deference will buy a more expensive “non-sycophantic” model and see no improvement in decision quality. A firm that treats deference as evidence-weighing will keep a reviewer that tells it what it already believes.</w:t>
      </w:r>
    </w:p>
    <w:p>
      <w:pPr>
        <w:pStyle w:val="BodyText"/>
        <w:rPr/>
      </w:pPr>
      <w:r>
        <w:rPr/>
        <w:t>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a new bank of 600 audited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rPr/>
      </w:pPr>
      <w:r>
        <w:rPr/>
        <w:t>We study models, not people, and the settings are synthetic decision items with one correct answer. We claim a measurement procedure and its application, not a theory of why models defer, and not procurement prices.</w:t>
      </w:r>
    </w:p>
    <w:p>
      <w:pPr>
        <w:pStyle w:val="Normal"/>
        <w:rPr/>
      </w:pPr>
      <w:bookmarkStart w:id="4" w:name="introduc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lated-literature"/>
      <w:r>
        <w:rPr/>
        <w:t>2. Related Literature</w:t>
      </w:r>
    </w:p>
    <w:p>
      <w:pPr>
        <w:pStyle w:val="Heading3"/>
        <w:rPr/>
      </w:pPr>
      <w:bookmarkStart w:id="6" w:name="X95dd3f37c4f11613f4a6ba119d1538db945e0a5"/>
      <w:r>
        <w:rPr/>
        <w:t>2.1 Delegation, advice, and the value of information</w:t>
      </w:r>
    </w:p>
    <w:p>
      <w:pPr>
        <w:pStyle w:val="FirstParagraph"/>
        <w:rPr/>
      </w:pPr>
      <w:bookmarkStart w:id="7" w:name="X95dd3f37c4f11613f4a6ba119d1538db945e0a5"/>
      <w:r>
        <w:rPr/>
        <w:t>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bookmarkEnd w:id="7"/>
    </w:p>
    <w:p>
      <w:pPr>
        <w:pStyle w:val="Heading3"/>
        <w:rPr/>
      </w:pPr>
      <w:bookmarkStart w:id="8" w:name="X6c0b28d343ae8e5e551e5653c4bd6842a3510c9"/>
      <w:r>
        <w:rPr/>
        <w:t>2.2 Human–AI collaboration and reliance in information systems</w:t>
      </w:r>
    </w:p>
    <w:p>
      <w:pPr>
        <w:pStyle w:val="FirstParagraph"/>
        <w:rPr/>
      </w:pPr>
      <w:bookmarkStart w:id="9" w:name="X6c0b28d343ae8e5e551e5653c4bd6842a3510c9"/>
      <w:r>
        <w:rPr/>
        <w:t>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bookmarkEnd w:id="9"/>
    </w:p>
    <w:p>
      <w:pPr>
        <w:pStyle w:val="Heading3"/>
        <w:rPr/>
      </w:pPr>
      <w:bookmarkStart w:id="10" w:name="X19e466756fa2c40adf37a5bbea87ddef6503a6b"/>
      <w:r>
        <w:rPr/>
        <w:t>2.3 Sycophancy, instability, and prompt sensitivity in language models</w:t>
      </w:r>
    </w:p>
    <w:p>
      <w:pPr>
        <w:pStyle w:val="FirstParagraph"/>
        <w:rPr/>
      </w:pPr>
      <w:bookmarkStart w:id="11" w:name="X19e466756fa2c40adf37a5bbea87ddef6503a6b"/>
      <w:r>
        <w:rPr/>
        <w:t>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bookmarkEnd w:id="11"/>
    </w:p>
    <w:p>
      <w:pPr>
        <w:pStyle w:val="Heading3"/>
        <w:rPr/>
      </w:pPr>
      <w:bookmarkStart w:id="12" w:name="the-gap-this-paper-fills"/>
      <w:r>
        <w:rPr/>
        <w:t>2.4 The gap this paper fills</w:t>
      </w:r>
    </w:p>
    <w:p>
      <w:pPr>
        <w:pStyle w:val="FirstParagraph"/>
        <w:rPr/>
      </w:pPr>
      <w:r>
        <w:rPr/>
        <w:t>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pPr>
        <w:pStyle w:val="Normal"/>
        <w:rPr/>
      </w:pPr>
      <w:bookmarkStart w:id="13" w:name="related-literature"/>
      <w:bookmarkStart w:id="14" w:name="the-gap-this-paper-fill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X1eaaf2ae76dd6424cbb806471856abc293a2b30"/>
      <w:r>
        <w:rPr/>
        <w:t>3. Theory: A Model of Delegated Review with a Deferential Delegate</w:t>
      </w:r>
    </w:p>
    <w:p>
      <w:pPr>
        <w:pStyle w:val="Heading3"/>
        <w:rPr/>
      </w:pPr>
      <w:bookmarkStart w:id="16" w:name="setup"/>
      <w:r>
        <w:rPr/>
        <w:t>3.1 Setup</w:t>
      </w:r>
    </w:p>
    <w:p>
      <w:pPr>
        <w:pStyle w:val="FirstParagraph"/>
        <w:rPr/>
      </w:pPr>
      <w:r>
        <w:rPr/>
        <w:t>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w</w:t>
      </w:r>
      <w:r>
        <w:rPr/>
        <w:t xml:space="preserve"> regardless of the evidence; if S is right, with probability s</w:t>
      </w:r>
      <w:r>
        <w:rPr>
          <w:vertAlign w:val="subscript"/>
        </w:rPr>
        <w:t>r</w:t>
      </w:r>
      <w:r>
        <w:rPr/>
        <w:t>; otherwise it reports its evidence-based answer (A3, deference). Its integrity is 1 − s. The case s</w:t>
      </w:r>
      <w:r>
        <w:rPr>
          <w:vertAlign w:val="subscript"/>
        </w:rPr>
        <w:t>w</w:t>
      </w:r>
      <w:r>
        <w:rPr/>
        <w:t xml:space="preserve"> = s</w:t>
      </w:r>
      <w:r>
        <w:rPr>
          <w:vertAlign w:val="subscript"/>
        </w:rPr>
        <w:t>r</w:t>
      </w:r>
      <w:r>
        <w:rPr/>
        <w:t xml:space="preserve"> = s is the pure yes-man. A naive requester adopts the delegate’s report (A4); a sophisticated requester who knows (a, s</w:t>
      </w:r>
      <w:r>
        <w:rPr>
          <w:vertAlign w:val="subscript"/>
        </w:rPr>
        <w:t>w</w:t>
      </w:r>
      <w:r>
        <w:rPr/>
        <w:t>, s</w:t>
      </w:r>
      <w:r>
        <w:rPr>
          <w:vertAlign w:val="subscript"/>
        </w:rPr>
        <w:t>r</w:t>
      </w:r>
      <w:r>
        <w:rPr/>
        <w:t>, π) updates. Costs and prices are set aside until Proposition 8.</w:t>
      </w:r>
      <w:bookmarkEnd w:id="16"/>
    </w:p>
    <w:p>
      <w:pPr>
        <w:pStyle w:val="Heading3"/>
        <w:rPr/>
      </w:pPr>
      <w:bookmarkStart w:id="17" w:name="propositions"/>
      <w:r>
        <w:rPr/>
        <w:t>3.2 Propositions</w:t>
      </w:r>
    </w:p>
    <w:p>
      <w:pPr>
        <w:pStyle w:val="FirstParagraph"/>
        <w:rPr/>
      </w:pPr>
      <w:r>
        <w:rPr>
          <w:b/>
          <w:bCs/>
        </w:rPr>
        <w:t>Proposition 1 (value of review).</w:t>
      </w:r>
      <w:r>
        <w:rPr/>
        <w:t xml:space="preserve"> For the naive requester, V(π) = (1 − π)(1 − s</w:t>
      </w:r>
      <w:r>
        <w:rPr>
          <w:vertAlign w:val="subscript"/>
        </w:rPr>
        <w:t>w</w:t>
      </w:r>
      <w:r>
        <w:rPr/>
        <w:t>)a − π(1 − s</w:t>
      </w:r>
      <w:r>
        <w:rPr>
          <w:vertAlign w:val="subscript"/>
        </w:rPr>
        <w:t>r</w:t>
      </w:r>
      <w:r>
        <w:rPr/>
        <w:t>)(1 − a). With s</w:t>
      </w:r>
      <w:r>
        <w:rPr>
          <w:vertAlign w:val="subscript"/>
        </w:rPr>
        <w:t>w</w:t>
      </w:r>
      <w:r>
        <w:rPr/>
        <w:t xml:space="preserve"> = s</w:t>
      </w:r>
      <w:r>
        <w:rPr>
          <w:vertAlign w:val="subscript"/>
        </w:rPr>
        <w:t>r</w:t>
      </w:r>
      <w:r>
        <w:rPr/>
        <w:t xml:space="preserve"> = s, V = (1 − s)(a − π). The value is linear in π and is zero at π* = (1 − s</w:t>
      </w:r>
      <w:r>
        <w:rPr>
          <w:vertAlign w:val="subscript"/>
        </w:rPr>
        <w:t>w</w:t>
      </w:r>
      <w:r>
        <w:rPr/>
        <w:t>)a / [(1 − s</w:t>
      </w:r>
      <w:r>
        <w:rPr>
          <w:vertAlign w:val="subscript"/>
        </w:rPr>
        <w:t>w</w:t>
      </w:r>
      <w:r>
        <w:rPr/>
        <w:t>)a + (1 − s</w:t>
      </w:r>
      <w:r>
        <w:rPr>
          <w:vertAlign w:val="subscript"/>
        </w:rPr>
        <w:t>r</w:t>
      </w:r>
      <w:r>
        <w:rPr/>
        <w:t>)(1 − a)], which equals a in the symmetric case.</w:t>
      </w:r>
    </w:p>
    <w:p>
      <w:pPr>
        <w:pStyle w:val="BodyText"/>
        <w:rPr/>
      </w:pPr>
      <w:r>
        <w:rPr>
          <w:b/>
          <w:bCs/>
        </w:rPr>
        <w:t>Proposition 2 (complementarity).</w:t>
      </w:r>
      <w:r>
        <w:rPr/>
        <w:t xml:space="preserve"> In the symmetric case, with integrity i = 1 − s, V = i(a − π), so the cross-partial derivative with respect to a and i is one. Neither ability nor integrity is valuable alone.</w:t>
      </w:r>
    </w:p>
    <w:p>
      <w:pPr>
        <w:pStyle w:val="BodyText"/>
        <w:rPr/>
      </w:pPr>
      <w:r>
        <w:rPr>
          <w:b/>
          <w:bCs/>
        </w:rPr>
        <w:t>Proposition 3 (sign of the value of integrity).</w:t>
      </w:r>
      <w:r>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rPr/>
      </w:pPr>
      <w:r>
        <w:rPr>
          <w:b/>
          <w:bCs/>
        </w:rPr>
        <w:t>Proposition 4 (overstatement).</w:t>
      </w:r>
      <w:r>
        <w:rPr/>
        <w:t xml:space="preserve"> The share of the ability-based value a − π that is lost to deference is s, whatever π. A buyer who values a delegate by a − π overstates its value by the factor 1/(1 − s).</w:t>
      </w:r>
    </w:p>
    <w:p>
      <w:pPr>
        <w:pStyle w:val="BodyText"/>
        <w:rPr/>
      </w:pPr>
      <w:r>
        <w:rPr>
          <w:b/>
          <w:bCs/>
        </w:rPr>
        <w:t>Proposition 5 (heterogeneity across stems).</w:t>
      </w:r>
      <w:r>
        <w:rPr/>
        <w:t xml:space="preserve"> Let stems i differ in ability a</w:t>
      </w:r>
      <w:r>
        <w:rPr>
          <w:vertAlign w:val="subscript"/>
        </w:rPr>
        <w:t>i</w:t>
      </w:r>
      <w:r>
        <w:rPr/>
        <w:t xml:space="preserve"> and deference s</w:t>
      </w:r>
      <w:r>
        <w:rPr>
          <w:vertAlign w:val="subscript"/>
        </w:rPr>
        <w:t>i</w:t>
      </w:r>
      <w:r>
        <w:rPr/>
        <w:t xml:space="preserve"> (symmetric within a stem), with ā and s̄ the means. Define the conditional deference measured on stems the delegate would answer correctly, s</w:t>
      </w:r>
      <w:r>
        <w:rPr>
          <w:vertAlign w:val="subscript"/>
        </w:rPr>
        <w:t>c</w:t>
      </w:r>
      <w:r>
        <w:rPr/>
        <w:t xml:space="preserve"> = E[a</w:t>
      </w:r>
      <w:r>
        <w:rPr>
          <w:vertAlign w:val="subscript"/>
        </w:rPr>
        <w:t>i</w:t>
      </w:r>
      <w:r>
        <w:rPr/>
        <w:t xml:space="preserve"> s</w:t>
      </w:r>
      <w:r>
        <w:rPr>
          <w:vertAlign w:val="subscript"/>
        </w:rPr>
        <w:t>i</w:t>
      </w:r>
      <w:r>
        <w:rPr/>
        <w:t>]/ā. Then the true value is V(π) = E[(1 − s</w:t>
      </w:r>
      <w:r>
        <w:rPr>
          <w:vertAlign w:val="subscript"/>
        </w:rPr>
        <w:t>i</w:t>
      </w:r>
      <w:r>
        <w:rPr/>
        <w:t>)(a</w:t>
      </w:r>
      <w:r>
        <w:rPr>
          <w:vertAlign w:val="subscript"/>
        </w:rPr>
        <w:t>i</w:t>
      </w:r>
      <w:r>
        <w:rPr/>
        <w:t xml:space="preserve"> − π)] = ā(1 − s</w:t>
      </w:r>
      <w:r>
        <w:rPr>
          <w:vertAlign w:val="subscript"/>
        </w:rPr>
        <w:t>c</w:t>
      </w:r>
      <w:r>
        <w:rPr/>
        <w:t>) − π(1 − s̄), and the closed form evaluated at the measured conditional deference, V</w:t>
      </w:r>
      <w:r>
        <w:rPr>
          <w:vertAlign w:val="subscript"/>
        </w:rPr>
        <w:t>cf</w:t>
      </w:r>
      <w:r>
        <w:rPr/>
        <w:t xml:space="preserve"> = (1 − s</w:t>
      </w:r>
      <w:r>
        <w:rPr>
          <w:vertAlign w:val="subscript"/>
        </w:rPr>
        <w:t>c</w:t>
      </w:r>
      <w:r>
        <w:rPr/>
        <w:t>)(ā − π), differs from it by</w:t>
      </w:r>
    </w:p>
    <w:p>
      <w:pPr>
        <w:pStyle w:val="BodyText"/>
        <w:rPr/>
      </w:pPr>
      <w:r>
        <w:rPr/>
        <w:t>V(π) − V</w:t>
      </w:r>
      <w:r>
        <w:rPr>
          <w:vertAlign w:val="subscript"/>
        </w:rPr>
        <w:t>cf</w:t>
      </w:r>
      <w:r>
        <w:rPr/>
        <w:t xml:space="preserve"> = π(s̄ − s</w:t>
      </w:r>
      <w:r>
        <w:rPr>
          <w:vertAlign w:val="subscript"/>
        </w:rPr>
        <w:t>c</w:t>
      </w:r>
      <w:r>
        <w:rPr/>
        <w:t>) = −π Cov(a</w:t>
      </w:r>
      <w:r>
        <w:rPr>
          <w:vertAlign w:val="subscript"/>
        </w:rPr>
        <w:t>i</w:t>
      </w:r>
      <w:r>
        <w:rPr/>
        <w:t>, s</w:t>
      </w:r>
      <w:r>
        <w:rPr>
          <w:vertAlign w:val="subscript"/>
        </w:rPr>
        <w:t>i</w:t>
      </w:r>
      <w:r>
        <w:rPr/>
        <w:t>)/ā.</w:t>
      </w:r>
    </w:p>
    <w:p>
      <w:pPr>
        <w:pStyle w:val="BodyText"/>
        <w:rPr/>
      </w:pPr>
      <w:r>
        <w:rPr/>
        <w:t>If deference is concentrated on stems where the delegate is weak (Cov &lt; 0), the closed form understates the value of review, because deferring where one’s own answer is unreliable costs little. The understatement grows with π.</w:t>
      </w:r>
    </w:p>
    <w:p>
      <w:pPr>
        <w:pStyle w:val="BodyText"/>
        <w:rPr/>
      </w:pPr>
      <w:r>
        <w:rPr>
          <w:b/>
          <w:bCs/>
        </w:rPr>
        <w:t>Proposition 6 (rational stance-weighting costs nothing).</w:t>
      </w:r>
      <w:r>
        <w:rPr/>
        <w:t xml:space="preserve"> 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rPr/>
      </w:pPr>
      <w:r>
        <w:rPr>
          <w:b/>
          <w:bCs/>
        </w:rPr>
        <w:t>Proposition 7 (sophisticated requester).</w:t>
      </w:r>
      <w:r>
        <w:rPr/>
        <w:t xml:space="preserve"> 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rPr/>
      </w:pPr>
      <w:r>
        <w:rPr>
          <w:b/>
          <w:bCs/>
        </w:rPr>
        <w:t>Proposition 8 (implied prices).</w:t>
      </w:r>
      <w:r>
        <w:rPr/>
        <w:t xml:space="preserve"> 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rPr/>
      </w:pPr>
      <w:r>
        <w:rPr>
          <w:b/>
          <w:bCs/>
        </w:rPr>
        <w:t>Proposition 9 (ranking by ability).</w:t>
      </w:r>
      <w:r>
        <w:rPr/>
        <w:t xml:space="preserve"> For two delegates with a</w:t>
      </w:r>
      <w:r>
        <w:rPr>
          <w:vertAlign w:val="subscript"/>
        </w:rPr>
        <w:t>1</w:t>
      </w:r>
      <w:r>
        <w:rPr/>
        <w:t xml:space="preserve"> &gt; a</w:t>
      </w:r>
      <w:r>
        <w:rPr>
          <w:vertAlign w:val="subscript"/>
        </w:rPr>
        <w:t>2</w:t>
      </w:r>
      <w:r>
        <w:rPr/>
        <w:t>, V</w:t>
      </w:r>
      <w:r>
        <w:rPr>
          <w:vertAlign w:val="subscript"/>
        </w:rPr>
        <w:t>1</w:t>
      </w:r>
      <w:r>
        <w:rPr/>
        <w:t xml:space="preserve"> − V</w:t>
      </w:r>
      <w:r>
        <w:rPr>
          <w:vertAlign w:val="subscript"/>
        </w:rPr>
        <w:t>2</w:t>
      </w:r>
      <w:r>
        <w:rPr/>
        <w:t xml:space="preserve"> = N + π(s</w:t>
      </w:r>
      <w:r>
        <w:rPr>
          <w:vertAlign w:val="subscript"/>
        </w:rPr>
        <w:t>1</w:t>
      </w:r>
      <w:r>
        <w:rPr/>
        <w:t xml:space="preserve"> − s</w:t>
      </w:r>
      <w:r>
        <w:rPr>
          <w:vertAlign w:val="subscript"/>
        </w:rPr>
        <w:t>2</w:t>
      </w:r>
      <w:r>
        <w:rPr/>
        <w:t>), where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Ranking by ability is value-optimal for every prior in [0, 1] if and only if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xml:space="preserve"> and (1 − s</w:t>
      </w:r>
      <w:r>
        <w:rPr>
          <w:vertAlign w:val="subscript"/>
        </w:rPr>
        <w:t>1</w:t>
      </w:r>
      <w:r>
        <w:rPr/>
        <w:t>)(1 − a</w:t>
      </w:r>
      <w:r>
        <w:rPr>
          <w:vertAlign w:val="subscript"/>
        </w:rPr>
        <w:t>1</w:t>
      </w:r>
      <w:r>
        <w:rPr/>
        <w:t>) ≤ (1 − s</w:t>
      </w:r>
      <w:r>
        <w:rPr>
          <w:vertAlign w:val="subscript"/>
        </w:rPr>
        <w:t>2</w:t>
      </w:r>
      <w:r>
        <w:rPr/>
        <w:t>)(1 − a</w:t>
      </w:r>
      <w:r>
        <w:rPr>
          <w:vertAlign w:val="subscript"/>
        </w:rPr>
        <w:t>2</w:t>
      </w:r>
      <w:r>
        <w:rPr/>
        <w:t>) for every such pair.</w:t>
      </w:r>
    </w:p>
    <w:p>
      <w:pPr>
        <w:pStyle w:val="BodyText"/>
        <w:rPr/>
      </w:pPr>
      <w:bookmarkStart w:id="18" w:name="propositions"/>
      <w:r>
        <w:rPr/>
        <w:t>Proofs are in Online Appendix A. Propositions 1–4 and 7–9 set out the base model; Propositions 5 and 6 are what the measurement design in Section 5 needs.</w:t>
      </w:r>
      <w:bookmarkEnd w:id="18"/>
    </w:p>
    <w:p>
      <w:pPr>
        <w:pStyle w:val="Heading3"/>
        <w:rPr/>
      </w:pPr>
      <w:bookmarkStart w:id="19" w:name="what-the-model-implies-for-measurement"/>
      <w:r>
        <w:rPr/>
        <w:t>3.3 What the model implies for measurement</w:t>
      </w:r>
    </w:p>
    <w:p>
      <w:pPr>
        <w:pStyle w:val="FirstParagraph"/>
        <w:rPr/>
      </w:pPr>
      <w:r>
        <w:rPr/>
        <w:t>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pPr>
        <w:pStyle w:val="Normal"/>
        <w:rPr/>
      </w:pPr>
      <w:bookmarkStart w:id="20" w:name="X1eaaf2ae76dd6424cbb806471856abc293a2b30"/>
      <w:bookmarkStart w:id="21" w:name="what-the-model-implies-for-measureme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hypotheses"/>
      <w:r>
        <w:rPr/>
        <w:t>4. Hypotheses</w:t>
      </w:r>
    </w:p>
    <w:p>
      <w:pPr>
        <w:pStyle w:val="FirstParagraph"/>
        <w:rPr/>
      </w:pPr>
      <w:r>
        <w:rPr/>
        <w:t>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at the primary level e*, the stated preference without claimed evidence. All are shares of the same conditional set of stems. Table 1 gives the decision rule for each hypothesis.</w:t>
      </w:r>
    </w:p>
    <w:p>
      <w:pPr>
        <w:pStyle w:val="BodyText"/>
        <w:rPr/>
      </w:pPr>
      <w:r>
        <w:rPr>
          <w:b/>
          <w:bCs/>
        </w:rPr>
        <w:t>H1 (instability).</w:t>
      </w:r>
      <w:r>
        <w:rPr/>
        <w:t xml:space="preserve"> The conventionally measured conditional deference exceeds the corrected effect, f(e*) &gt; s*, because ρ &gt; 0. The share removed is largest for small, unstable models.</w:t>
      </w:r>
    </w:p>
    <w:p>
      <w:pPr>
        <w:pStyle w:val="BodyText"/>
        <w:rPr/>
      </w:pPr>
      <w:r>
        <w:rPr>
          <w:b/>
          <w:bCs/>
        </w:rPr>
        <w:t>H2 (scale).</w:t>
      </w:r>
      <w:r>
        <w:rPr/>
        <w:t xml:space="preserve"> Within each family the larger model has higher ability and a lower corrected stance effect s*. H2 asks whether this pattern survives correction.</w:t>
      </w:r>
    </w:p>
    <w:p>
      <w:pPr>
        <w:pStyle w:val="BodyText"/>
        <w:rPr/>
      </w:pPr>
      <w:r>
        <w:rPr>
          <w:b/>
          <w:bCs/>
        </w:rPr>
        <w:t>H3 (deference versus evidence-weighing).</w:t>
      </w:r>
      <w:r>
        <w:rPr/>
        <w:t xml:space="preserve"> Two accounts make opposite predictions on the gradients.</w:t>
      </w:r>
    </w:p>
    <w:p>
      <w:pPr>
        <w:pStyle w:val="Compact"/>
        <w:numPr>
          <w:ilvl w:val="0"/>
          <w:numId w:val="2"/>
        </w:numPr>
        <w:rPr/>
      </w:pPr>
      <w:r>
        <w:rPr>
          <w:i/>
          <w:iCs/>
        </w:rPr>
        <w:t>Deference:</w:t>
      </w:r>
      <w:r>
        <w:rPr/>
        <w:t xml:space="preserve"> f(e) is flat in the claimed evidence e, flat in the disclosed requester accuracy, and does not fall when the stance is explicitly disclaimed (“I have no evidence for this”).</w:t>
      </w:r>
    </w:p>
    <w:p>
      <w:pPr>
        <w:pStyle w:val="Compact"/>
        <w:numPr>
          <w:ilvl w:val="0"/>
          <w:numId w:val="2"/>
        </w:numPr>
        <w:rPr/>
      </w:pPr>
      <w:r>
        <w:rPr>
          <w:i/>
          <w:iCs/>
        </w:rPr>
        <w:t>Evidence-weighing:</w:t>
      </w:r>
      <w:r>
        <w:rPr/>
        <w:t xml:space="preserve"> f(e) rises with e, rises with the disclosed accuracy, and falls under the disclaimer. We state both predictions in advance and report the slopes, without a directional hypothesis about which account describes which model.</w:t>
      </w:r>
    </w:p>
    <w:p>
      <w:pPr>
        <w:pStyle w:val="FirstParagraph"/>
        <w:rPr/>
      </w:pPr>
      <w:r>
        <w:rPr>
          <w:b/>
          <w:bCs/>
        </w:rPr>
        <w:t>H4 (heterogeneity).</w:t>
      </w:r>
      <w:r>
        <w:rPr/>
        <w:t xml:space="preserve"> Deference is higher on stems the model finds harder, Cov(a</w:t>
      </w:r>
      <w:r>
        <w:rPr>
          <w:vertAlign w:val="subscript"/>
        </w:rPr>
        <w:t>i</w:t>
      </w:r>
      <w:r>
        <w:rPr/>
        <w:t>, s</w:t>
      </w:r>
      <w:r>
        <w:rPr>
          <w:vertAlign w:val="subscript"/>
        </w:rPr>
        <w:t>i</w:t>
      </w:r>
      <w:r>
        <w:rPr/>
        <w:t>) &lt; 0, so the closed form with measured conditional deference understates the model-free value of review (Proposition 5).</w:t>
      </w:r>
    </w:p>
    <w:p>
      <w:pPr>
        <w:pStyle w:val="BodyText"/>
        <w:rPr/>
      </w:pPr>
      <w:r>
        <w:rPr>
          <w:b/>
          <w:bCs/>
        </w:rPr>
        <w:t>H5 (ranking).</w:t>
      </w:r>
      <w:r>
        <w:rPr/>
        <w:t xml:space="preserve"> Ranking models by stance-free ability preserves the order of value in most pairs but overstates the level by the factor 1/(1 − s*), where s* now replaces the uncorrected conditional deference.</w:t>
      </w:r>
    </w:p>
    <w:p>
      <w:pPr>
        <w:pStyle w:val="TableCaption"/>
        <w:keepNext/>
      </w:pPr>
      <w:r>
        <w:rPr>
          <w:b/>
          <w:bCs/>
        </w:rPr>
        <w:t xml:space="preserve">Table 1. </w:t>
      </w:r>
      <w:r>
        <w:t xml:space="preserve">Decision rules for H1–H5</w:t>
      </w:r>
    </w:p>
    <w:tbl>
      <w:tblPr>
        <w:tblW w:w="9360" w:type="dxa"/>
        <w:tblLayout w:type="fixed"/>
        <w:tblCellMar>
          <w:left w:w="80" w:type="dxa"/>
          <w:right w:w="80" w:type="dxa"/>
        </w:tblCellMar>
      </w:tblPr>
      <w:tblGrid>
        <w:gridCol w:w="1300"/>
        <w:gridCol w:w="2700"/>
        <w:gridCol w:w="5360"/>
      </w:tblGrid>
      <w:tr>
        <w:trPr>
          <w:cantSplit/>
          <w:tblHeader/>
        </w:trPr>
        <w:tc>
          <w:tcPr>
            <w:tcW w:w="1300" w:type="dxa"/>
            <w:tcBorders>
              <w:top w:val="single" w:sz="8" w:space="0" w:color="000000"/>
              <w:bottom w:val="single" w:sz="4" w:space="0" w:color="000000"/>
            </w:tcBorders>
          </w:tcPr>
          <w:p>
            <w:pPr>
              <w:pStyle w:val="Compact"/>
              <w:spacing w:before="40" w:after="40"/>
            </w:pPr>
            <w:r>
              <w:rPr>
                <w:b/>
                <w:bCs/>
              </w:rPr>
              <w:t xml:space="preserve">Hypothesis</w:t>
            </w:r>
          </w:p>
        </w:tc>
        <w:tc>
          <w:tcPr>
            <w:tcW w:w="2700" w:type="dxa"/>
            <w:tcBorders>
              <w:top w:val="single" w:sz="8" w:space="0" w:color="000000"/>
              <w:bottom w:val="single" w:sz="4" w:space="0" w:color="000000"/>
            </w:tcBorders>
          </w:tcPr>
          <w:p>
            <w:pPr>
              <w:pStyle w:val="Compact"/>
              <w:spacing w:before="40" w:after="40"/>
            </w:pPr>
            <w:r>
              <w:rPr>
                <w:b/>
                <w:bCs/>
              </w:rPr>
              <w:t xml:space="preserve">Quantity</w:t>
            </w:r>
          </w:p>
        </w:tc>
        <w:tc>
          <w:tcPr>
            <w:tcW w:w="5360" w:type="dxa"/>
            <w:tcBorders>
              <w:top w:val="single" w:sz="8" w:space="0" w:color="000000"/>
              <w:bottom w:val="single" w:sz="4" w:space="0" w:color="000000"/>
            </w:tcBorders>
          </w:tcPr>
          <w:p>
            <w:pPr>
              <w:pStyle w:val="Compact"/>
              <w:spacing w:before="40" w:after="40"/>
            </w:pPr>
            <w:r>
              <w:rPr>
                <w:b/>
                <w:bCs/>
              </w:rPr>
              <w:t xml:space="preserve">Supported if</w:t>
            </w:r>
          </w:p>
        </w:tc>
      </w:tr>
      <w:tr>
        <w:trPr>
          <w:cantSplit/>
        </w:trPr>
        <w:tc>
          <w:tcPr>
            <w:tcW w:w="1300" w:type="dxa"/>
          </w:tcPr>
          <w:p>
            <w:pPr>
              <w:pStyle w:val="Compact"/>
              <w:spacing w:before="40" w:after="40"/>
            </w:pPr>
            <w:r>
              <w:rPr>
                <w:b/>
                <w:bCs/>
              </w:rPr>
              <w:t xml:space="preserve">H1</w:t>
            </w:r>
          </w:p>
        </w:tc>
        <w:tc>
          <w:tcPr>
            <w:tcW w:w="2700" w:type="dxa"/>
          </w:tcPr>
          <w:p>
            <w:pPr>
              <w:pStyle w:val="Compact"/>
              <w:spacing w:before="40" w:after="40"/>
            </w:pPr>
            <w:r>
              <w:t xml:space="preserve">ρ; rank correlation of ν with the share removed</w:t>
            </w:r>
          </w:p>
        </w:tc>
        <w:tc>
          <w:tcPr>
            <w:tcW w:w="5360" w:type="dxa"/>
          </w:tcPr>
          <w:p>
            <w:pPr>
              <w:pStyle w:val="Compact"/>
              <w:spacing w:before="40" w:after="40"/>
            </w:pPr>
            <w:r>
              <w:t xml:space="preserve">Supported for a model if the interval for ρ excludes 0, and overall if it does so for a majority of models. The clause on small, unstable models is supported if the rank correlation is positive with an interval excluding 0.</w:t>
            </w:r>
          </w:p>
        </w:tc>
      </w:tr>
      <w:tr>
        <w:trPr>
          <w:cantSplit/>
        </w:trPr>
        <w:tc>
          <w:tcPr>
            <w:tcW w:w="1300" w:type="dxa"/>
          </w:tcPr>
          <w:p>
            <w:pPr>
              <w:pStyle w:val="Compact"/>
              <w:spacing w:before="40" w:after="40"/>
            </w:pPr>
            <w:r>
              <w:rPr>
                <w:b/>
                <w:bCs/>
              </w:rPr>
              <w:t xml:space="preserve">H2</w:t>
            </w:r>
          </w:p>
        </w:tc>
        <w:tc>
          <w:tcPr>
            <w:tcW w:w="2700" w:type="dxa"/>
          </w:tcPr>
          <w:p>
            <w:pPr>
              <w:pStyle w:val="Compact"/>
              <w:spacing w:before="40" w:after="40"/>
            </w:pPr>
            <w:r>
              <w:t xml:space="preserve">Large minus small within a family: ability and s*</w:t>
            </w:r>
          </w:p>
        </w:tc>
        <w:tc>
          <w:tcPr>
            <w:tcW w:w="5360" w:type="dxa"/>
          </w:tcPr>
          <w:p>
            <w:pPr>
              <w:pStyle w:val="Compact"/>
              <w:spacing w:before="40" w:after="40"/>
            </w:pPr>
            <w:r>
              <w:t xml:space="preserve">Supported in a family if the paired interval excludes 0 in the stated direction for both (higher ability, lower s*). Across families: exact two-sided sign test and its smallest attainable p value; no general claim about scale.</w:t>
            </w:r>
          </w:p>
        </w:tc>
      </w:tr>
      <w:tr>
        <w:trPr>
          <w:cantSplit/>
        </w:trPr>
        <w:tc>
          <w:tcPr>
            <w:tcW w:w="1300" w:type="dxa"/>
          </w:tcPr>
          <w:p>
            <w:pPr>
              <w:pStyle w:val="Compact"/>
              <w:spacing w:before="40" w:after="40"/>
            </w:pPr>
            <w:r>
              <w:rPr>
                <w:b/>
                <w:bCs/>
              </w:rPr>
              <w:t xml:space="preserve">H3</w:t>
            </w:r>
          </w:p>
        </w:tc>
        <w:tc>
          <w:tcPr>
            <w:tcW w:w="2700" w:type="dxa"/>
          </w:tcPr>
          <w:p>
            <w:pPr>
              <w:pStyle w:val="Compact"/>
              <w:spacing w:before="40" w:after="40"/>
            </w:pPr>
            <w:r>
              <w:t xml:space="preserve">Evidence slope, accuracy slope, disclaimer effect</w:t>
            </w:r>
          </w:p>
        </w:tc>
        <w:tc>
          <w:tcPr>
            <w:tcW w:w="5360" w:type="dxa"/>
          </w:tcPr>
          <w:p>
            <w:pPr>
              <w:pStyle w:val="Compact"/>
              <w:spacing w:before="40" w:after="40"/>
            </w:pPr>
            <w:r>
              <w:t xml:space="preserve">Deference-consistent: all three intervals include 0 and the evidence-slope interval lies within ±0.08 per level. Evidence-weighing-consistent: evidence slope &gt; 0, accuracy slope &gt; 0 and disclaimer effect &lt; 0, all intervals excluding 0. Otherwise mixed or unclassified.</w:t>
            </w:r>
          </w:p>
        </w:tc>
      </w:tr>
      <w:tr>
        <w:trPr>
          <w:cantSplit/>
        </w:trPr>
        <w:tc>
          <w:tcPr>
            <w:tcW w:w="1300" w:type="dxa"/>
          </w:tcPr>
          <w:p>
            <w:pPr>
              <w:pStyle w:val="Compact"/>
              <w:spacing w:before="40" w:after="40"/>
            </w:pPr>
            <w:r>
              <w:rPr>
                <w:b/>
                <w:bCs/>
              </w:rPr>
              <w:t xml:space="preserve">H4</w:t>
            </w:r>
          </w:p>
        </w:tc>
        <w:tc>
          <w:tcPr>
            <w:tcW w:w="2700" w:type="dxa"/>
          </w:tcPr>
          <w:p>
            <w:pPr>
              <w:pStyle w:val="Compact"/>
              <w:spacing w:before="40" w:after="40"/>
            </w:pPr>
            <w:r>
              <w:t xml:space="preserve">Cov(a</w:t>
            </w:r>
            <w:r>
              <w:rPr>
                <w:vertAlign w:val="subscript"/>
              </w:rPr>
              <w:t xml:space="preserve">i</w:t>
            </w:r>
            <w:r>
              <w:t xml:space="preserve">, s</w:t>
            </w:r>
            <w:r>
              <w:rPr>
                <w:vertAlign w:val="subscript"/>
              </w:rPr>
              <w:t xml:space="preserve">i</w:t>
            </w:r>
            <w:r>
              <w:t xml:space="preserve">); model-free value minus closed form at π = .7</w:t>
            </w:r>
          </w:p>
        </w:tc>
        <w:tc>
          <w:tcPr>
            <w:tcW w:w="5360" w:type="dxa"/>
          </w:tcPr>
          <w:p>
            <w:pPr>
              <w:pStyle w:val="Compact"/>
              <w:spacing w:before="40" w:after="40"/>
            </w:pPr>
            <w:r>
              <w:t xml:space="preserve">Supported if the covariance interval lies below 0 and the model-free value exceeds the closed form.</w:t>
            </w:r>
          </w:p>
        </w:tc>
      </w:tr>
      <w:tr>
        <w:trPr>
          <w:cantSplit/>
        </w:trPr>
        <w:tc>
          <w:tcPr>
            <w:tcW w:w="1300" w:type="dxa"/>
            <w:tcBorders>
              <w:bottom w:val="single" w:sz="8" w:space="0" w:color="000000"/>
            </w:tcBorders>
          </w:tcPr>
          <w:p>
            <w:pPr>
              <w:pStyle w:val="Compact"/>
              <w:spacing w:before="40" w:after="40"/>
            </w:pPr>
            <w:r>
              <w:rPr>
                <w:b/>
                <w:bCs/>
              </w:rPr>
              <w:t xml:space="preserve">H5</w:t>
            </w:r>
          </w:p>
        </w:tc>
        <w:tc>
          <w:tcPr>
            <w:tcW w:w="2700" w:type="dxa"/>
            <w:tcBorders>
              <w:bottom w:val="single" w:sz="8" w:space="0" w:color="000000"/>
            </w:tcBorders>
          </w:tcPr>
          <w:p>
            <w:pPr>
              <w:pStyle w:val="Compact"/>
              <w:spacing w:before="40" w:after="40"/>
            </w:pPr>
            <w:r>
              <w:t xml:space="preserve">Share of model pairs in which ranking by ability is value-optimal at both endpoints of π</w:t>
            </w:r>
          </w:p>
        </w:tc>
        <w:tc>
          <w:tcPr>
            <w:tcW w:w="5360" w:type="dxa"/>
            <w:tcBorders>
              <w:bottom w:val="single" w:sz="8" w:space="0" w:color="000000"/>
            </w:tcBorders>
          </w:tcPr>
          <w:p>
            <w:pPr>
              <w:pStyle w:val="Compact"/>
              <w:spacing w:before="40" w:after="40"/>
            </w:pPr>
            <w:r>
              <w:t xml:space="preserve">Supported if the share exceeds .5 with an interval excluding .5. Rank correlations, the regret from ranking by ability and the overstatement are also reported.</w:t>
            </w:r>
          </w:p>
        </w:tc>
      </w:tr>
    </w:tbl>
    <w:p>
      <w:pPr>
        <w:pStyle w:val="BodyText"/>
        <w:spacing w:before="60"/>
      </w:pPr>
      <w:r>
        <w:rPr>
          <w:sz w:val="20"/>
        </w:rPr>
        <w:t xml:space="preserve">Notes. All intervals are 95% percentile bootstrap intervals that resample stems (Section 5.4). The ±0.08 margin was set from simulated interval widths.</w:t>
      </w:r>
    </w:p>
    <w:p>
      <w:pPr>
        <w:pStyle w:val="Normal"/>
        <w:rPr/>
      </w:pPr>
      <w:bookmarkStart w:id="23" w:name="hypothes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method"/>
      <w:r>
        <w:rPr/>
        <w:t>5. Method</w:t>
      </w:r>
    </w:p>
    <w:p>
      <w:pPr>
        <w:pStyle w:val="Heading3"/>
        <w:rPr/>
      </w:pPr>
      <w:bookmarkStart w:id="25" w:name="items"/>
      <w:r>
        <w:rPr/>
        <w:t>5.1 Items</w:t>
      </w:r>
    </w:p>
    <w:p>
      <w:pPr>
        <w:pStyle w:val="FirstParagraph"/>
        <w:rPr/>
      </w:pPr>
      <w:r>
        <w:rPr/>
        <w:t>The item bank has 600 decision items, 100 in each of six domains: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rPr/>
      </w:pPr>
      <w:bookmarkStart w:id="26" w:name="items"/>
      <w:r>
        <w:rPr/>
        <w:t>All arithmetic is exact. Each key was re-derived by a second program that parses the rendered stem, and the two agree on all items. Every stance sentence for every item was rendered and checked for grammar. Two independent human reviewers answered a random sample of 100 items, stratified by domain and difficulty tier, blind to the key. Both reviewers answered all 100 items as the key does (agreement with the key was 100% for each reviewer and between reviewers, Cohen’s kappa = 1.0), so no item was revised or removed. One reviewer noted that the rounding rule was not stated for values that are not exact cents; we added an explicit rounding sentence to the numeric items, and no key changed. Because the review covers a sample, the keys of the other items rest on the second-program check alone. The bank was frozen before the main run (SHA-256 of the bank file c2f61e2721b525db…, frozen 22 October 2026).</w:t>
      </w:r>
      <w:bookmarkEnd w:id="26"/>
    </w:p>
    <w:p>
      <w:pPr>
        <w:pStyle w:val="Heading3"/>
        <w:rPr/>
      </w:pPr>
      <w:bookmarkStart w:id="27" w:name="channels"/>
      <w:r>
        <w:rPr/>
        <w:t>5.2 Channels</w:t>
      </w:r>
    </w:p>
    <w:p>
      <w:pPr>
        <w:pStyle w:val="FirstParagraph"/>
        <w:rPr/>
      </w:pPr>
      <w:r>
        <w:rPr/>
        <w:t>Every model answers the same item set in the following channels, each with the same system prompt asking for a single letter.</w:t>
      </w:r>
    </w:p>
    <w:p>
      <w:pPr>
        <w:pStyle w:val="Compact"/>
        <w:numPr>
          <w:ilvl w:val="0"/>
          <w:numId w:val="7"/>
        </w:numPr>
        <w:rPr/>
      </w:pPr>
      <w:r>
        <w:rPr>
          <w:b/>
          <w:bCs/>
        </w:rPr>
        <w:t>N (stance-free).</w:t>
      </w:r>
      <w:r>
        <w:rPr/>
        <w:t xml:space="preserve"> The stem and options only; five independent completions per item. The first is the reference run.</w:t>
      </w:r>
    </w:p>
    <w:p>
      <w:pPr>
        <w:pStyle w:val="Compact"/>
        <w:numPr>
          <w:ilvl w:val="0"/>
          <w:numId w:val="8"/>
        </w:numPr>
        <w:rPr/>
      </w:pPr>
      <w:r>
        <w:rPr>
          <w:b/>
          <w:bCs/>
        </w:rPr>
        <w:t>NEU (neutral sentence).</w:t>
      </w:r>
      <w:r>
        <w:rPr/>
        <w:t xml:space="preserve"> One sentence unrelated to the decision, drawn from a pool of ten and matched in word count to that item’s stance sentence.</w:t>
      </w:r>
    </w:p>
    <w:p>
      <w:pPr>
        <w:pStyle w:val="Compact"/>
        <w:numPr>
          <w:ilvl w:val="0"/>
          <w:numId w:val="9"/>
        </w:numPr>
        <w:rPr/>
      </w:pPr>
      <w:r>
        <w:rPr>
          <w:b/>
          <w:bCs/>
        </w:rPr>
        <w:t>ST (stance).</w:t>
      </w:r>
      <w:r>
        <w:rPr/>
        <w:t xml:space="preserve"> One sentence supporting the unsupported action (against the evidence) or the gold action (for it), at four claimed-evidence levels: a stated preference, a weak claimed support, a strong claimed support, and a stated preference with an explicit disclaimer of evidence.</w:t>
      </w:r>
    </w:p>
    <w:p>
      <w:pPr>
        <w:pStyle w:val="Compact"/>
        <w:numPr>
          <w:ilvl w:val="0"/>
          <w:numId w:val="10"/>
        </w:numPr>
        <w:rPr/>
      </w:pPr>
      <w:r>
        <w:rPr>
          <w:b/>
          <w:bCs/>
        </w:rPr>
        <w:t>ACC (disclosed accuracy).</w:t>
      </w:r>
      <w:r>
        <w:rPr/>
        <w:t xml:space="preserve"> A stated preference against the evidence plus a statement of the requester’s track record (“In similar past cases, a preference like this has turned out to be correct X% of the time”), with X at 20, 50, and 80. The sentence has the same length at every X, so the slope of the follow rate in X is free of any length effect. An evidence-weighing delegate should follow more as X rises (Proposition 6); a deferential one should not.</w:t>
      </w:r>
    </w:p>
    <w:p>
      <w:pPr>
        <w:pStyle w:val="Compact"/>
        <w:numPr>
          <w:ilvl w:val="0"/>
          <w:numId w:val="11"/>
        </w:numPr>
        <w:rPr/>
      </w:pPr>
      <w:r>
        <w:rPr>
          <w:b/>
          <w:bCs/>
        </w:rPr>
        <w:t>ROT (rotation).</w:t>
      </w:r>
      <w:r>
        <w:rPr/>
        <w:t xml:space="preserve"> The N and primary stance prompts with the option letters permuted twice, to test for position effects.</w:t>
      </w:r>
      <w:bookmarkEnd w:id="27"/>
    </w:p>
    <w:p>
      <w:pPr>
        <w:pStyle w:val="Heading3"/>
        <w:rPr/>
      </w:pPr>
      <w:bookmarkStart w:id="28" w:name="models"/>
      <w:r>
        <w:rPr/>
        <w:t>5.3 Models</w:t>
      </w:r>
    </w:p>
    <w:p>
      <w:pPr>
        <w:pStyle w:val="FirstParagraph"/>
        <w:rPr/>
      </w:pPr>
      <w:bookmarkStart w:id="29" w:name="models"/>
      <w:r>
        <w:rPr/>
        <w:t>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a 512-token limit (2,048 for the three commercial tiers that write out their reasoning before answering, with the answer read from the end of the response), and a sampling temperature of 1.0 wherever the model accepts the argument (all fourteen models accepted it in a probe call; the interface does not show whether a provider applies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bookmarkEnd w:id="29"/>
    </w:p>
    <w:p>
      <w:pPr>
        <w:pStyle w:val="Heading3"/>
        <w:rPr/>
      </w:pPr>
      <w:bookmarkStart w:id="30" w:name="estimation"/>
      <w:r>
        <w:rPr/>
        <w:t>5.4 Estimation</w:t>
      </w:r>
    </w:p>
    <w:p>
      <w:pPr>
        <w:pStyle w:val="FirstParagraph"/>
        <w:rPr/>
      </w:pPr>
      <w:r>
        <w:rPr/>
        <w:t>All quantities are shares of stems, with the conditional set defined by a correct answer in the reference run, which selects the same stems for every channel. We report ability a (stance-free accuracy over all replicates); ν; ρ; f(e) at each level, s*, and, as a sensitivity estimator, s_mix = (f(e*) − ρ)/(1 − ρ), which is the stance effect if the stance overrides the draw with some probability and otherwise the draw behaves as usual; the share of the raw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obs</w:t>
      </w:r>
      <w:r>
        <w:rPr/>
        <w:t>(π) = π P</w:t>
      </w:r>
      <w:r>
        <w:rPr>
          <w:vertAlign w:val="subscript"/>
        </w:rPr>
        <w:t>a</w:t>
      </w:r>
      <w:r>
        <w:rPr/>
        <w:t xml:space="preserve"> + (1 − π)P</w:t>
      </w:r>
      <w:r>
        <w:rPr>
          <w:vertAlign w:val="subscript"/>
        </w:rPr>
        <w:t>w</w:t>
      </w:r>
      <w:r>
        <w:rPr/>
        <w:t xml:space="preserve"> − π, where P</w:t>
      </w:r>
      <w:r>
        <w:rPr>
          <w:vertAlign w:val="subscript"/>
        </w:rPr>
        <w:t>a</w:t>
      </w:r>
      <w:r>
        <w:rPr/>
        <w:t xml:space="preserve"> and P</w:t>
      </w:r>
      <w:r>
        <w:rPr>
          <w:vertAlign w:val="subscript"/>
        </w:rPr>
        <w:t>w</w:t>
      </w:r>
      <w:r>
        <w:rPr/>
        <w:t xml:space="preserve"> are accuracy under a right and a wrong stance; it needs no behavioral assumption.</w:t>
      </w:r>
    </w:p>
    <w:p>
      <w:pPr>
        <w:pStyle w:val="BodyText"/>
        <w:rPr/>
      </w:pPr>
      <w:bookmarkStart w:id="31" w:name="estimation"/>
      <w:r>
        <w:rPr/>
        <w:t>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bookmarkEnd w:id="31"/>
    </w:p>
    <w:p>
      <w:pPr>
        <w:pStyle w:val="Heading3"/>
        <w:rPr/>
      </w:pPr>
      <w:bookmarkStart w:id="32" w:name="registration-and-deviations"/>
      <w:r>
        <w:rPr/>
        <w:t>5.5 Analysis plan and deviations</w:t>
      </w:r>
    </w:p>
    <w:p>
      <w:pPr>
        <w:pStyle w:val="FirstParagraph"/>
        <w:rPr/>
      </w:pPr>
      <w:bookmarkStart w:id="33" w:name="registration-and-deviations"/>
      <w:r>
        <w:rPr/>
        <w:t>We fixed the hypotheses, estimators, and decision rules before any model answered the frozen bank (SHA-256 c2f61e2721b525db…, frozen 22 October 2026). The plan is recorded in the project’s version-controlled repository; it was not registered with a third-party platform, so its timing rests on that record. The plan fixes the primary stance level e* (the stated preference without claimed evidence); the conditional set (stems the model answers correctly in replicate 0 of the stance-free channel); the corrected effect s* = f(e*) − ρ, with s_mix = (f(e*) − ρ)/(1 − ρ) as a sensitivity analysis; the treatment of unparseable answers (missing in the primary analysis, errors in the sensitivity analysis); the bootstrap (2,000 resamples of stems, shared across models); an equivalence margin of ±0.08 per evidence level for calling a flat gradient consistent with deference; the exclusion of a model from H1–H3 inference when fewer than 50 conditional stems remain; and the exclusion of models with stance-free accuracy of .98 or more from the rescue rate only. The token limit and answer parser for the three long-form commercial tiers were set from a 48-item stance-free pilot with items independent of the bank, and the parser is frozen with the bank. Departures from the plan are listed in a deviation log and are reported where they affect a result; analyses not in the plan are labelled exploratory. The bank is audited and reviewed before any model sees it so that no item is changed after a result is known.</w:t>
      </w:r>
      <w:bookmarkEnd w:id="33"/>
    </w:p>
    <w:p>
      <w:pPr>
        <w:pStyle w:val="Heading3"/>
        <w:rPr/>
      </w:pPr>
      <w:bookmarkStart w:id="34" w:name="data-and-code"/>
      <w:r>
        <w:rPr/>
        <w:t>5.6 Data and code</w:t>
      </w:r>
    </w:p>
    <w:p>
      <w:pPr>
        <w:pStyle w:val="FirstParagraph"/>
        <w:rPr/>
      </w:pPr>
      <w:r>
        <w:rPr/>
        <w:t>The item generator, the audit program, the runner, the analysis code, the frozen bank with its hash, and the raw model outputs are provided as anonymized supplementary files (S1: code, item bank and results; S2: raw model outputs), with further detail on the bank, prompts, models and results in the online appendix.</w:t>
      </w:r>
    </w:p>
    <w:p>
      <w:pPr>
        <w:pStyle w:val="Normal"/>
        <w:rPr/>
      </w:pPr>
      <w:bookmarkStart w:id="35" w:name="method"/>
      <w:bookmarkStart w:id="36" w:name="data-and-cod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Pr>
      <w:r>
        <w:t xml:space="preserve">6. Results</w:t>
      </w:r>
    </w:p>
    <w:p>
      <w:pPr>
        <w:pStyle w:val="FirstParagraph"/>
      </w:pPr>
      <w:r>
        <w:t xml:space="preserve">All 176,400 calls (fourteen models, 12,600 calls each) returned an answer; none failed. Unparseable answers were below 1.3% for twelve models and 7.1% and 6.2% for Gemma-3 4B and 12B, almost all of them from one serving provider each (Section 6.6). Ability differs sharply. Opus 5.5, Fable 5.1, Sonnet 5.5 and Haiku 4.5 answer 0.995 to 1.000 of the stance-free replicates correctly, while the ten open-weight models answer 0.35 to 0.54; the intervals for Gemma-3 4B, Ministral 3B and Qwen2.5 7B include the one third expected from guessing among three options. The conditional set, the stems a model answers correctly in the reference run, therefore ranges from 198 to 600 stems (Table 2).</w:t>
      </w:r>
    </w:p>
    <w:p>
      <w:pPr>
        <w:pStyle w:val="Heading3"/>
      </w:pPr>
      <w:r>
        <w:t xml:space="preserve">6.1 Is the raw flip rate noise?</w:t>
      </w:r>
    </w:p>
    <w:p>
      <w:pPr>
        <w:pStyle w:val="TableCaption"/>
        <w:keepNext/>
      </w:pPr>
      <w:r>
        <w:rPr>
          <w:b/>
          <w:bCs/>
        </w:rPr>
        <w:t xml:space="preserve">Table 2. </w:t>
      </w:r>
      <w:r>
        <w:t xml:space="preserve">Ability, instability, baseline and corrected stance effect, by model</w:t>
      </w:r>
    </w:p>
    <w:tbl>
      <w:tblPr>
        <w:tblW w:w="9000" w:type="dxa"/>
        <w:tblLayout w:type="fixed"/>
        <w:tblCellMar>
          <w:left w:w="60" w:type="dxa"/>
          <w:right w:w="60" w:type="dxa"/>
        </w:tblCellMar>
      </w:tblPr>
      <w:tblGrid>
        <w:gridCol w:w="1600"/>
        <w:gridCol w:w="620"/>
        <w:gridCol w:w="900"/>
        <w:gridCol w:w="620"/>
        <w:gridCol w:w="1700"/>
        <w:gridCol w:w="760"/>
        <w:gridCol w:w="1700"/>
        <w:gridCol w:w="1100"/>
      </w:tblGrid>
      <w:tr>
        <w:trPr>
          <w:cantSplit/>
          <w:tblHeader/>
        </w:trPr>
        <w:tc>
          <w:tcPr>
            <w:tcW w:w="1600" w:type="dxa"/>
            <w:tcBorders>
              <w:top w:val="single" w:sz="8" w:space="0" w:color="000000"/>
              <w:bottom w:val="single" w:sz="4" w:space="0" w:color="000000"/>
            </w:tcBorders>
          </w:tcPr>
          <w:p>
            <w:pPr>
              <w:pStyle w:val="Compact"/>
              <w:spacing w:before="30" w:after="30"/>
            </w:pPr>
            <w:r>
              <w:rPr>
                <w:b/>
                <w:bCs/>
                <w:sz w:val="17"/>
              </w:rPr>
              <w:t xml:space="preserve">Model</w:t>
            </w:r>
          </w:p>
        </w:tc>
        <w:tc>
          <w:tcPr>
            <w:tcW w:w="620" w:type="dxa"/>
            <w:tcBorders>
              <w:top w:val="single" w:sz="8" w:space="0" w:color="000000"/>
              <w:bottom w:val="single" w:sz="4" w:space="0" w:color="000000"/>
            </w:tcBorders>
          </w:tcPr>
          <w:p>
            <w:pPr>
              <w:pStyle w:val="Compact"/>
              <w:spacing w:before="30" w:after="30"/>
            </w:pPr>
            <w:r>
              <w:rPr>
                <w:b/>
                <w:bCs/>
                <w:sz w:val="17"/>
              </w:rPr>
              <w:t xml:space="preserve">a</w:t>
            </w:r>
          </w:p>
        </w:tc>
        <w:tc>
          <w:tcPr>
            <w:tcW w:w="900" w:type="dxa"/>
            <w:tcBorders>
              <w:top w:val="single" w:sz="8" w:space="0" w:color="000000"/>
              <w:bottom w:val="single" w:sz="4" w:space="0" w:color="000000"/>
            </w:tcBorders>
          </w:tcPr>
          <w:p>
            <w:pPr>
              <w:pStyle w:val="Compact"/>
              <w:spacing w:before="30" w:after="30"/>
            </w:pPr>
            <w:r>
              <w:rPr>
                <w:b/>
                <w:bCs/>
                <w:sz w:val="17"/>
              </w:rPr>
              <w:t xml:space="preserve">Cond. stems</w:t>
            </w:r>
          </w:p>
        </w:tc>
        <w:tc>
          <w:tcPr>
            <w:tcW w:w="620" w:type="dxa"/>
            <w:tcBorders>
              <w:top w:val="single" w:sz="8" w:space="0" w:color="000000"/>
              <w:bottom w:val="single" w:sz="4" w:space="0" w:color="000000"/>
            </w:tcBorders>
          </w:tcPr>
          <w:p>
            <w:pPr>
              <w:pStyle w:val="Compact"/>
              <w:spacing w:before="30" w:after="30"/>
            </w:pPr>
            <w:r>
              <w:rPr>
                <w:b/>
                <w:bCs/>
                <w:sz w:val="17"/>
              </w:rPr>
              <w:t xml:space="preserve">ν</w:t>
            </w:r>
          </w:p>
        </w:tc>
        <w:tc>
          <w:tcPr>
            <w:tcW w:w="1700" w:type="dxa"/>
            <w:tcBorders>
              <w:top w:val="single" w:sz="8" w:space="0" w:color="000000"/>
              <w:bottom w:val="single" w:sz="4" w:space="0" w:color="000000"/>
            </w:tcBorders>
          </w:tcPr>
          <w:p>
            <w:pPr>
              <w:pStyle w:val="Compact"/>
              <w:spacing w:before="30" w:after="30"/>
            </w:pPr>
            <w:r>
              <w:rPr>
                <w:b/>
                <w:bCs/>
                <w:sz w:val="17"/>
              </w:rPr>
              <w:t xml:space="preserve">ρ [95% CI]</w:t>
            </w:r>
          </w:p>
        </w:tc>
        <w:tc>
          <w:tcPr>
            <w:tcW w:w="760" w:type="dxa"/>
            <w:tcBorders>
              <w:top w:val="single" w:sz="8" w:space="0" w:color="000000"/>
              <w:bottom w:val="single" w:sz="4" w:space="0" w:color="000000"/>
            </w:tcBorders>
          </w:tcPr>
          <w:p>
            <w:pPr>
              <w:pStyle w:val="Compact"/>
              <w:spacing w:before="30" w:after="30"/>
            </w:pPr>
            <w:r>
              <w:rPr>
                <w:b/>
                <w:bCs/>
                <w:sz w:val="17"/>
              </w:rPr>
              <w:t xml:space="preserve">f(e*)</w:t>
            </w:r>
          </w:p>
        </w:tc>
        <w:tc>
          <w:tcPr>
            <w:tcW w:w="1700" w:type="dxa"/>
            <w:tcBorders>
              <w:top w:val="single" w:sz="8" w:space="0" w:color="000000"/>
              <w:bottom w:val="single" w:sz="4" w:space="0" w:color="000000"/>
            </w:tcBorders>
          </w:tcPr>
          <w:p>
            <w:pPr>
              <w:pStyle w:val="Compact"/>
              <w:spacing w:before="30" w:after="30"/>
            </w:pPr>
            <w:r>
              <w:rPr>
                <w:b/>
                <w:bCs/>
                <w:sz w:val="17"/>
              </w:rPr>
              <w:t xml:space="preserve">s* [95% CI]</w:t>
            </w:r>
          </w:p>
        </w:tc>
        <w:tc>
          <w:tcPr>
            <w:tcW w:w="1100" w:type="dxa"/>
            <w:tcBorders>
              <w:top w:val="single" w:sz="8" w:space="0" w:color="000000"/>
              <w:bottom w:val="single" w:sz="4" w:space="0" w:color="000000"/>
            </w:tcBorders>
          </w:tcPr>
          <w:p>
            <w:pPr>
              <w:pStyle w:val="Compact"/>
              <w:spacing w:before="30" w:after="30"/>
            </w:pPr>
            <w:r>
              <w:rPr>
                <w:b/>
                <w:bCs/>
                <w:sz w:val="17"/>
              </w:rPr>
              <w:t xml:space="preserve">Share removed</w:t>
            </w:r>
          </w:p>
        </w:tc>
      </w:tr>
      <w:tr>
        <w:trPr>
          <w:cantSplit/>
        </w:trPr>
        <w:tc>
          <w:tcPr>
            <w:tcW w:w="1600" w:type="dxa"/>
          </w:tcPr>
          <w:p>
            <w:pPr>
              <w:pStyle w:val="Compact"/>
              <w:spacing w:before="30" w:after="30"/>
            </w:pPr>
            <w:r>
              <w:rPr>
                <w:b/>
                <w:bCs/>
                <w:sz w:val="17"/>
              </w:rPr>
              <w:t xml:space="preserve">Haiku 4.5</w:t>
            </w:r>
          </w:p>
        </w:tc>
        <w:tc>
          <w:tcPr>
            <w:tcW w:w="620" w:type="dxa"/>
          </w:tcPr>
          <w:p>
            <w:pPr>
              <w:pStyle w:val="Compact"/>
              <w:spacing w:before="30" w:after="30"/>
            </w:pPr>
            <w:r>
              <w:rPr>
                <w:sz w:val="17"/>
              </w:rPr>
              <w:t xml:space="preserve">0.99</w:t>
            </w:r>
          </w:p>
        </w:tc>
        <w:tc>
          <w:tcPr>
            <w:tcW w:w="900" w:type="dxa"/>
          </w:tcPr>
          <w:p>
            <w:pPr>
              <w:pStyle w:val="Compact"/>
              <w:spacing w:before="30" w:after="30"/>
            </w:pPr>
            <w:r>
              <w:rPr>
                <w:sz w:val="17"/>
              </w:rPr>
              <w:t xml:space="preserve">597</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0.01]</w:t>
            </w:r>
          </w:p>
        </w:tc>
        <w:tc>
          <w:tcPr>
            <w:tcW w:w="760" w:type="dxa"/>
          </w:tcPr>
          <w:p>
            <w:pPr>
              <w:pStyle w:val="Compact"/>
              <w:spacing w:before="30" w:after="30"/>
            </w:pPr>
            <w:r>
              <w:rPr>
                <w:sz w:val="17"/>
              </w:rPr>
              <w:t xml:space="preserve">0.10</w:t>
            </w:r>
          </w:p>
        </w:tc>
        <w:tc>
          <w:tcPr>
            <w:tcW w:w="1700" w:type="dxa"/>
          </w:tcPr>
          <w:p>
            <w:pPr>
              <w:pStyle w:val="Compact"/>
              <w:spacing w:before="30" w:after="30"/>
            </w:pPr>
            <w:r>
              <w:rPr>
                <w:sz w:val="17"/>
              </w:rPr>
              <w:t xml:space="preserve">0.10 [0.08, 0.13]</w:t>
            </w:r>
          </w:p>
        </w:tc>
        <w:tc>
          <w:tcPr>
            <w:tcW w:w="1100" w:type="dxa"/>
          </w:tcPr>
          <w:p>
            <w:pPr>
              <w:pStyle w:val="Compact"/>
              <w:spacing w:before="30" w:after="30"/>
            </w:pPr>
            <w:r>
              <w:rPr>
                <w:sz w:val="17"/>
              </w:rPr>
              <w:t xml:space="preserve">0.02</w:t>
            </w:r>
          </w:p>
        </w:tc>
      </w:tr>
      <w:tr>
        <w:trPr>
          <w:cantSplit/>
        </w:trPr>
        <w:tc>
          <w:tcPr>
            <w:tcW w:w="1600" w:type="dxa"/>
          </w:tcPr>
          <w:p>
            <w:pPr>
              <w:pStyle w:val="Compact"/>
              <w:spacing w:before="30" w:after="30"/>
            </w:pPr>
            <w:r>
              <w:rPr>
                <w:b/>
                <w:bCs/>
                <w:sz w:val="17"/>
              </w:rPr>
              <w:t xml:space="preserve">Sonnet 5.5</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0.02</w:t>
            </w:r>
          </w:p>
        </w:tc>
        <w:tc>
          <w:tcPr>
            <w:tcW w:w="1700" w:type="dxa"/>
          </w:tcPr>
          <w:p>
            <w:pPr>
              <w:pStyle w:val="Compact"/>
              <w:spacing w:before="30" w:after="30"/>
            </w:pPr>
            <w:r>
              <w:rPr>
                <w:sz w:val="17"/>
              </w:rPr>
              <w:t xml:space="preserve">0.02 [0.01, 0.03]</w:t>
            </w:r>
          </w:p>
        </w:tc>
        <w:tc>
          <w:tcPr>
            <w:tcW w:w="1100" w:type="dxa"/>
          </w:tcPr>
          <w:p>
            <w:pPr>
              <w:pStyle w:val="Compact"/>
              <w:spacing w:before="30" w:after="30"/>
            </w:pPr>
            <w:r>
              <w:rPr>
                <w:sz w:val="17"/>
              </w:rPr>
              <w:t xml:space="preserve">0.00</w:t>
            </w:r>
          </w:p>
        </w:tc>
      </w:tr>
      <w:tr>
        <w:trPr>
          <w:cantSplit/>
        </w:trPr>
        <w:tc>
          <w:tcPr>
            <w:tcW w:w="1600" w:type="dxa"/>
          </w:tcPr>
          <w:p>
            <w:pPr>
              <w:pStyle w:val="Compact"/>
              <w:spacing w:before="30" w:after="30"/>
            </w:pPr>
            <w:r>
              <w:rPr>
                <w:b/>
                <w:bCs/>
                <w:sz w:val="17"/>
              </w:rPr>
              <w:t xml:space="preserve">Opus 5.5</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1100" w:type="dxa"/>
          </w:tcPr>
          <w:p>
            <w:pPr>
              <w:pStyle w:val="Compact"/>
              <w:spacing w:before="30" w:after="30"/>
            </w:pPr>
            <w:r>
              <w:rPr>
                <w:sz w:val="17"/>
              </w:rPr>
              <w:t xml:space="preserve">–</w:t>
            </w:r>
          </w:p>
        </w:tc>
      </w:tr>
      <w:tr>
        <w:trPr>
          <w:cantSplit/>
        </w:trPr>
        <w:tc>
          <w:tcPr>
            <w:tcW w:w="1600" w:type="dxa"/>
          </w:tcPr>
          <w:p>
            <w:pPr>
              <w:pStyle w:val="Compact"/>
              <w:spacing w:before="30" w:after="30"/>
            </w:pPr>
            <w:r>
              <w:rPr>
                <w:b/>
                <w:bCs/>
                <w:sz w:val="17"/>
              </w:rPr>
              <w:t xml:space="preserve">Fable 5.1</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1100" w:type="dxa"/>
          </w:tcPr>
          <w:p>
            <w:pPr>
              <w:pStyle w:val="Compact"/>
              <w:spacing w:before="30" w:after="30"/>
            </w:pPr>
            <w:r>
              <w:rPr>
                <w:sz w:val="17"/>
              </w:rPr>
              <w:t xml:space="preserve">–</w:t>
            </w:r>
          </w:p>
        </w:tc>
      </w:tr>
      <w:tr>
        <w:trPr>
          <w:cantSplit/>
        </w:trPr>
        <w:tc>
          <w:tcPr>
            <w:tcW w:w="1600" w:type="dxa"/>
          </w:tcPr>
          <w:p>
            <w:pPr>
              <w:pStyle w:val="Compact"/>
              <w:spacing w:before="30" w:after="30"/>
            </w:pPr>
            <w:r>
              <w:rPr>
                <w:b/>
                <w:bCs/>
                <w:sz w:val="17"/>
              </w:rPr>
              <w:t xml:space="preserve">Gemma-3 4B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204</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0.06 [0.03, 0.10]</w:t>
            </w:r>
          </w:p>
        </w:tc>
        <w:tc>
          <w:tcPr>
            <w:tcW w:w="760" w:type="dxa"/>
          </w:tcPr>
          <w:p>
            <w:pPr>
              <w:pStyle w:val="Compact"/>
              <w:spacing w:before="30" w:after="30"/>
            </w:pPr>
            <w:r>
              <w:rPr>
                <w:sz w:val="17"/>
              </w:rPr>
              <w:t xml:space="preserve">0.89</w:t>
            </w:r>
          </w:p>
        </w:tc>
        <w:tc>
          <w:tcPr>
            <w:tcW w:w="1700" w:type="dxa"/>
          </w:tcPr>
          <w:p>
            <w:pPr>
              <w:pStyle w:val="Compact"/>
              <w:spacing w:before="30" w:after="30"/>
            </w:pPr>
            <w:r>
              <w:rPr>
                <w:sz w:val="17"/>
              </w:rPr>
              <w:t xml:space="preserve">0.83 [0.78, 0.88]</w:t>
            </w:r>
          </w:p>
        </w:tc>
        <w:tc>
          <w:tcPr>
            <w:tcW w:w="1100" w:type="dxa"/>
          </w:tcPr>
          <w:p>
            <w:pPr>
              <w:pStyle w:val="Compact"/>
              <w:spacing w:before="30" w:after="30"/>
            </w:pPr>
            <w:r>
              <w:rPr>
                <w:sz w:val="17"/>
              </w:rPr>
              <w:t xml:space="preserve">0.07</w:t>
            </w:r>
          </w:p>
        </w:tc>
      </w:tr>
      <w:tr>
        <w:trPr>
          <w:cantSplit/>
        </w:trPr>
        <w:tc>
          <w:tcPr>
            <w:tcW w:w="1600" w:type="dxa"/>
          </w:tcPr>
          <w:p>
            <w:pPr>
              <w:pStyle w:val="Compact"/>
              <w:spacing w:before="30" w:after="30"/>
            </w:pPr>
            <w:r>
              <w:rPr>
                <w:b/>
                <w:bCs/>
                <w:sz w:val="17"/>
              </w:rPr>
              <w:t xml:space="preserve">Gemma-3 12B</w:t>
            </w:r>
          </w:p>
        </w:tc>
        <w:tc>
          <w:tcPr>
            <w:tcW w:w="620" w:type="dxa"/>
          </w:tcPr>
          <w:p>
            <w:pPr>
              <w:pStyle w:val="Compact"/>
              <w:spacing w:before="30" w:after="30"/>
            </w:pPr>
            <w:r>
              <w:rPr>
                <w:sz w:val="17"/>
              </w:rPr>
              <w:t xml:space="preserve">0.42</w:t>
            </w:r>
          </w:p>
        </w:tc>
        <w:tc>
          <w:tcPr>
            <w:tcW w:w="900" w:type="dxa"/>
          </w:tcPr>
          <w:p>
            <w:pPr>
              <w:pStyle w:val="Compact"/>
              <w:spacing w:before="30" w:after="30"/>
            </w:pPr>
            <w:r>
              <w:rPr>
                <w:sz w:val="17"/>
              </w:rPr>
              <w:t xml:space="preserve">234</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0.08 [0.05, 0.12]</w:t>
            </w:r>
          </w:p>
        </w:tc>
        <w:tc>
          <w:tcPr>
            <w:tcW w:w="760" w:type="dxa"/>
          </w:tcPr>
          <w:p>
            <w:pPr>
              <w:pStyle w:val="Compact"/>
              <w:spacing w:before="30" w:after="30"/>
            </w:pPr>
            <w:r>
              <w:rPr>
                <w:sz w:val="17"/>
              </w:rPr>
              <w:t xml:space="preserve">1.00</w:t>
            </w:r>
          </w:p>
        </w:tc>
        <w:tc>
          <w:tcPr>
            <w:tcW w:w="1700" w:type="dxa"/>
          </w:tcPr>
          <w:p>
            <w:pPr>
              <w:pStyle w:val="Compact"/>
              <w:spacing w:before="30" w:after="30"/>
            </w:pPr>
            <w:r>
              <w:rPr>
                <w:sz w:val="17"/>
              </w:rPr>
              <w:t xml:space="preserve">0.91 [0.88, 0.95]</w:t>
            </w:r>
          </w:p>
        </w:tc>
        <w:tc>
          <w:tcPr>
            <w:tcW w:w="1100" w:type="dxa"/>
          </w:tcPr>
          <w:p>
            <w:pPr>
              <w:pStyle w:val="Compact"/>
              <w:spacing w:before="30" w:after="30"/>
            </w:pPr>
            <w:r>
              <w:rPr>
                <w:sz w:val="17"/>
              </w:rPr>
              <w:t xml:space="preserve">0.08</w:t>
            </w:r>
          </w:p>
        </w:tc>
      </w:tr>
      <w:tr>
        <w:trPr>
          <w:cantSplit/>
        </w:trPr>
        <w:tc>
          <w:tcPr>
            <w:tcW w:w="1600" w:type="dxa"/>
          </w:tcPr>
          <w:p>
            <w:pPr>
              <w:pStyle w:val="Compact"/>
              <w:spacing w:before="30" w:after="30"/>
            </w:pPr>
            <w:r>
              <w:rPr>
                <w:b/>
                <w:bCs/>
                <w:sz w:val="17"/>
              </w:rPr>
              <w:t xml:space="preserve">Gemma-3 27B</w:t>
            </w:r>
          </w:p>
        </w:tc>
        <w:tc>
          <w:tcPr>
            <w:tcW w:w="620" w:type="dxa"/>
          </w:tcPr>
          <w:p>
            <w:pPr>
              <w:pStyle w:val="Compact"/>
              <w:spacing w:before="30" w:after="30"/>
            </w:pPr>
            <w:r>
              <w:rPr>
                <w:sz w:val="17"/>
              </w:rPr>
              <w:t xml:space="preserve">0.42</w:t>
            </w:r>
          </w:p>
        </w:tc>
        <w:tc>
          <w:tcPr>
            <w:tcW w:w="900" w:type="dxa"/>
          </w:tcPr>
          <w:p>
            <w:pPr>
              <w:pStyle w:val="Compact"/>
              <w:spacing w:before="30" w:after="30"/>
            </w:pPr>
            <w:r>
              <w:rPr>
                <w:sz w:val="17"/>
              </w:rPr>
              <w:t xml:space="preserve">251</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0.08 [0.05, 0.12]</w:t>
            </w:r>
          </w:p>
        </w:tc>
        <w:tc>
          <w:tcPr>
            <w:tcW w:w="760" w:type="dxa"/>
          </w:tcPr>
          <w:p>
            <w:pPr>
              <w:pStyle w:val="Compact"/>
              <w:spacing w:before="30" w:after="30"/>
            </w:pPr>
            <w:r>
              <w:rPr>
                <w:sz w:val="17"/>
              </w:rPr>
              <w:t xml:space="preserve">0.86</w:t>
            </w:r>
          </w:p>
        </w:tc>
        <w:tc>
          <w:tcPr>
            <w:tcW w:w="1700" w:type="dxa"/>
          </w:tcPr>
          <w:p>
            <w:pPr>
              <w:pStyle w:val="Compact"/>
              <w:spacing w:before="30" w:after="30"/>
            </w:pPr>
            <w:r>
              <w:rPr>
                <w:sz w:val="17"/>
              </w:rPr>
              <w:t xml:space="preserve">0.77 [0.72, 0.82]</w:t>
            </w:r>
          </w:p>
        </w:tc>
        <w:tc>
          <w:tcPr>
            <w:tcW w:w="1100" w:type="dxa"/>
          </w:tcPr>
          <w:p>
            <w:pPr>
              <w:pStyle w:val="Compact"/>
              <w:spacing w:before="30" w:after="30"/>
            </w:pPr>
            <w:r>
              <w:rPr>
                <w:sz w:val="17"/>
              </w:rPr>
              <w:t xml:space="preserve">0.10</w:t>
            </w:r>
          </w:p>
        </w:tc>
      </w:tr>
      <w:tr>
        <w:trPr>
          <w:cantSplit/>
        </w:trPr>
        <w:tc>
          <w:tcPr>
            <w:tcW w:w="1600" w:type="dxa"/>
          </w:tcPr>
          <w:p>
            <w:pPr>
              <w:pStyle w:val="Compact"/>
              <w:spacing w:before="30" w:after="30"/>
            </w:pPr>
            <w:r>
              <w:rPr>
                <w:b/>
                <w:bCs/>
                <w:sz w:val="17"/>
              </w:rPr>
              <w:t xml:space="preserve">Llama-3.1 8B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208</w:t>
            </w:r>
          </w:p>
        </w:tc>
        <w:tc>
          <w:tcPr>
            <w:tcW w:w="620" w:type="dxa"/>
          </w:tcPr>
          <w:p>
            <w:pPr>
              <w:pStyle w:val="Compact"/>
              <w:spacing w:before="30" w:after="30"/>
            </w:pPr>
            <w:r>
              <w:rPr>
                <w:sz w:val="17"/>
              </w:rPr>
              <w:t xml:space="preserve">0.31</w:t>
            </w:r>
          </w:p>
        </w:tc>
        <w:tc>
          <w:tcPr>
            <w:tcW w:w="1700" w:type="dxa"/>
          </w:tcPr>
          <w:p>
            <w:pPr>
              <w:pStyle w:val="Compact"/>
              <w:spacing w:before="30" w:after="30"/>
            </w:pPr>
            <w:r>
              <w:rPr>
                <w:sz w:val="17"/>
              </w:rPr>
              <w:t xml:space="preserve">0.33 [0.27, 0.40]</w:t>
            </w:r>
          </w:p>
        </w:tc>
        <w:tc>
          <w:tcPr>
            <w:tcW w:w="760" w:type="dxa"/>
          </w:tcPr>
          <w:p>
            <w:pPr>
              <w:pStyle w:val="Compact"/>
              <w:spacing w:before="30" w:after="30"/>
            </w:pPr>
            <w:r>
              <w:rPr>
                <w:sz w:val="17"/>
              </w:rPr>
              <w:t xml:space="preserve">0.62</w:t>
            </w:r>
          </w:p>
        </w:tc>
        <w:tc>
          <w:tcPr>
            <w:tcW w:w="1700" w:type="dxa"/>
          </w:tcPr>
          <w:p>
            <w:pPr>
              <w:pStyle w:val="Compact"/>
              <w:spacing w:before="30" w:after="30"/>
            </w:pPr>
            <w:r>
              <w:rPr>
                <w:sz w:val="17"/>
              </w:rPr>
              <w:t xml:space="preserve">0.29 [0.20, 0.39]</w:t>
            </w:r>
          </w:p>
        </w:tc>
        <w:tc>
          <w:tcPr>
            <w:tcW w:w="1100" w:type="dxa"/>
          </w:tcPr>
          <w:p>
            <w:pPr>
              <w:pStyle w:val="Compact"/>
              <w:spacing w:before="30" w:after="30"/>
            </w:pPr>
            <w:r>
              <w:rPr>
                <w:sz w:val="17"/>
              </w:rPr>
              <w:t xml:space="preserve">0.53</w:t>
            </w:r>
          </w:p>
        </w:tc>
      </w:tr>
      <w:tr>
        <w:trPr>
          <w:cantSplit/>
        </w:trPr>
        <w:tc>
          <w:tcPr>
            <w:tcW w:w="1600" w:type="dxa"/>
          </w:tcPr>
          <w:p>
            <w:pPr>
              <w:pStyle w:val="Compact"/>
              <w:spacing w:before="30" w:after="30"/>
            </w:pPr>
            <w:r>
              <w:rPr>
                <w:b/>
                <w:bCs/>
                <w:sz w:val="17"/>
              </w:rPr>
              <w:t xml:space="preserve">Llama-3.1 70B</w:t>
            </w:r>
          </w:p>
        </w:tc>
        <w:tc>
          <w:tcPr>
            <w:tcW w:w="620" w:type="dxa"/>
          </w:tcPr>
          <w:p>
            <w:pPr>
              <w:pStyle w:val="Compact"/>
              <w:spacing w:before="30" w:after="30"/>
            </w:pPr>
            <w:r>
              <w:rPr>
                <w:sz w:val="17"/>
              </w:rPr>
              <w:t xml:space="preserve">0.41</w:t>
            </w:r>
          </w:p>
        </w:tc>
        <w:tc>
          <w:tcPr>
            <w:tcW w:w="900" w:type="dxa"/>
          </w:tcPr>
          <w:p>
            <w:pPr>
              <w:pStyle w:val="Compact"/>
              <w:spacing w:before="30" w:after="30"/>
            </w:pPr>
            <w:r>
              <w:rPr>
                <w:sz w:val="17"/>
              </w:rPr>
              <w:t xml:space="preserve">238</w:t>
            </w:r>
          </w:p>
        </w:tc>
        <w:tc>
          <w:tcPr>
            <w:tcW w:w="620" w:type="dxa"/>
          </w:tcPr>
          <w:p>
            <w:pPr>
              <w:pStyle w:val="Compact"/>
              <w:spacing w:before="30" w:after="30"/>
            </w:pPr>
            <w:r>
              <w:rPr>
                <w:sz w:val="17"/>
              </w:rPr>
              <w:t xml:space="preserve">0.21</w:t>
            </w:r>
          </w:p>
        </w:tc>
        <w:tc>
          <w:tcPr>
            <w:tcW w:w="1700" w:type="dxa"/>
          </w:tcPr>
          <w:p>
            <w:pPr>
              <w:pStyle w:val="Compact"/>
              <w:spacing w:before="30" w:after="30"/>
            </w:pPr>
            <w:r>
              <w:rPr>
                <w:sz w:val="17"/>
              </w:rPr>
              <w:t xml:space="preserve">0.18 [0.13, 0.23]</w:t>
            </w:r>
          </w:p>
        </w:tc>
        <w:tc>
          <w:tcPr>
            <w:tcW w:w="760" w:type="dxa"/>
          </w:tcPr>
          <w:p>
            <w:pPr>
              <w:pStyle w:val="Compact"/>
              <w:spacing w:before="30" w:after="30"/>
            </w:pPr>
            <w:r>
              <w:rPr>
                <w:sz w:val="17"/>
              </w:rPr>
              <w:t xml:space="preserve">0.74</w:t>
            </w:r>
          </w:p>
        </w:tc>
        <w:tc>
          <w:tcPr>
            <w:tcW w:w="1700" w:type="dxa"/>
          </w:tcPr>
          <w:p>
            <w:pPr>
              <w:pStyle w:val="Compact"/>
              <w:spacing w:before="30" w:after="30"/>
            </w:pPr>
            <w:r>
              <w:rPr>
                <w:sz w:val="17"/>
              </w:rPr>
              <w:t xml:space="preserve">0.56 [0.49, 0.63]</w:t>
            </w:r>
          </w:p>
        </w:tc>
        <w:tc>
          <w:tcPr>
            <w:tcW w:w="1100" w:type="dxa"/>
          </w:tcPr>
          <w:p>
            <w:pPr>
              <w:pStyle w:val="Compact"/>
              <w:spacing w:before="30" w:after="30"/>
            </w:pPr>
            <w:r>
              <w:rPr>
                <w:sz w:val="17"/>
              </w:rPr>
              <w:t xml:space="preserve">0.24</w:t>
            </w:r>
          </w:p>
        </w:tc>
      </w:tr>
      <w:tr>
        <w:trPr>
          <w:cantSplit/>
        </w:trPr>
        <w:tc>
          <w:tcPr>
            <w:tcW w:w="1600" w:type="dxa"/>
          </w:tcPr>
          <w:p>
            <w:pPr>
              <w:pStyle w:val="Compact"/>
              <w:spacing w:before="30" w:after="30"/>
            </w:pPr>
            <w:r>
              <w:rPr>
                <w:b/>
                <w:bCs/>
                <w:sz w:val="17"/>
              </w:rPr>
              <w:t xml:space="preserve">Ministral 3B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198</w:t>
            </w:r>
          </w:p>
        </w:tc>
        <w:tc>
          <w:tcPr>
            <w:tcW w:w="620" w:type="dxa"/>
          </w:tcPr>
          <w:p>
            <w:pPr>
              <w:pStyle w:val="Compact"/>
              <w:spacing w:before="30" w:after="30"/>
            </w:pPr>
            <w:r>
              <w:rPr>
                <w:sz w:val="17"/>
              </w:rPr>
              <w:t xml:space="preserve">0.12</w:t>
            </w:r>
          </w:p>
        </w:tc>
        <w:tc>
          <w:tcPr>
            <w:tcW w:w="1700" w:type="dxa"/>
          </w:tcPr>
          <w:p>
            <w:pPr>
              <w:pStyle w:val="Compact"/>
              <w:spacing w:before="30" w:after="30"/>
            </w:pPr>
            <w:r>
              <w:rPr>
                <w:sz w:val="17"/>
              </w:rPr>
              <w:t xml:space="preserve">0.17 [0.11, 0.22]</w:t>
            </w:r>
          </w:p>
        </w:tc>
        <w:tc>
          <w:tcPr>
            <w:tcW w:w="760" w:type="dxa"/>
          </w:tcPr>
          <w:p>
            <w:pPr>
              <w:pStyle w:val="Compact"/>
              <w:spacing w:before="30" w:after="30"/>
            </w:pPr>
            <w:r>
              <w:rPr>
                <w:sz w:val="17"/>
              </w:rPr>
              <w:t xml:space="preserve">0.22</w:t>
            </w:r>
          </w:p>
        </w:tc>
        <w:tc>
          <w:tcPr>
            <w:tcW w:w="1700" w:type="dxa"/>
          </w:tcPr>
          <w:p>
            <w:pPr>
              <w:pStyle w:val="Compact"/>
              <w:spacing w:before="30" w:after="30"/>
            </w:pPr>
            <w:r>
              <w:rPr>
                <w:sz w:val="17"/>
              </w:rPr>
              <w:t xml:space="preserve">0.06 [-0.01, 0.12]</w:t>
            </w:r>
          </w:p>
        </w:tc>
        <w:tc>
          <w:tcPr>
            <w:tcW w:w="1100" w:type="dxa"/>
          </w:tcPr>
          <w:p>
            <w:pPr>
              <w:pStyle w:val="Compact"/>
              <w:spacing w:before="30" w:after="30"/>
            </w:pPr>
            <w:r>
              <w:rPr>
                <w:sz w:val="17"/>
              </w:rPr>
              <w:t xml:space="preserve">0.75</w:t>
            </w:r>
          </w:p>
        </w:tc>
      </w:tr>
      <w:tr>
        <w:trPr>
          <w:cantSplit/>
        </w:trPr>
        <w:tc>
          <w:tcPr>
            <w:tcW w:w="1600" w:type="dxa"/>
          </w:tcPr>
          <w:p>
            <w:pPr>
              <w:pStyle w:val="Compact"/>
              <w:spacing w:before="30" w:after="30"/>
            </w:pPr>
            <w:r>
              <w:rPr>
                <w:b/>
                <w:bCs/>
                <w:sz w:val="17"/>
              </w:rPr>
              <w:t xml:space="preserve">Ministral 8B</w:t>
            </w:r>
          </w:p>
        </w:tc>
        <w:tc>
          <w:tcPr>
            <w:tcW w:w="620" w:type="dxa"/>
          </w:tcPr>
          <w:p>
            <w:pPr>
              <w:pStyle w:val="Compact"/>
              <w:spacing w:before="30" w:after="30"/>
            </w:pPr>
            <w:r>
              <w:rPr>
                <w:sz w:val="17"/>
              </w:rPr>
              <w:t xml:space="preserve">0.38</w:t>
            </w:r>
          </w:p>
        </w:tc>
        <w:tc>
          <w:tcPr>
            <w:tcW w:w="900" w:type="dxa"/>
          </w:tcPr>
          <w:p>
            <w:pPr>
              <w:pStyle w:val="Compact"/>
              <w:spacing w:before="30" w:after="30"/>
            </w:pPr>
            <w:r>
              <w:rPr>
                <w:sz w:val="17"/>
              </w:rPr>
              <w:t xml:space="preserve">227</w:t>
            </w:r>
          </w:p>
        </w:tc>
        <w:tc>
          <w:tcPr>
            <w:tcW w:w="620" w:type="dxa"/>
          </w:tcPr>
          <w:p>
            <w:pPr>
              <w:pStyle w:val="Compact"/>
              <w:spacing w:before="30" w:after="30"/>
            </w:pPr>
            <w:r>
              <w:rPr>
                <w:sz w:val="17"/>
              </w:rPr>
              <w:t xml:space="preserve">0.11</w:t>
            </w:r>
          </w:p>
        </w:tc>
        <w:tc>
          <w:tcPr>
            <w:tcW w:w="1700" w:type="dxa"/>
          </w:tcPr>
          <w:p>
            <w:pPr>
              <w:pStyle w:val="Compact"/>
              <w:spacing w:before="30" w:after="30"/>
            </w:pPr>
            <w:r>
              <w:rPr>
                <w:sz w:val="17"/>
              </w:rPr>
              <w:t xml:space="preserve">0.17 [0.12, 0.21]</w:t>
            </w:r>
          </w:p>
        </w:tc>
        <w:tc>
          <w:tcPr>
            <w:tcW w:w="760" w:type="dxa"/>
          </w:tcPr>
          <w:p>
            <w:pPr>
              <w:pStyle w:val="Compact"/>
              <w:spacing w:before="30" w:after="30"/>
            </w:pPr>
            <w:r>
              <w:rPr>
                <w:sz w:val="17"/>
              </w:rPr>
              <w:t xml:space="preserve">0.40</w:t>
            </w:r>
          </w:p>
        </w:tc>
        <w:tc>
          <w:tcPr>
            <w:tcW w:w="1700" w:type="dxa"/>
          </w:tcPr>
          <w:p>
            <w:pPr>
              <w:pStyle w:val="Compact"/>
              <w:spacing w:before="30" w:after="30"/>
            </w:pPr>
            <w:r>
              <w:rPr>
                <w:sz w:val="17"/>
              </w:rPr>
              <w:t xml:space="preserve">0.23 [0.17, 0.29]</w:t>
            </w:r>
          </w:p>
        </w:tc>
        <w:tc>
          <w:tcPr>
            <w:tcW w:w="1100" w:type="dxa"/>
          </w:tcPr>
          <w:p>
            <w:pPr>
              <w:pStyle w:val="Compact"/>
              <w:spacing w:before="30" w:after="30"/>
            </w:pPr>
            <w:r>
              <w:rPr>
                <w:sz w:val="17"/>
              </w:rPr>
              <w:t xml:space="preserve">0.42</w:t>
            </w:r>
          </w:p>
        </w:tc>
      </w:tr>
      <w:tr>
        <w:trPr>
          <w:cantSplit/>
        </w:trPr>
        <w:tc>
          <w:tcPr>
            <w:tcW w:w="1600" w:type="dxa"/>
          </w:tcPr>
          <w:p>
            <w:pPr>
              <w:pStyle w:val="Compact"/>
              <w:spacing w:before="30" w:after="30"/>
            </w:pPr>
            <w:r>
              <w:rPr>
                <w:b/>
                <w:bCs/>
                <w:sz w:val="17"/>
              </w:rPr>
              <w:t xml:space="preserve">Ministral 14B</w:t>
            </w:r>
          </w:p>
        </w:tc>
        <w:tc>
          <w:tcPr>
            <w:tcW w:w="620" w:type="dxa"/>
          </w:tcPr>
          <w:p>
            <w:pPr>
              <w:pStyle w:val="Compact"/>
              <w:spacing w:before="30" w:after="30"/>
            </w:pPr>
            <w:r>
              <w:rPr>
                <w:sz w:val="17"/>
              </w:rPr>
              <w:t xml:space="preserve">0.46</w:t>
            </w:r>
          </w:p>
        </w:tc>
        <w:tc>
          <w:tcPr>
            <w:tcW w:w="900" w:type="dxa"/>
          </w:tcPr>
          <w:p>
            <w:pPr>
              <w:pStyle w:val="Compact"/>
              <w:spacing w:before="30" w:after="30"/>
            </w:pPr>
            <w:r>
              <w:rPr>
                <w:sz w:val="17"/>
              </w:rPr>
              <w:t xml:space="preserve">283</w:t>
            </w:r>
          </w:p>
        </w:tc>
        <w:tc>
          <w:tcPr>
            <w:tcW w:w="620" w:type="dxa"/>
          </w:tcPr>
          <w:p>
            <w:pPr>
              <w:pStyle w:val="Compact"/>
              <w:spacing w:before="30" w:after="30"/>
            </w:pPr>
            <w:r>
              <w:rPr>
                <w:sz w:val="17"/>
              </w:rPr>
              <w:t xml:space="preserve">0.08</w:t>
            </w:r>
          </w:p>
        </w:tc>
        <w:tc>
          <w:tcPr>
            <w:tcW w:w="1700" w:type="dxa"/>
          </w:tcPr>
          <w:p>
            <w:pPr>
              <w:pStyle w:val="Compact"/>
              <w:spacing w:before="30" w:after="30"/>
            </w:pPr>
            <w:r>
              <w:rPr>
                <w:sz w:val="17"/>
              </w:rPr>
              <w:t xml:space="preserve">0.11 [0.07, 0.14]</w:t>
            </w:r>
          </w:p>
        </w:tc>
        <w:tc>
          <w:tcPr>
            <w:tcW w:w="760" w:type="dxa"/>
          </w:tcPr>
          <w:p>
            <w:pPr>
              <w:pStyle w:val="Compact"/>
              <w:spacing w:before="30" w:after="30"/>
            </w:pPr>
            <w:r>
              <w:rPr>
                <w:sz w:val="17"/>
              </w:rPr>
              <w:t xml:space="preserve">0.51</w:t>
            </w:r>
          </w:p>
        </w:tc>
        <w:tc>
          <w:tcPr>
            <w:tcW w:w="1700" w:type="dxa"/>
          </w:tcPr>
          <w:p>
            <w:pPr>
              <w:pStyle w:val="Compact"/>
              <w:spacing w:before="30" w:after="30"/>
            </w:pPr>
            <w:r>
              <w:rPr>
                <w:sz w:val="17"/>
              </w:rPr>
              <w:t xml:space="preserve">0.40 [0.34, 0.46]</w:t>
            </w:r>
          </w:p>
        </w:tc>
        <w:tc>
          <w:tcPr>
            <w:tcW w:w="1100" w:type="dxa"/>
          </w:tcPr>
          <w:p>
            <w:pPr>
              <w:pStyle w:val="Compact"/>
              <w:spacing w:before="30" w:after="30"/>
            </w:pPr>
            <w:r>
              <w:rPr>
                <w:sz w:val="17"/>
              </w:rPr>
              <w:t xml:space="preserve">0.21</w:t>
            </w:r>
          </w:p>
        </w:tc>
      </w:tr>
      <w:tr>
        <w:trPr>
          <w:cantSplit/>
        </w:trPr>
        <w:tc>
          <w:tcPr>
            <w:tcW w:w="1600" w:type="dxa"/>
          </w:tcPr>
          <w:p>
            <w:pPr>
              <w:pStyle w:val="Compact"/>
              <w:spacing w:before="30" w:after="30"/>
            </w:pPr>
            <w:r>
              <w:rPr>
                <w:b/>
                <w:bCs/>
                <w:sz w:val="17"/>
              </w:rPr>
              <w:t xml:space="preserve">Qwen2.5 7B</w:t>
            </w:r>
          </w:p>
        </w:tc>
        <w:tc>
          <w:tcPr>
            <w:tcW w:w="620" w:type="dxa"/>
          </w:tcPr>
          <w:p>
            <w:pPr>
              <w:pStyle w:val="Compact"/>
              <w:spacing w:before="30" w:after="30"/>
            </w:pPr>
            <w:r>
              <w:rPr>
                <w:sz w:val="17"/>
              </w:rPr>
              <w:t xml:space="preserve">0.36</w:t>
            </w:r>
          </w:p>
        </w:tc>
        <w:tc>
          <w:tcPr>
            <w:tcW w:w="900" w:type="dxa"/>
          </w:tcPr>
          <w:p>
            <w:pPr>
              <w:pStyle w:val="Compact"/>
              <w:spacing w:before="30" w:after="30"/>
            </w:pPr>
            <w:r>
              <w:rPr>
                <w:sz w:val="17"/>
              </w:rPr>
              <w:t xml:space="preserve">212</w:t>
            </w:r>
          </w:p>
        </w:tc>
        <w:tc>
          <w:tcPr>
            <w:tcW w:w="620" w:type="dxa"/>
          </w:tcPr>
          <w:p>
            <w:pPr>
              <w:pStyle w:val="Compact"/>
              <w:spacing w:before="30" w:after="30"/>
            </w:pPr>
            <w:r>
              <w:rPr>
                <w:sz w:val="17"/>
              </w:rPr>
              <w:t xml:space="preserve">0.02</w:t>
            </w:r>
          </w:p>
        </w:tc>
        <w:tc>
          <w:tcPr>
            <w:tcW w:w="1700" w:type="dxa"/>
          </w:tcPr>
          <w:p>
            <w:pPr>
              <w:pStyle w:val="Compact"/>
              <w:spacing w:before="30" w:after="30"/>
            </w:pPr>
            <w:r>
              <w:rPr>
                <w:sz w:val="17"/>
              </w:rPr>
              <w:t xml:space="preserve">0.07 [0.04, 0.10]</w:t>
            </w:r>
          </w:p>
        </w:tc>
        <w:tc>
          <w:tcPr>
            <w:tcW w:w="760" w:type="dxa"/>
          </w:tcPr>
          <w:p>
            <w:pPr>
              <w:pStyle w:val="Compact"/>
              <w:spacing w:before="30" w:after="30"/>
            </w:pPr>
            <w:r>
              <w:rPr>
                <w:sz w:val="17"/>
              </w:rPr>
              <w:t xml:space="preserve">0.73</w:t>
            </w:r>
          </w:p>
        </w:tc>
        <w:tc>
          <w:tcPr>
            <w:tcW w:w="1700" w:type="dxa"/>
          </w:tcPr>
          <w:p>
            <w:pPr>
              <w:pStyle w:val="Compact"/>
              <w:spacing w:before="30" w:after="30"/>
            </w:pPr>
            <w:r>
              <w:rPr>
                <w:sz w:val="17"/>
              </w:rPr>
              <w:t xml:space="preserve">0.67 [0.60, 0.73]</w:t>
            </w:r>
          </w:p>
        </w:tc>
        <w:tc>
          <w:tcPr>
            <w:tcW w:w="1100" w:type="dxa"/>
          </w:tcPr>
          <w:p>
            <w:pPr>
              <w:pStyle w:val="Compact"/>
              <w:spacing w:before="30" w:after="30"/>
            </w:pPr>
            <w:r>
              <w:rPr>
                <w:sz w:val="17"/>
              </w:rPr>
              <w:t xml:space="preserve">0.09</w:t>
            </w:r>
          </w:p>
        </w:tc>
      </w:tr>
      <w:tr>
        <w:trPr>
          <w:cantSplit/>
        </w:trPr>
        <w:tc>
          <w:tcPr>
            <w:tcW w:w="1600" w:type="dxa"/>
            <w:tcBorders>
              <w:bottom w:val="single" w:sz="8" w:space="0" w:color="000000"/>
            </w:tcBorders>
          </w:tcPr>
          <w:p>
            <w:pPr>
              <w:pStyle w:val="Compact"/>
              <w:spacing w:before="30" w:after="30"/>
            </w:pPr>
            <w:r>
              <w:rPr>
                <w:b/>
                <w:bCs/>
                <w:sz w:val="17"/>
              </w:rPr>
              <w:t xml:space="preserve">Qwen2.5 72B</w:t>
            </w:r>
          </w:p>
        </w:tc>
        <w:tc>
          <w:tcPr>
            <w:tcW w:w="620" w:type="dxa"/>
            <w:tcBorders>
              <w:bottom w:val="single" w:sz="8" w:space="0" w:color="000000"/>
            </w:tcBorders>
          </w:tcPr>
          <w:p>
            <w:pPr>
              <w:pStyle w:val="Compact"/>
              <w:spacing w:before="30" w:after="30"/>
            </w:pPr>
            <w:r>
              <w:rPr>
                <w:sz w:val="17"/>
              </w:rPr>
              <w:t xml:space="preserve">0.54</w:t>
            </w:r>
          </w:p>
        </w:tc>
        <w:tc>
          <w:tcPr>
            <w:tcW w:w="900" w:type="dxa"/>
            <w:tcBorders>
              <w:bottom w:val="single" w:sz="8" w:space="0" w:color="000000"/>
            </w:tcBorders>
          </w:tcPr>
          <w:p>
            <w:pPr>
              <w:pStyle w:val="Compact"/>
              <w:spacing w:before="30" w:after="30"/>
            </w:pPr>
            <w:r>
              <w:rPr>
                <w:sz w:val="17"/>
              </w:rPr>
              <w:t xml:space="preserve">315</w:t>
            </w:r>
          </w:p>
        </w:tc>
        <w:tc>
          <w:tcPr>
            <w:tcW w:w="620" w:type="dxa"/>
            <w:tcBorders>
              <w:bottom w:val="single" w:sz="8" w:space="0" w:color="000000"/>
            </w:tcBorders>
          </w:tcPr>
          <w:p>
            <w:pPr>
              <w:pStyle w:val="Compact"/>
              <w:spacing w:before="30" w:after="30"/>
            </w:pPr>
            <w:r>
              <w:rPr>
                <w:sz w:val="17"/>
              </w:rPr>
              <w:t xml:space="preserve">0.06</w:t>
            </w:r>
          </w:p>
        </w:tc>
        <w:tc>
          <w:tcPr>
            <w:tcW w:w="1700" w:type="dxa"/>
            <w:tcBorders>
              <w:bottom w:val="single" w:sz="8" w:space="0" w:color="000000"/>
            </w:tcBorders>
          </w:tcPr>
          <w:p>
            <w:pPr>
              <w:pStyle w:val="Compact"/>
              <w:spacing w:before="30" w:after="30"/>
            </w:pPr>
            <w:r>
              <w:rPr>
                <w:sz w:val="17"/>
              </w:rPr>
              <w:t xml:space="preserve">0.05 [0.03, 0.08]</w:t>
            </w:r>
          </w:p>
        </w:tc>
        <w:tc>
          <w:tcPr>
            <w:tcW w:w="760" w:type="dxa"/>
            <w:tcBorders>
              <w:bottom w:val="single" w:sz="8" w:space="0" w:color="000000"/>
            </w:tcBorders>
          </w:tcPr>
          <w:p>
            <w:pPr>
              <w:pStyle w:val="Compact"/>
              <w:spacing w:before="30" w:after="30"/>
            </w:pPr>
            <w:r>
              <w:rPr>
                <w:sz w:val="17"/>
              </w:rPr>
              <w:t xml:space="preserve">0.65</w:t>
            </w:r>
          </w:p>
        </w:tc>
        <w:tc>
          <w:tcPr>
            <w:tcW w:w="1700" w:type="dxa"/>
            <w:tcBorders>
              <w:bottom w:val="single" w:sz="8" w:space="0" w:color="000000"/>
            </w:tcBorders>
          </w:tcPr>
          <w:p>
            <w:pPr>
              <w:pStyle w:val="Compact"/>
              <w:spacing w:before="30" w:after="30"/>
            </w:pPr>
            <w:r>
              <w:rPr>
                <w:sz w:val="17"/>
              </w:rPr>
              <w:t xml:space="preserve">0.60 [0.55, 0.65]</w:t>
            </w:r>
          </w:p>
        </w:tc>
        <w:tc>
          <w:tcPr>
            <w:tcW w:w="1100" w:type="dxa"/>
            <w:tcBorders>
              <w:bottom w:val="single" w:sz="8" w:space="0" w:color="000000"/>
            </w:tcBorders>
          </w:tcPr>
          <w:p>
            <w:pPr>
              <w:pStyle w:val="Compact"/>
              <w:spacing w:before="30" w:after="30"/>
            </w:pPr>
            <w:r>
              <w:rPr>
                <w:sz w:val="17"/>
              </w:rPr>
              <w:t xml:space="preserve">0.08</w:t>
            </w:r>
          </w:p>
        </w:tc>
      </w:tr>
    </w:tbl>
    <w:p>
      <w:pPr>
        <w:pStyle w:val="BodyText"/>
        <w:spacing w:before="60"/>
      </w:pPr>
      <w:r>
        <w:rPr>
          <w:sz w:val="18"/>
        </w:rPr>
        <w:t xml:space="preserve">a: stance-free accuracy over five replicates; ν: stance-free replicate rate of the stance-endorsed option; ρ: the same rate after a length-matched neutral sentence; f(e*): rate under the stated preference against the evidence; s* = f(e*) − ρ; share removed = 1 − s*/f(e*), undefined where f(e*) = 0. Rates are on the conditional set. Intervals: 95% percentile bootstrap, stems resampled (2,000 draws).</w:t>
      </w:r>
    </w:p>
    <w:p>
      <w:pPr>
        <w:pStyle w:val="BodyText"/>
      </w:pPr>
      <w:r>
        <w:t xml:space="preserve">Correction removes a median 9% of the conventionally measured conditional deference across the twelve models for which the share is defined (range 0% to 75%). The share is large exactly where the model's own stance-free answers are unstable: 75% for Ministral 3B, 53% for Llama-3.1 8B, 42% for Ministral 8B, 24% for Llama-3.1 70B and 21% for Ministral 14B; for the other seven it is 10% or less. The baseline ρ is above zero for 10 of the fourteen models, and across models the rank correlation between ν and the share removed is 0.90 (95% interval 0.80 to 0.95; n = 12). H1 is supported. ρ differs from ν by -0.03 to +0.05, so a neutral sentence adds at most a few points to run-to-run instability. Two limits apply. For Opus 5.5 and Fable 5.1 both ρ and f(e*) are zero, so there is nothing to correct. And for the most deferential models the correction is small in relative terms: Gemma-3 12B follows the stance on 99.5% of stems and its s* is 0.91.</w:t>
      </w:r>
    </w:p>
    <w:p>
      <w:pPr>
        <w:pStyle w:val="Heading3"/>
      </w:pPr>
      <w:r>
        <w:t xml:space="preserve">6.2 Deference or evidence-weighing?</w:t>
      </w:r>
    </w:p>
    <w:p>
      <w:pPr>
        <w:pStyle w:val="TableCaption"/>
        <w:keepNext/>
      </w:pPr>
      <w:r>
        <w:rPr>
          <w:b/>
          <w:bCs/>
        </w:rPr>
        <w:t xml:space="preserve">Table 3. </w:t>
      </w:r>
      <w:r>
        <w:t xml:space="preserve">Gradients in claimed evidence, disclosed accuracy and disclaimer, and classification by the fixed rule</w:t>
      </w:r>
    </w:p>
    <w:tbl>
      <w:tblPr>
        <w:tblW w:w="9360" w:type="dxa"/>
        <w:tblLayout w:type="fixed"/>
        <w:tblCellMar>
          <w:left w:w="60" w:type="dxa"/>
          <w:right w:w="60" w:type="dxa"/>
        </w:tblCellMar>
      </w:tblPr>
      <w:tblGrid>
        <w:gridCol w:w="1250"/>
        <w:gridCol w:w="560"/>
        <w:gridCol w:w="560"/>
        <w:gridCol w:w="600"/>
        <w:gridCol w:w="700"/>
        <w:gridCol w:w="1380"/>
        <w:gridCol w:w="1380"/>
        <w:gridCol w:w="1480"/>
        <w:gridCol w:w="1450"/>
      </w:tblGrid>
      <w:tr>
        <w:trPr>
          <w:cantSplit/>
          <w:tblHeader/>
        </w:trPr>
        <w:tc>
          <w:tcPr>
            <w:tcW w:w="1250" w:type="dxa"/>
            <w:tcBorders>
              <w:top w:val="single" w:sz="8" w:space="0" w:color="000000"/>
              <w:bottom w:val="single" w:sz="4" w:space="0" w:color="000000"/>
            </w:tcBorders>
          </w:tcPr>
          <w:p>
            <w:pPr>
              <w:pStyle w:val="Compact"/>
              <w:spacing w:before="30" w:after="30"/>
            </w:pPr>
            <w:r>
              <w:rPr>
                <w:b/>
                <w:bCs/>
                <w:sz w:val="16"/>
              </w:rPr>
              <w:t xml:space="preserve">Model</w:t>
            </w:r>
          </w:p>
        </w:tc>
        <w:tc>
          <w:tcPr>
            <w:tcW w:w="560" w:type="dxa"/>
            <w:tcBorders>
              <w:top w:val="single" w:sz="8" w:space="0" w:color="000000"/>
              <w:bottom w:val="single" w:sz="4" w:space="0" w:color="000000"/>
            </w:tcBorders>
          </w:tcPr>
          <w:p>
            <w:pPr>
              <w:pStyle w:val="Compact"/>
              <w:spacing w:before="30" w:after="30"/>
            </w:pPr>
            <w:r>
              <w:rPr>
                <w:b/>
                <w:bCs/>
                <w:sz w:val="16"/>
              </w:rPr>
              <w:t xml:space="preserve">f pref</w:t>
            </w:r>
          </w:p>
        </w:tc>
        <w:tc>
          <w:tcPr>
            <w:tcW w:w="560" w:type="dxa"/>
            <w:tcBorders>
              <w:top w:val="single" w:sz="8" w:space="0" w:color="000000"/>
              <w:bottom w:val="single" w:sz="4" w:space="0" w:color="000000"/>
            </w:tcBorders>
          </w:tcPr>
          <w:p>
            <w:pPr>
              <w:pStyle w:val="Compact"/>
              <w:spacing w:before="30" w:after="30"/>
            </w:pPr>
            <w:r>
              <w:rPr>
                <w:b/>
                <w:bCs/>
                <w:sz w:val="16"/>
              </w:rPr>
              <w:t xml:space="preserve">f weak</w:t>
            </w:r>
          </w:p>
        </w:tc>
        <w:tc>
          <w:tcPr>
            <w:tcW w:w="600" w:type="dxa"/>
            <w:tcBorders>
              <w:top w:val="single" w:sz="8" w:space="0" w:color="000000"/>
              <w:bottom w:val="single" w:sz="4" w:space="0" w:color="000000"/>
            </w:tcBorders>
          </w:tcPr>
          <w:p>
            <w:pPr>
              <w:pStyle w:val="Compact"/>
              <w:spacing w:before="30" w:after="30"/>
            </w:pPr>
            <w:r>
              <w:rPr>
                <w:b/>
                <w:bCs/>
                <w:sz w:val="16"/>
              </w:rPr>
              <w:t xml:space="preserve">f strong</w:t>
            </w:r>
          </w:p>
        </w:tc>
        <w:tc>
          <w:tcPr>
            <w:tcW w:w="700" w:type="dxa"/>
            <w:tcBorders>
              <w:top w:val="single" w:sz="8" w:space="0" w:color="000000"/>
              <w:bottom w:val="single" w:sz="4" w:space="0" w:color="000000"/>
            </w:tcBorders>
          </w:tcPr>
          <w:p>
            <w:pPr>
              <w:pStyle w:val="Compact"/>
              <w:spacing w:before="30" w:after="30"/>
            </w:pPr>
            <w:r>
              <w:rPr>
                <w:b/>
                <w:bCs/>
                <w:sz w:val="16"/>
              </w:rPr>
              <w:t xml:space="preserve">f disc.</w:t>
            </w:r>
          </w:p>
        </w:tc>
        <w:tc>
          <w:tcPr>
            <w:tcW w:w="1380" w:type="dxa"/>
            <w:tcBorders>
              <w:top w:val="single" w:sz="8" w:space="0" w:color="000000"/>
              <w:bottom w:val="single" w:sz="4" w:space="0" w:color="000000"/>
            </w:tcBorders>
          </w:tcPr>
          <w:p>
            <w:pPr>
              <w:pStyle w:val="Compact"/>
              <w:spacing w:before="30" w:after="30"/>
            </w:pPr>
            <w:r>
              <w:rPr>
                <w:b/>
                <w:bCs/>
                <w:sz w:val="16"/>
              </w:rPr>
              <w:t xml:space="preserve">Evidence slope [CI]</w:t>
            </w:r>
          </w:p>
        </w:tc>
        <w:tc>
          <w:tcPr>
            <w:tcW w:w="1380" w:type="dxa"/>
            <w:tcBorders>
              <w:top w:val="single" w:sz="8" w:space="0" w:color="000000"/>
              <w:bottom w:val="single" w:sz="4" w:space="0" w:color="000000"/>
            </w:tcBorders>
          </w:tcPr>
          <w:p>
            <w:pPr>
              <w:pStyle w:val="Compact"/>
              <w:spacing w:before="30" w:after="30"/>
            </w:pPr>
            <w:r>
              <w:rPr>
                <w:b/>
                <w:bCs/>
                <w:sz w:val="16"/>
              </w:rPr>
              <w:t xml:space="preserve">Accuracy slope [CI]</w:t>
            </w:r>
          </w:p>
        </w:tc>
        <w:tc>
          <w:tcPr>
            <w:tcW w:w="1480" w:type="dxa"/>
            <w:tcBorders>
              <w:top w:val="single" w:sz="8" w:space="0" w:color="000000"/>
              <w:bottom w:val="single" w:sz="4" w:space="0" w:color="000000"/>
            </w:tcBorders>
          </w:tcPr>
          <w:p>
            <w:pPr>
              <w:pStyle w:val="Compact"/>
              <w:spacing w:before="30" w:after="30"/>
            </w:pPr>
            <w:r>
              <w:rPr>
                <w:b/>
                <w:bCs/>
                <w:sz w:val="16"/>
              </w:rPr>
              <w:t xml:space="preserve">Disclaimer effect [CI]</w:t>
            </w:r>
          </w:p>
        </w:tc>
        <w:tc>
          <w:tcPr>
            <w:tcW w:w="1450" w:type="dxa"/>
            <w:tcBorders>
              <w:top w:val="single" w:sz="8" w:space="0" w:color="000000"/>
              <w:bottom w:val="single" w:sz="4" w:space="0" w:color="000000"/>
            </w:tcBorders>
          </w:tcPr>
          <w:p>
            <w:pPr>
              <w:pStyle w:val="Compact"/>
              <w:spacing w:before="30" w:after="30"/>
            </w:pPr>
            <w:r>
              <w:rPr>
                <w:b/>
                <w:bCs/>
                <w:sz w:val="16"/>
              </w:rPr>
              <w:t xml:space="preserve">Class</w:t>
            </w:r>
          </w:p>
        </w:tc>
      </w:tr>
      <w:tr>
        <w:trPr>
          <w:cantSplit/>
        </w:trPr>
        <w:tc>
          <w:tcPr>
            <w:tcW w:w="1250" w:type="dxa"/>
          </w:tcPr>
          <w:p>
            <w:pPr>
              <w:pStyle w:val="Compact"/>
              <w:spacing w:before="30" w:after="30"/>
            </w:pPr>
            <w:r>
              <w:rPr>
                <w:b/>
                <w:bCs/>
                <w:sz w:val="16"/>
              </w:rPr>
              <w:t xml:space="preserve">Haiku 4.5</w:t>
            </w:r>
          </w:p>
        </w:tc>
        <w:tc>
          <w:tcPr>
            <w:tcW w:w="560" w:type="dxa"/>
          </w:tcPr>
          <w:p>
            <w:pPr>
              <w:pStyle w:val="Compact"/>
              <w:spacing w:before="30" w:after="30"/>
            </w:pPr>
            <w:r>
              <w:rPr>
                <w:sz w:val="16"/>
              </w:rPr>
              <w:t xml:space="preserve">0.10</w:t>
            </w:r>
          </w:p>
        </w:tc>
        <w:tc>
          <w:tcPr>
            <w:tcW w:w="560" w:type="dxa"/>
          </w:tcPr>
          <w:p>
            <w:pPr>
              <w:pStyle w:val="Compact"/>
              <w:spacing w:before="30" w:after="30"/>
            </w:pPr>
            <w:r>
              <w:rPr>
                <w:sz w:val="16"/>
              </w:rPr>
              <w:t xml:space="preserve">0.14</w:t>
            </w:r>
          </w:p>
        </w:tc>
        <w:tc>
          <w:tcPr>
            <w:tcW w:w="600" w:type="dxa"/>
          </w:tcPr>
          <w:p>
            <w:pPr>
              <w:pStyle w:val="Compact"/>
              <w:spacing w:before="30" w:after="30"/>
            </w:pPr>
            <w:r>
              <w:rPr>
                <w:sz w:val="16"/>
              </w:rPr>
              <w:t xml:space="preserve">0.29</w:t>
            </w:r>
          </w:p>
        </w:tc>
        <w:tc>
          <w:tcPr>
            <w:tcW w:w="700" w:type="dxa"/>
          </w:tcPr>
          <w:p>
            <w:pPr>
              <w:pStyle w:val="Compact"/>
              <w:spacing w:before="30" w:after="30"/>
            </w:pPr>
            <w:r>
              <w:rPr>
                <w:sz w:val="16"/>
              </w:rPr>
              <w:t xml:space="preserve">0.03</w:t>
            </w:r>
          </w:p>
        </w:tc>
        <w:tc>
          <w:tcPr>
            <w:tcW w:w="1380" w:type="dxa"/>
          </w:tcPr>
          <w:p>
            <w:pPr>
              <w:pStyle w:val="Compact"/>
              <w:spacing w:before="30" w:after="30"/>
            </w:pPr>
            <w:r>
              <w:rPr>
                <w:sz w:val="16"/>
              </w:rPr>
              <w:t xml:space="preserve">0.09 [0.07, 0.11]</w:t>
            </w:r>
          </w:p>
        </w:tc>
        <w:tc>
          <w:tcPr>
            <w:tcW w:w="1380" w:type="dxa"/>
          </w:tcPr>
          <w:p>
            <w:pPr>
              <w:pStyle w:val="Compact"/>
              <w:spacing w:before="30" w:after="30"/>
            </w:pPr>
            <w:r>
              <w:rPr>
                <w:sz w:val="16"/>
              </w:rPr>
              <w:t xml:space="preserve">0.02 [0.00, 0.03]</w:t>
            </w:r>
          </w:p>
        </w:tc>
        <w:tc>
          <w:tcPr>
            <w:tcW w:w="1480" w:type="dxa"/>
          </w:tcPr>
          <w:p>
            <w:pPr>
              <w:pStyle w:val="Compact"/>
              <w:spacing w:before="30" w:after="30"/>
            </w:pPr>
            <w:r>
              <w:rPr>
                <w:sz w:val="16"/>
              </w:rPr>
              <w:t xml:space="preserve">-0.08 [-0.10, -0.05]</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Sonnet 5.5</w:t>
            </w:r>
          </w:p>
        </w:tc>
        <w:tc>
          <w:tcPr>
            <w:tcW w:w="560" w:type="dxa"/>
          </w:tcPr>
          <w:p>
            <w:pPr>
              <w:pStyle w:val="Compact"/>
              <w:spacing w:before="30" w:after="30"/>
            </w:pPr>
            <w:r>
              <w:rPr>
                <w:sz w:val="16"/>
              </w:rPr>
              <w:t xml:space="preserve">0.02</w:t>
            </w:r>
          </w:p>
        </w:tc>
        <w:tc>
          <w:tcPr>
            <w:tcW w:w="560" w:type="dxa"/>
          </w:tcPr>
          <w:p>
            <w:pPr>
              <w:pStyle w:val="Compact"/>
              <w:spacing w:before="30" w:after="30"/>
            </w:pPr>
            <w:r>
              <w:rPr>
                <w:sz w:val="16"/>
              </w:rPr>
              <w:t xml:space="preserve">0.10</w:t>
            </w:r>
          </w:p>
        </w:tc>
        <w:tc>
          <w:tcPr>
            <w:tcW w:w="600" w:type="dxa"/>
          </w:tcPr>
          <w:p>
            <w:pPr>
              <w:pStyle w:val="Compact"/>
              <w:spacing w:before="30" w:after="30"/>
            </w:pPr>
            <w:r>
              <w:rPr>
                <w:sz w:val="16"/>
              </w:rPr>
              <w:t xml:space="preserve">0.09</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0.04 [0.02, 0.05]</w:t>
            </w:r>
          </w:p>
        </w:tc>
        <w:tc>
          <w:tcPr>
            <w:tcW w:w="1380" w:type="dxa"/>
          </w:tcPr>
          <w:p>
            <w:pPr>
              <w:pStyle w:val="Compact"/>
              <w:spacing w:before="30" w:after="30"/>
            </w:pPr>
            <w:r>
              <w:rPr>
                <w:sz w:val="16"/>
              </w:rPr>
              <w:t xml:space="preserve">0.00 [-0.01, 0.01]</w:t>
            </w:r>
          </w:p>
        </w:tc>
        <w:tc>
          <w:tcPr>
            <w:tcW w:w="1480" w:type="dxa"/>
          </w:tcPr>
          <w:p>
            <w:pPr>
              <w:pStyle w:val="Compact"/>
              <w:spacing w:before="30" w:after="30"/>
            </w:pPr>
            <w:r>
              <w:rPr>
                <w:sz w:val="16"/>
              </w:rPr>
              <w:t xml:space="preserve">-0.02 [-0.03, -0.01]</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Opus 5.5</w:t>
            </w:r>
          </w:p>
        </w:tc>
        <w:tc>
          <w:tcPr>
            <w:tcW w:w="560" w:type="dxa"/>
          </w:tcPr>
          <w:p>
            <w:pPr>
              <w:pStyle w:val="Compact"/>
              <w:spacing w:before="30" w:after="30"/>
            </w:pPr>
            <w:r>
              <w:rPr>
                <w:sz w:val="16"/>
              </w:rPr>
              <w:t xml:space="preserve">0.00</w:t>
            </w:r>
          </w:p>
        </w:tc>
        <w:tc>
          <w:tcPr>
            <w:tcW w:w="560" w:type="dxa"/>
          </w:tcPr>
          <w:p>
            <w:pPr>
              <w:pStyle w:val="Compact"/>
              <w:spacing w:before="30" w:after="30"/>
            </w:pPr>
            <w:r>
              <w:rPr>
                <w:sz w:val="16"/>
              </w:rPr>
              <w:t xml:space="preserve">0.00</w:t>
            </w:r>
          </w:p>
        </w:tc>
        <w:tc>
          <w:tcPr>
            <w:tcW w:w="600" w:type="dxa"/>
          </w:tcPr>
          <w:p>
            <w:pPr>
              <w:pStyle w:val="Compact"/>
              <w:spacing w:before="30" w:after="30"/>
            </w:pPr>
            <w:r>
              <w:rPr>
                <w:sz w:val="16"/>
              </w:rPr>
              <w:t xml:space="preserve">0.00</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0.00 [0.00, 0.00]</w:t>
            </w:r>
          </w:p>
        </w:tc>
        <w:tc>
          <w:tcPr>
            <w:tcW w:w="1380" w:type="dxa"/>
          </w:tcPr>
          <w:p>
            <w:pPr>
              <w:pStyle w:val="Compact"/>
              <w:spacing w:before="30" w:after="30"/>
            </w:pPr>
            <w:r>
              <w:rPr>
                <w:sz w:val="16"/>
              </w:rPr>
              <w:t xml:space="preserve">0.00 [0.00, 0.00]</w:t>
            </w:r>
          </w:p>
        </w:tc>
        <w:tc>
          <w:tcPr>
            <w:tcW w:w="1480" w:type="dxa"/>
          </w:tcPr>
          <w:p>
            <w:pPr>
              <w:pStyle w:val="Compact"/>
              <w:spacing w:before="30" w:after="30"/>
            </w:pPr>
            <w:r>
              <w:rPr>
                <w:sz w:val="16"/>
              </w:rPr>
              <w:t xml:space="preserve">0.00 [0.00, 0.00]</w:t>
            </w:r>
          </w:p>
        </w:tc>
        <w:tc>
          <w:tcPr>
            <w:tcW w:w="1450" w:type="dxa"/>
          </w:tcPr>
          <w:p>
            <w:pPr>
              <w:pStyle w:val="Compact"/>
              <w:spacing w:before="30" w:after="30"/>
            </w:pPr>
            <w:r>
              <w:rPr>
                <w:sz w:val="16"/>
              </w:rPr>
              <w:t xml:space="preserve">no effect†</w:t>
            </w:r>
          </w:p>
        </w:tc>
      </w:tr>
      <w:tr>
        <w:trPr>
          <w:cantSplit/>
        </w:trPr>
        <w:tc>
          <w:tcPr>
            <w:tcW w:w="1250" w:type="dxa"/>
          </w:tcPr>
          <w:p>
            <w:pPr>
              <w:pStyle w:val="Compact"/>
              <w:spacing w:before="30" w:after="30"/>
            </w:pPr>
            <w:r>
              <w:rPr>
                <w:b/>
                <w:bCs/>
                <w:sz w:val="16"/>
              </w:rPr>
              <w:t xml:space="preserve">Fable 5.1</w:t>
            </w:r>
          </w:p>
        </w:tc>
        <w:tc>
          <w:tcPr>
            <w:tcW w:w="560" w:type="dxa"/>
          </w:tcPr>
          <w:p>
            <w:pPr>
              <w:pStyle w:val="Compact"/>
              <w:spacing w:before="30" w:after="30"/>
            </w:pPr>
            <w:r>
              <w:rPr>
                <w:sz w:val="16"/>
              </w:rPr>
              <w:t xml:space="preserve">0.00</w:t>
            </w:r>
          </w:p>
        </w:tc>
        <w:tc>
          <w:tcPr>
            <w:tcW w:w="560" w:type="dxa"/>
          </w:tcPr>
          <w:p>
            <w:pPr>
              <w:pStyle w:val="Compact"/>
              <w:spacing w:before="30" w:after="30"/>
            </w:pPr>
            <w:r>
              <w:rPr>
                <w:sz w:val="16"/>
              </w:rPr>
              <w:t xml:space="preserve">0.00</w:t>
            </w:r>
          </w:p>
        </w:tc>
        <w:tc>
          <w:tcPr>
            <w:tcW w:w="600" w:type="dxa"/>
          </w:tcPr>
          <w:p>
            <w:pPr>
              <w:pStyle w:val="Compact"/>
              <w:spacing w:before="30" w:after="30"/>
            </w:pPr>
            <w:r>
              <w:rPr>
                <w:sz w:val="16"/>
              </w:rPr>
              <w:t xml:space="preserve">0.00</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0.00 [0.00, 0.00]</w:t>
            </w:r>
          </w:p>
        </w:tc>
        <w:tc>
          <w:tcPr>
            <w:tcW w:w="1380" w:type="dxa"/>
          </w:tcPr>
          <w:p>
            <w:pPr>
              <w:pStyle w:val="Compact"/>
              <w:spacing w:before="30" w:after="30"/>
            </w:pPr>
            <w:r>
              <w:rPr>
                <w:sz w:val="16"/>
              </w:rPr>
              <w:t xml:space="preserve">0.00 [0.00, 0.00]</w:t>
            </w:r>
          </w:p>
        </w:tc>
        <w:tc>
          <w:tcPr>
            <w:tcW w:w="1480" w:type="dxa"/>
          </w:tcPr>
          <w:p>
            <w:pPr>
              <w:pStyle w:val="Compact"/>
              <w:spacing w:before="30" w:after="30"/>
            </w:pPr>
            <w:r>
              <w:rPr>
                <w:sz w:val="16"/>
              </w:rPr>
              <w:t xml:space="preserve">0.00 [0.00, 0.00]</w:t>
            </w:r>
          </w:p>
        </w:tc>
        <w:tc>
          <w:tcPr>
            <w:tcW w:w="1450" w:type="dxa"/>
          </w:tcPr>
          <w:p>
            <w:pPr>
              <w:pStyle w:val="Compact"/>
              <w:spacing w:before="30" w:after="30"/>
            </w:pPr>
            <w:r>
              <w:rPr>
                <w:sz w:val="16"/>
              </w:rPr>
              <w:t xml:space="preserve">no effect†</w:t>
            </w:r>
          </w:p>
        </w:tc>
      </w:tr>
      <w:tr>
        <w:trPr>
          <w:cantSplit/>
        </w:trPr>
        <w:tc>
          <w:tcPr>
            <w:tcW w:w="1250" w:type="dxa"/>
          </w:tcPr>
          <w:p>
            <w:pPr>
              <w:pStyle w:val="Compact"/>
              <w:spacing w:before="30" w:after="30"/>
            </w:pPr>
            <w:r>
              <w:rPr>
                <w:b/>
                <w:bCs/>
                <w:sz w:val="16"/>
              </w:rPr>
              <w:t xml:space="preserve">Gemma-3 4B</w:t>
            </w:r>
          </w:p>
        </w:tc>
        <w:tc>
          <w:tcPr>
            <w:tcW w:w="560" w:type="dxa"/>
          </w:tcPr>
          <w:p>
            <w:pPr>
              <w:pStyle w:val="Compact"/>
              <w:spacing w:before="30" w:after="30"/>
            </w:pPr>
            <w:r>
              <w:rPr>
                <w:sz w:val="16"/>
              </w:rPr>
              <w:t xml:space="preserve">0.89</w:t>
            </w:r>
          </w:p>
        </w:tc>
        <w:tc>
          <w:tcPr>
            <w:tcW w:w="560" w:type="dxa"/>
          </w:tcPr>
          <w:p>
            <w:pPr>
              <w:pStyle w:val="Compact"/>
              <w:spacing w:before="30" w:after="30"/>
            </w:pPr>
            <w:r>
              <w:rPr>
                <w:sz w:val="16"/>
              </w:rPr>
              <w:t xml:space="preserve">0.69</w:t>
            </w:r>
          </w:p>
        </w:tc>
        <w:tc>
          <w:tcPr>
            <w:tcW w:w="600" w:type="dxa"/>
          </w:tcPr>
          <w:p>
            <w:pPr>
              <w:pStyle w:val="Compact"/>
              <w:spacing w:before="30" w:after="30"/>
            </w:pPr>
            <w:r>
              <w:rPr>
                <w:sz w:val="16"/>
              </w:rPr>
              <w:t xml:space="preserve">0.99</w:t>
            </w:r>
          </w:p>
        </w:tc>
        <w:tc>
          <w:tcPr>
            <w:tcW w:w="700" w:type="dxa"/>
          </w:tcPr>
          <w:p>
            <w:pPr>
              <w:pStyle w:val="Compact"/>
              <w:spacing w:before="30" w:after="30"/>
            </w:pPr>
            <w:r>
              <w:rPr>
                <w:sz w:val="16"/>
              </w:rPr>
              <w:t xml:space="preserve">0.80</w:t>
            </w:r>
          </w:p>
        </w:tc>
        <w:tc>
          <w:tcPr>
            <w:tcW w:w="1380" w:type="dxa"/>
          </w:tcPr>
          <w:p>
            <w:pPr>
              <w:pStyle w:val="Compact"/>
              <w:spacing w:before="30" w:after="30"/>
            </w:pPr>
            <w:r>
              <w:rPr>
                <w:sz w:val="16"/>
              </w:rPr>
              <w:t xml:space="preserve">0.05 [0.03, 0.07]</w:t>
            </w:r>
          </w:p>
        </w:tc>
        <w:tc>
          <w:tcPr>
            <w:tcW w:w="1380" w:type="dxa"/>
          </w:tcPr>
          <w:p>
            <w:pPr>
              <w:pStyle w:val="Compact"/>
              <w:spacing w:before="30" w:after="30"/>
            </w:pPr>
            <w:r>
              <w:rPr>
                <w:sz w:val="16"/>
              </w:rPr>
              <w:t xml:space="preserve">0.03 [-0.01, 0.06]</w:t>
            </w:r>
          </w:p>
        </w:tc>
        <w:tc>
          <w:tcPr>
            <w:tcW w:w="1480" w:type="dxa"/>
          </w:tcPr>
          <w:p>
            <w:pPr>
              <w:pStyle w:val="Compact"/>
              <w:spacing w:before="30" w:after="30"/>
            </w:pPr>
            <w:r>
              <w:rPr>
                <w:sz w:val="16"/>
              </w:rPr>
              <w:t xml:space="preserve">-0.09 [-0.14, -0.05]</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Gemma-3 12B</w:t>
            </w:r>
          </w:p>
        </w:tc>
        <w:tc>
          <w:tcPr>
            <w:tcW w:w="560" w:type="dxa"/>
          </w:tcPr>
          <w:p>
            <w:pPr>
              <w:pStyle w:val="Compact"/>
              <w:spacing w:before="30" w:after="30"/>
            </w:pPr>
            <w:r>
              <w:rPr>
                <w:sz w:val="16"/>
              </w:rPr>
              <w:t xml:space="preserve">1.00</w:t>
            </w:r>
          </w:p>
        </w:tc>
        <w:tc>
          <w:tcPr>
            <w:tcW w:w="560" w:type="dxa"/>
          </w:tcPr>
          <w:p>
            <w:pPr>
              <w:pStyle w:val="Compact"/>
              <w:spacing w:before="30" w:after="30"/>
            </w:pPr>
            <w:r>
              <w:rPr>
                <w:sz w:val="16"/>
              </w:rPr>
              <w:t xml:space="preserve">0.97</w:t>
            </w:r>
          </w:p>
        </w:tc>
        <w:tc>
          <w:tcPr>
            <w:tcW w:w="600" w:type="dxa"/>
          </w:tcPr>
          <w:p>
            <w:pPr>
              <w:pStyle w:val="Compact"/>
              <w:spacing w:before="30" w:after="30"/>
            </w:pPr>
            <w:r>
              <w:rPr>
                <w:sz w:val="16"/>
              </w:rPr>
              <w:t xml:space="preserve">1.00</w:t>
            </w:r>
          </w:p>
        </w:tc>
        <w:tc>
          <w:tcPr>
            <w:tcW w:w="700" w:type="dxa"/>
          </w:tcPr>
          <w:p>
            <w:pPr>
              <w:pStyle w:val="Compact"/>
              <w:spacing w:before="30" w:after="30"/>
            </w:pPr>
            <w:r>
              <w:rPr>
                <w:sz w:val="16"/>
              </w:rPr>
              <w:t xml:space="preserve">0.98</w:t>
            </w:r>
          </w:p>
        </w:tc>
        <w:tc>
          <w:tcPr>
            <w:tcW w:w="1380" w:type="dxa"/>
          </w:tcPr>
          <w:p>
            <w:pPr>
              <w:pStyle w:val="Compact"/>
              <w:spacing w:before="30" w:after="30"/>
            </w:pPr>
            <w:r>
              <w:rPr>
                <w:sz w:val="16"/>
              </w:rPr>
              <w:t xml:space="preserve">0.00 [-0.00, 0.01]</w:t>
            </w:r>
          </w:p>
        </w:tc>
        <w:tc>
          <w:tcPr>
            <w:tcW w:w="1380" w:type="dxa"/>
          </w:tcPr>
          <w:p>
            <w:pPr>
              <w:pStyle w:val="Compact"/>
              <w:spacing w:before="30" w:after="30"/>
            </w:pPr>
            <w:r>
              <w:rPr>
                <w:sz w:val="16"/>
              </w:rPr>
              <w:t xml:space="preserve">0.01 [0.00, 0.03]</w:t>
            </w:r>
          </w:p>
        </w:tc>
        <w:tc>
          <w:tcPr>
            <w:tcW w:w="1480" w:type="dxa"/>
          </w:tcPr>
          <w:p>
            <w:pPr>
              <w:pStyle w:val="Compact"/>
              <w:spacing w:before="30" w:after="30"/>
            </w:pPr>
            <w:r>
              <w:rPr>
                <w:sz w:val="16"/>
              </w:rPr>
              <w:t xml:space="preserve">-0.02 [-0.04, -0.00]</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Gemma-3 27B</w:t>
            </w:r>
          </w:p>
        </w:tc>
        <w:tc>
          <w:tcPr>
            <w:tcW w:w="560" w:type="dxa"/>
          </w:tcPr>
          <w:p>
            <w:pPr>
              <w:pStyle w:val="Compact"/>
              <w:spacing w:before="30" w:after="30"/>
            </w:pPr>
            <w:r>
              <w:rPr>
                <w:sz w:val="16"/>
              </w:rPr>
              <w:t xml:space="preserve">0.86</w:t>
            </w:r>
          </w:p>
        </w:tc>
        <w:tc>
          <w:tcPr>
            <w:tcW w:w="560" w:type="dxa"/>
          </w:tcPr>
          <w:p>
            <w:pPr>
              <w:pStyle w:val="Compact"/>
              <w:spacing w:before="30" w:after="30"/>
            </w:pPr>
            <w:r>
              <w:rPr>
                <w:sz w:val="16"/>
              </w:rPr>
              <w:t xml:space="preserve">0.89</w:t>
            </w:r>
          </w:p>
        </w:tc>
        <w:tc>
          <w:tcPr>
            <w:tcW w:w="600" w:type="dxa"/>
          </w:tcPr>
          <w:p>
            <w:pPr>
              <w:pStyle w:val="Compact"/>
              <w:spacing w:before="30" w:after="30"/>
            </w:pPr>
            <w:r>
              <w:rPr>
                <w:sz w:val="16"/>
              </w:rPr>
              <w:t xml:space="preserve">1.00</w:t>
            </w:r>
          </w:p>
        </w:tc>
        <w:tc>
          <w:tcPr>
            <w:tcW w:w="700" w:type="dxa"/>
          </w:tcPr>
          <w:p>
            <w:pPr>
              <w:pStyle w:val="Compact"/>
              <w:spacing w:before="30" w:after="30"/>
            </w:pPr>
            <w:r>
              <w:rPr>
                <w:sz w:val="16"/>
              </w:rPr>
              <w:t xml:space="preserve">0.64</w:t>
            </w:r>
          </w:p>
        </w:tc>
        <w:tc>
          <w:tcPr>
            <w:tcW w:w="1380" w:type="dxa"/>
          </w:tcPr>
          <w:p>
            <w:pPr>
              <w:pStyle w:val="Compact"/>
              <w:spacing w:before="30" w:after="30"/>
            </w:pPr>
            <w:r>
              <w:rPr>
                <w:sz w:val="16"/>
              </w:rPr>
              <w:t xml:space="preserve">0.07 [0.05, 0.09]</w:t>
            </w:r>
          </w:p>
        </w:tc>
        <w:tc>
          <w:tcPr>
            <w:tcW w:w="1380" w:type="dxa"/>
          </w:tcPr>
          <w:p>
            <w:pPr>
              <w:pStyle w:val="Compact"/>
              <w:spacing w:before="30" w:after="30"/>
            </w:pPr>
            <w:r>
              <w:rPr>
                <w:sz w:val="16"/>
              </w:rPr>
              <w:t xml:space="preserve">0.04 [0.01, 0.08]</w:t>
            </w:r>
          </w:p>
        </w:tc>
        <w:tc>
          <w:tcPr>
            <w:tcW w:w="1480" w:type="dxa"/>
          </w:tcPr>
          <w:p>
            <w:pPr>
              <w:pStyle w:val="Compact"/>
              <w:spacing w:before="30" w:after="30"/>
            </w:pPr>
            <w:r>
              <w:rPr>
                <w:sz w:val="16"/>
              </w:rPr>
              <w:t xml:space="preserve">-0.22 [-0.27, -0.16]</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Llama-3.1 8B</w:t>
            </w:r>
          </w:p>
        </w:tc>
        <w:tc>
          <w:tcPr>
            <w:tcW w:w="560" w:type="dxa"/>
          </w:tcPr>
          <w:p>
            <w:pPr>
              <w:pStyle w:val="Compact"/>
              <w:spacing w:before="30" w:after="30"/>
            </w:pPr>
            <w:r>
              <w:rPr>
                <w:sz w:val="16"/>
              </w:rPr>
              <w:t xml:space="preserve">0.62</w:t>
            </w:r>
          </w:p>
        </w:tc>
        <w:tc>
          <w:tcPr>
            <w:tcW w:w="560" w:type="dxa"/>
          </w:tcPr>
          <w:p>
            <w:pPr>
              <w:pStyle w:val="Compact"/>
              <w:spacing w:before="30" w:after="30"/>
            </w:pPr>
            <w:r>
              <w:rPr>
                <w:sz w:val="16"/>
              </w:rPr>
              <w:t xml:space="preserve">0.55</w:t>
            </w:r>
          </w:p>
        </w:tc>
        <w:tc>
          <w:tcPr>
            <w:tcW w:w="600" w:type="dxa"/>
          </w:tcPr>
          <w:p>
            <w:pPr>
              <w:pStyle w:val="Compact"/>
              <w:spacing w:before="30" w:after="30"/>
            </w:pPr>
            <w:r>
              <w:rPr>
                <w:sz w:val="16"/>
              </w:rPr>
              <w:t xml:space="preserve">0.90</w:t>
            </w:r>
          </w:p>
        </w:tc>
        <w:tc>
          <w:tcPr>
            <w:tcW w:w="700" w:type="dxa"/>
          </w:tcPr>
          <w:p>
            <w:pPr>
              <w:pStyle w:val="Compact"/>
              <w:spacing w:before="30" w:after="30"/>
            </w:pPr>
            <w:r>
              <w:rPr>
                <w:sz w:val="16"/>
              </w:rPr>
              <w:t xml:space="preserve">0.57</w:t>
            </w:r>
          </w:p>
        </w:tc>
        <w:tc>
          <w:tcPr>
            <w:tcW w:w="1380" w:type="dxa"/>
          </w:tcPr>
          <w:p>
            <w:pPr>
              <w:pStyle w:val="Compact"/>
              <w:spacing w:before="30" w:after="30"/>
            </w:pPr>
            <w:r>
              <w:rPr>
                <w:sz w:val="16"/>
              </w:rPr>
              <w:t xml:space="preserve">0.14 [0.10, 0.17]</w:t>
            </w:r>
          </w:p>
        </w:tc>
        <w:tc>
          <w:tcPr>
            <w:tcW w:w="1380" w:type="dxa"/>
          </w:tcPr>
          <w:p>
            <w:pPr>
              <w:pStyle w:val="Compact"/>
              <w:spacing w:before="30" w:after="30"/>
            </w:pPr>
            <w:r>
              <w:rPr>
                <w:sz w:val="16"/>
              </w:rPr>
              <w:t xml:space="preserve">0.01 [-0.08, 0.10]</w:t>
            </w:r>
          </w:p>
        </w:tc>
        <w:tc>
          <w:tcPr>
            <w:tcW w:w="1480" w:type="dxa"/>
          </w:tcPr>
          <w:p>
            <w:pPr>
              <w:pStyle w:val="Compact"/>
              <w:spacing w:before="30" w:after="30"/>
            </w:pPr>
            <w:r>
              <w:rPr>
                <w:sz w:val="16"/>
              </w:rPr>
              <w:t xml:space="preserve">-0.05 [-0.14, 0.04]</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Llama-3.1 70B</w:t>
            </w:r>
          </w:p>
        </w:tc>
        <w:tc>
          <w:tcPr>
            <w:tcW w:w="560" w:type="dxa"/>
          </w:tcPr>
          <w:p>
            <w:pPr>
              <w:pStyle w:val="Compact"/>
              <w:spacing w:before="30" w:after="30"/>
            </w:pPr>
            <w:r>
              <w:rPr>
                <w:sz w:val="16"/>
              </w:rPr>
              <w:t xml:space="preserve">0.74</w:t>
            </w:r>
          </w:p>
        </w:tc>
        <w:tc>
          <w:tcPr>
            <w:tcW w:w="560" w:type="dxa"/>
          </w:tcPr>
          <w:p>
            <w:pPr>
              <w:pStyle w:val="Compact"/>
              <w:spacing w:before="30" w:after="30"/>
            </w:pPr>
            <w:r>
              <w:rPr>
                <w:sz w:val="16"/>
              </w:rPr>
              <w:t xml:space="preserve">0.49</w:t>
            </w:r>
          </w:p>
        </w:tc>
        <w:tc>
          <w:tcPr>
            <w:tcW w:w="600" w:type="dxa"/>
          </w:tcPr>
          <w:p>
            <w:pPr>
              <w:pStyle w:val="Compact"/>
              <w:spacing w:before="30" w:after="30"/>
            </w:pPr>
            <w:r>
              <w:rPr>
                <w:sz w:val="16"/>
              </w:rPr>
              <w:t xml:space="preserve">0.75</w:t>
            </w:r>
          </w:p>
        </w:tc>
        <w:tc>
          <w:tcPr>
            <w:tcW w:w="700" w:type="dxa"/>
          </w:tcPr>
          <w:p>
            <w:pPr>
              <w:pStyle w:val="Compact"/>
              <w:spacing w:before="30" w:after="30"/>
            </w:pPr>
            <w:r>
              <w:rPr>
                <w:sz w:val="16"/>
              </w:rPr>
              <w:t xml:space="preserve">0.62</w:t>
            </w:r>
          </w:p>
        </w:tc>
        <w:tc>
          <w:tcPr>
            <w:tcW w:w="1380" w:type="dxa"/>
          </w:tcPr>
          <w:p>
            <w:pPr>
              <w:pStyle w:val="Compact"/>
              <w:spacing w:before="30" w:after="30"/>
            </w:pPr>
            <w:r>
              <w:rPr>
                <w:sz w:val="16"/>
              </w:rPr>
              <w:t xml:space="preserve">0.01 [-0.03, 0.04]</w:t>
            </w:r>
          </w:p>
        </w:tc>
        <w:tc>
          <w:tcPr>
            <w:tcW w:w="1380" w:type="dxa"/>
          </w:tcPr>
          <w:p>
            <w:pPr>
              <w:pStyle w:val="Compact"/>
              <w:spacing w:before="30" w:after="30"/>
            </w:pPr>
            <w:r>
              <w:rPr>
                <w:sz w:val="16"/>
              </w:rPr>
              <w:t xml:space="preserve">0.07 [-0.00, 0.14]</w:t>
            </w:r>
          </w:p>
        </w:tc>
        <w:tc>
          <w:tcPr>
            <w:tcW w:w="1480" w:type="dxa"/>
          </w:tcPr>
          <w:p>
            <w:pPr>
              <w:pStyle w:val="Compact"/>
              <w:spacing w:before="30" w:after="30"/>
            </w:pPr>
            <w:r>
              <w:rPr>
                <w:sz w:val="16"/>
              </w:rPr>
              <w:t xml:space="preserve">-0.12 [-0.19, -0.05]</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Ministral 3B</w:t>
            </w:r>
          </w:p>
        </w:tc>
        <w:tc>
          <w:tcPr>
            <w:tcW w:w="560" w:type="dxa"/>
          </w:tcPr>
          <w:p>
            <w:pPr>
              <w:pStyle w:val="Compact"/>
              <w:spacing w:before="30" w:after="30"/>
            </w:pPr>
            <w:r>
              <w:rPr>
                <w:sz w:val="16"/>
              </w:rPr>
              <w:t xml:space="preserve">0.22</w:t>
            </w:r>
          </w:p>
        </w:tc>
        <w:tc>
          <w:tcPr>
            <w:tcW w:w="560" w:type="dxa"/>
          </w:tcPr>
          <w:p>
            <w:pPr>
              <w:pStyle w:val="Compact"/>
              <w:spacing w:before="30" w:after="30"/>
            </w:pPr>
            <w:r>
              <w:rPr>
                <w:sz w:val="16"/>
              </w:rPr>
              <w:t xml:space="preserve">0.21</w:t>
            </w:r>
          </w:p>
        </w:tc>
        <w:tc>
          <w:tcPr>
            <w:tcW w:w="600" w:type="dxa"/>
          </w:tcPr>
          <w:p>
            <w:pPr>
              <w:pStyle w:val="Compact"/>
              <w:spacing w:before="30" w:after="30"/>
            </w:pPr>
            <w:r>
              <w:rPr>
                <w:sz w:val="16"/>
              </w:rPr>
              <w:t xml:space="preserve">0.64</w:t>
            </w:r>
          </w:p>
        </w:tc>
        <w:tc>
          <w:tcPr>
            <w:tcW w:w="700" w:type="dxa"/>
          </w:tcPr>
          <w:p>
            <w:pPr>
              <w:pStyle w:val="Compact"/>
              <w:spacing w:before="30" w:after="30"/>
            </w:pPr>
            <w:r>
              <w:rPr>
                <w:sz w:val="16"/>
              </w:rPr>
              <w:t xml:space="preserve">0.15</w:t>
            </w:r>
          </w:p>
        </w:tc>
        <w:tc>
          <w:tcPr>
            <w:tcW w:w="1380" w:type="dxa"/>
          </w:tcPr>
          <w:p>
            <w:pPr>
              <w:pStyle w:val="Compact"/>
              <w:spacing w:before="30" w:after="30"/>
            </w:pPr>
            <w:r>
              <w:rPr>
                <w:sz w:val="16"/>
              </w:rPr>
              <w:t xml:space="preserve">0.21 [0.17, 0.25]</w:t>
            </w:r>
          </w:p>
        </w:tc>
        <w:tc>
          <w:tcPr>
            <w:tcW w:w="1380" w:type="dxa"/>
          </w:tcPr>
          <w:p>
            <w:pPr>
              <w:pStyle w:val="Compact"/>
              <w:spacing w:before="30" w:after="30"/>
            </w:pPr>
            <w:r>
              <w:rPr>
                <w:sz w:val="16"/>
              </w:rPr>
              <w:t xml:space="preserve">0.07 [0.01, 0.13]</w:t>
            </w:r>
          </w:p>
        </w:tc>
        <w:tc>
          <w:tcPr>
            <w:tcW w:w="1480" w:type="dxa"/>
          </w:tcPr>
          <w:p>
            <w:pPr>
              <w:pStyle w:val="Compact"/>
              <w:spacing w:before="30" w:after="30"/>
            </w:pPr>
            <w:r>
              <w:rPr>
                <w:sz w:val="16"/>
              </w:rPr>
              <w:t xml:space="preserve">-0.08 [-0.13, -0.02]</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Ministral 8B</w:t>
            </w:r>
          </w:p>
        </w:tc>
        <w:tc>
          <w:tcPr>
            <w:tcW w:w="560" w:type="dxa"/>
          </w:tcPr>
          <w:p>
            <w:pPr>
              <w:pStyle w:val="Compact"/>
              <w:spacing w:before="30" w:after="30"/>
            </w:pPr>
            <w:r>
              <w:rPr>
                <w:sz w:val="16"/>
              </w:rPr>
              <w:t xml:space="preserve">0.40</w:t>
            </w:r>
          </w:p>
        </w:tc>
        <w:tc>
          <w:tcPr>
            <w:tcW w:w="560" w:type="dxa"/>
          </w:tcPr>
          <w:p>
            <w:pPr>
              <w:pStyle w:val="Compact"/>
              <w:spacing w:before="30" w:after="30"/>
            </w:pPr>
            <w:r>
              <w:rPr>
                <w:sz w:val="16"/>
              </w:rPr>
              <w:t xml:space="preserve">0.66</w:t>
            </w:r>
          </w:p>
        </w:tc>
        <w:tc>
          <w:tcPr>
            <w:tcW w:w="600" w:type="dxa"/>
          </w:tcPr>
          <w:p>
            <w:pPr>
              <w:pStyle w:val="Compact"/>
              <w:spacing w:before="30" w:after="30"/>
            </w:pPr>
            <w:r>
              <w:rPr>
                <w:sz w:val="16"/>
              </w:rPr>
              <w:t xml:space="preserve">0.91</w:t>
            </w:r>
          </w:p>
        </w:tc>
        <w:tc>
          <w:tcPr>
            <w:tcW w:w="700" w:type="dxa"/>
          </w:tcPr>
          <w:p>
            <w:pPr>
              <w:pStyle w:val="Compact"/>
              <w:spacing w:before="30" w:after="30"/>
            </w:pPr>
            <w:r>
              <w:rPr>
                <w:sz w:val="16"/>
              </w:rPr>
              <w:t xml:space="preserve">0.26</w:t>
            </w:r>
          </w:p>
        </w:tc>
        <w:tc>
          <w:tcPr>
            <w:tcW w:w="1380" w:type="dxa"/>
          </w:tcPr>
          <w:p>
            <w:pPr>
              <w:pStyle w:val="Compact"/>
              <w:spacing w:before="30" w:after="30"/>
            </w:pPr>
            <w:r>
              <w:rPr>
                <w:sz w:val="16"/>
              </w:rPr>
              <w:t xml:space="preserve">0.26 [0.22, 0.29]</w:t>
            </w:r>
          </w:p>
        </w:tc>
        <w:tc>
          <w:tcPr>
            <w:tcW w:w="1380" w:type="dxa"/>
          </w:tcPr>
          <w:p>
            <w:pPr>
              <w:pStyle w:val="Compact"/>
              <w:spacing w:before="30" w:after="30"/>
            </w:pPr>
            <w:r>
              <w:rPr>
                <w:sz w:val="16"/>
              </w:rPr>
              <w:t xml:space="preserve">0.22 [0.16, 0.29]</w:t>
            </w:r>
          </w:p>
        </w:tc>
        <w:tc>
          <w:tcPr>
            <w:tcW w:w="1480" w:type="dxa"/>
          </w:tcPr>
          <w:p>
            <w:pPr>
              <w:pStyle w:val="Compact"/>
              <w:spacing w:before="30" w:after="30"/>
            </w:pPr>
            <w:r>
              <w:rPr>
                <w:sz w:val="16"/>
              </w:rPr>
              <w:t xml:space="preserve">-0.14 [-0.20, -0.08]</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Ministral 14B</w:t>
            </w:r>
          </w:p>
        </w:tc>
        <w:tc>
          <w:tcPr>
            <w:tcW w:w="560" w:type="dxa"/>
          </w:tcPr>
          <w:p>
            <w:pPr>
              <w:pStyle w:val="Compact"/>
              <w:spacing w:before="30" w:after="30"/>
            </w:pPr>
            <w:r>
              <w:rPr>
                <w:sz w:val="16"/>
              </w:rPr>
              <w:t xml:space="preserve">0.51</w:t>
            </w:r>
          </w:p>
        </w:tc>
        <w:tc>
          <w:tcPr>
            <w:tcW w:w="560" w:type="dxa"/>
          </w:tcPr>
          <w:p>
            <w:pPr>
              <w:pStyle w:val="Compact"/>
              <w:spacing w:before="30" w:after="30"/>
            </w:pPr>
            <w:r>
              <w:rPr>
                <w:sz w:val="16"/>
              </w:rPr>
              <w:t xml:space="preserve">0.51</w:t>
            </w:r>
          </w:p>
        </w:tc>
        <w:tc>
          <w:tcPr>
            <w:tcW w:w="600" w:type="dxa"/>
          </w:tcPr>
          <w:p>
            <w:pPr>
              <w:pStyle w:val="Compact"/>
              <w:spacing w:before="30" w:after="30"/>
            </w:pPr>
            <w:r>
              <w:rPr>
                <w:sz w:val="16"/>
              </w:rPr>
              <w:t xml:space="preserve">0.86</w:t>
            </w:r>
          </w:p>
        </w:tc>
        <w:tc>
          <w:tcPr>
            <w:tcW w:w="700" w:type="dxa"/>
          </w:tcPr>
          <w:p>
            <w:pPr>
              <w:pStyle w:val="Compact"/>
              <w:spacing w:before="30" w:after="30"/>
            </w:pPr>
            <w:r>
              <w:rPr>
                <w:sz w:val="16"/>
              </w:rPr>
              <w:t xml:space="preserve">0.41</w:t>
            </w:r>
          </w:p>
        </w:tc>
        <w:tc>
          <w:tcPr>
            <w:tcW w:w="1380" w:type="dxa"/>
          </w:tcPr>
          <w:p>
            <w:pPr>
              <w:pStyle w:val="Compact"/>
              <w:spacing w:before="30" w:after="30"/>
            </w:pPr>
            <w:r>
              <w:rPr>
                <w:sz w:val="16"/>
              </w:rPr>
              <w:t xml:space="preserve">0.17 [0.15, 0.20]</w:t>
            </w:r>
          </w:p>
        </w:tc>
        <w:tc>
          <w:tcPr>
            <w:tcW w:w="1380" w:type="dxa"/>
          </w:tcPr>
          <w:p>
            <w:pPr>
              <w:pStyle w:val="Compact"/>
              <w:spacing w:before="30" w:after="30"/>
            </w:pPr>
            <w:r>
              <w:rPr>
                <w:sz w:val="16"/>
              </w:rPr>
              <w:t xml:space="preserve">0.08 [0.03, 0.13]</w:t>
            </w:r>
          </w:p>
        </w:tc>
        <w:tc>
          <w:tcPr>
            <w:tcW w:w="1480" w:type="dxa"/>
          </w:tcPr>
          <w:p>
            <w:pPr>
              <w:pStyle w:val="Compact"/>
              <w:spacing w:before="30" w:after="30"/>
            </w:pPr>
            <w:r>
              <w:rPr>
                <w:sz w:val="16"/>
              </w:rPr>
              <w:t xml:space="preserve">-0.10 [-0.15, -0.05]</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Qwen2.5 7B</w:t>
            </w:r>
          </w:p>
        </w:tc>
        <w:tc>
          <w:tcPr>
            <w:tcW w:w="560" w:type="dxa"/>
          </w:tcPr>
          <w:p>
            <w:pPr>
              <w:pStyle w:val="Compact"/>
              <w:spacing w:before="30" w:after="30"/>
            </w:pPr>
            <w:r>
              <w:rPr>
                <w:sz w:val="16"/>
              </w:rPr>
              <w:t xml:space="preserve">0.73</w:t>
            </w:r>
          </w:p>
        </w:tc>
        <w:tc>
          <w:tcPr>
            <w:tcW w:w="560" w:type="dxa"/>
          </w:tcPr>
          <w:p>
            <w:pPr>
              <w:pStyle w:val="Compact"/>
              <w:spacing w:before="30" w:after="30"/>
            </w:pPr>
            <w:r>
              <w:rPr>
                <w:sz w:val="16"/>
              </w:rPr>
              <w:t xml:space="preserve">0.74</w:t>
            </w:r>
          </w:p>
        </w:tc>
        <w:tc>
          <w:tcPr>
            <w:tcW w:w="600" w:type="dxa"/>
          </w:tcPr>
          <w:p>
            <w:pPr>
              <w:pStyle w:val="Compact"/>
              <w:spacing w:before="30" w:after="30"/>
            </w:pPr>
            <w:r>
              <w:rPr>
                <w:sz w:val="16"/>
              </w:rPr>
              <w:t xml:space="preserve">0.77</w:t>
            </w:r>
          </w:p>
        </w:tc>
        <w:tc>
          <w:tcPr>
            <w:tcW w:w="700" w:type="dxa"/>
          </w:tcPr>
          <w:p>
            <w:pPr>
              <w:pStyle w:val="Compact"/>
              <w:spacing w:before="30" w:after="30"/>
            </w:pPr>
            <w:r>
              <w:rPr>
                <w:sz w:val="16"/>
              </w:rPr>
              <w:t xml:space="preserve">0.66</w:t>
            </w:r>
          </w:p>
        </w:tc>
        <w:tc>
          <w:tcPr>
            <w:tcW w:w="1380" w:type="dxa"/>
          </w:tcPr>
          <w:p>
            <w:pPr>
              <w:pStyle w:val="Compact"/>
              <w:spacing w:before="30" w:after="30"/>
            </w:pPr>
            <w:r>
              <w:rPr>
                <w:sz w:val="16"/>
              </w:rPr>
              <w:t xml:space="preserve">0.02 [0.01, 0.04]</w:t>
            </w:r>
          </w:p>
        </w:tc>
        <w:tc>
          <w:tcPr>
            <w:tcW w:w="1380" w:type="dxa"/>
          </w:tcPr>
          <w:p>
            <w:pPr>
              <w:pStyle w:val="Compact"/>
              <w:spacing w:before="30" w:after="30"/>
            </w:pPr>
            <w:r>
              <w:rPr>
                <w:sz w:val="16"/>
              </w:rPr>
              <w:t xml:space="preserve">0.01 [-0.01, 0.03]</w:t>
            </w:r>
          </w:p>
        </w:tc>
        <w:tc>
          <w:tcPr>
            <w:tcW w:w="1480" w:type="dxa"/>
          </w:tcPr>
          <w:p>
            <w:pPr>
              <w:pStyle w:val="Compact"/>
              <w:spacing w:before="30" w:after="30"/>
            </w:pPr>
            <w:r>
              <w:rPr>
                <w:sz w:val="16"/>
              </w:rPr>
              <w:t xml:space="preserve">-0.08 [-0.12, -0.03]</w:t>
            </w:r>
          </w:p>
        </w:tc>
        <w:tc>
          <w:tcPr>
            <w:tcW w:w="1450" w:type="dxa"/>
          </w:tcPr>
          <w:p>
            <w:pPr>
              <w:pStyle w:val="Compact"/>
              <w:spacing w:before="30" w:after="30"/>
            </w:pPr>
            <w:r>
              <w:rPr>
                <w:sz w:val="16"/>
              </w:rPr>
              <w:t xml:space="preserve">mixed</w:t>
            </w:r>
          </w:p>
        </w:tc>
      </w:tr>
      <w:tr>
        <w:trPr>
          <w:cantSplit/>
        </w:trPr>
        <w:tc>
          <w:tcPr>
            <w:tcW w:w="1250" w:type="dxa"/>
            <w:tcBorders>
              <w:bottom w:val="single" w:sz="8" w:space="0" w:color="000000"/>
            </w:tcBorders>
          </w:tcPr>
          <w:p>
            <w:pPr>
              <w:pStyle w:val="Compact"/>
              <w:spacing w:before="30" w:after="30"/>
            </w:pPr>
            <w:r>
              <w:rPr>
                <w:b/>
                <w:bCs/>
                <w:sz w:val="16"/>
              </w:rPr>
              <w:t xml:space="preserve">Qwen2.5 72B</w:t>
            </w:r>
          </w:p>
        </w:tc>
        <w:tc>
          <w:tcPr>
            <w:tcW w:w="560" w:type="dxa"/>
            <w:tcBorders>
              <w:bottom w:val="single" w:sz="8" w:space="0" w:color="000000"/>
            </w:tcBorders>
          </w:tcPr>
          <w:p>
            <w:pPr>
              <w:pStyle w:val="Compact"/>
              <w:spacing w:before="30" w:after="30"/>
            </w:pPr>
            <w:r>
              <w:rPr>
                <w:sz w:val="16"/>
              </w:rPr>
              <w:t xml:space="preserve">0.65</w:t>
            </w:r>
          </w:p>
        </w:tc>
        <w:tc>
          <w:tcPr>
            <w:tcW w:w="560" w:type="dxa"/>
            <w:tcBorders>
              <w:bottom w:val="single" w:sz="8" w:space="0" w:color="000000"/>
            </w:tcBorders>
          </w:tcPr>
          <w:p>
            <w:pPr>
              <w:pStyle w:val="Compact"/>
              <w:spacing w:before="30" w:after="30"/>
            </w:pPr>
            <w:r>
              <w:rPr>
                <w:sz w:val="16"/>
              </w:rPr>
              <w:t xml:space="preserve">0.66</w:t>
            </w:r>
          </w:p>
        </w:tc>
        <w:tc>
          <w:tcPr>
            <w:tcW w:w="600" w:type="dxa"/>
            <w:tcBorders>
              <w:bottom w:val="single" w:sz="8" w:space="0" w:color="000000"/>
            </w:tcBorders>
          </w:tcPr>
          <w:p>
            <w:pPr>
              <w:pStyle w:val="Compact"/>
              <w:spacing w:before="30" w:after="30"/>
            </w:pPr>
            <w:r>
              <w:rPr>
                <w:sz w:val="16"/>
              </w:rPr>
              <w:t xml:space="preserve">0.79</w:t>
            </w:r>
          </w:p>
        </w:tc>
        <w:tc>
          <w:tcPr>
            <w:tcW w:w="700" w:type="dxa"/>
            <w:tcBorders>
              <w:bottom w:val="single" w:sz="8" w:space="0" w:color="000000"/>
            </w:tcBorders>
          </w:tcPr>
          <w:p>
            <w:pPr>
              <w:pStyle w:val="Compact"/>
              <w:spacing w:before="30" w:after="30"/>
            </w:pPr>
            <w:r>
              <w:rPr>
                <w:sz w:val="16"/>
              </w:rPr>
              <w:t xml:space="preserve">0.49</w:t>
            </w:r>
          </w:p>
        </w:tc>
        <w:tc>
          <w:tcPr>
            <w:tcW w:w="1380" w:type="dxa"/>
            <w:tcBorders>
              <w:bottom w:val="single" w:sz="8" w:space="0" w:color="000000"/>
            </w:tcBorders>
          </w:tcPr>
          <w:p>
            <w:pPr>
              <w:pStyle w:val="Compact"/>
              <w:spacing w:before="30" w:after="30"/>
            </w:pPr>
            <w:r>
              <w:rPr>
                <w:sz w:val="16"/>
              </w:rPr>
              <w:t xml:space="preserve">0.07 [0.05, 0.09]</w:t>
            </w:r>
          </w:p>
        </w:tc>
        <w:tc>
          <w:tcPr>
            <w:tcW w:w="1380" w:type="dxa"/>
            <w:tcBorders>
              <w:bottom w:val="single" w:sz="8" w:space="0" w:color="000000"/>
            </w:tcBorders>
          </w:tcPr>
          <w:p>
            <w:pPr>
              <w:pStyle w:val="Compact"/>
              <w:spacing w:before="30" w:after="30"/>
            </w:pPr>
            <w:r>
              <w:rPr>
                <w:sz w:val="16"/>
              </w:rPr>
              <w:t xml:space="preserve">0.09 [0.06, 0.13]</w:t>
            </w:r>
          </w:p>
        </w:tc>
        <w:tc>
          <w:tcPr>
            <w:tcW w:w="1480" w:type="dxa"/>
            <w:tcBorders>
              <w:bottom w:val="single" w:sz="8" w:space="0" w:color="000000"/>
            </w:tcBorders>
          </w:tcPr>
          <w:p>
            <w:pPr>
              <w:pStyle w:val="Compact"/>
              <w:spacing w:before="30" w:after="30"/>
            </w:pPr>
            <w:r>
              <w:rPr>
                <w:sz w:val="16"/>
              </w:rPr>
              <w:t xml:space="preserve">-0.17 [-0.21, -0.12]</w:t>
            </w:r>
          </w:p>
        </w:tc>
        <w:tc>
          <w:tcPr>
            <w:tcW w:w="1450" w:type="dxa"/>
            <w:tcBorders>
              <w:bottom w:val="single" w:sz="8" w:space="0" w:color="000000"/>
            </w:tcBorders>
          </w:tcPr>
          <w:p>
            <w:pPr>
              <w:pStyle w:val="Compact"/>
              <w:spacing w:before="30" w:after="30"/>
            </w:pPr>
            <w:r>
              <w:rPr>
                <w:sz w:val="16"/>
              </w:rPr>
              <w:t xml:space="preserve">evidence-weighing</w:t>
            </w:r>
          </w:p>
        </w:tc>
      </w:tr>
    </w:tbl>
    <w:p>
      <w:pPr>
        <w:pStyle w:val="BodyText"/>
        <w:spacing w:before="60"/>
      </w:pPr>
      <w:r>
        <w:rPr>
          <w:sz w:val="18"/>
        </w:rPr>
        <w:t xml:space="preserve">f(·) and f disc.: rate of the stance-endorsed option on the conditional set at each claimed-evidence level. Evidence slope: change in f per level across pref, weak and strong. Accuracy slope: f(80%) − f(20%). Disclaimer effect: f(disclaimer) − f(pref). † f(e) = 0 at every level, so the stance has no effect; the rule's deference label applies only mechanically and is not read as deference.</w:t>
      </w:r>
    </w:p>
    <w:p>
      <w:pPr>
        <w:pStyle w:val="BodyText"/>
      </w:pPr>
      <w:r>
        <w:t xml:space="preserve">By the fixed rule, 6 models are evidence-weighing-consistent (Haiku 4.5, Gemma-3 27B, Ministral 3B, Ministral 8B, Ministral 14B and Qwen2.5 72B), 6 are mixed or unclassified (Sonnet 5.5, Gemma-3 4B, Gemma-3 12B, Llama-3.1 8B, Llama-3.1 70B and Qwen2.5 7B), and no model with a nonzero stance effect is deference-consistent. Opus 5.5 and Fable 5.1 meet the deference rule only because f(e) is zero at every level; we do not read them as deferential. The disclaimer lowers f for 11 of the 12 models that follow the stance at all (by 0.02 to 0.22), the evidence slope is positive for 10, and the disclosed-accuracy slope is positive for 6. The gradients are, however, small relative to the level wherever the stance is followed most. Gemma-3 12B follows it on 0.97 to 1.00 of stems at every level including the disclaimer, and at a disclosed accuracy of 20% the ten open-weight models still follow a stance against the evidence on 0.19 to 0.98 of stems. The strongest responses to claimed evidence come from the Ministral models, where f rises from 0.22 to 0.64 (3B), 0.40 to 0.91 (8B) and 0.51 to 0.86 (14B) when the stance cites two reviewers. The classification is reported only where the intervals support it; the gradient identifies how the answer responds to claimed evidence, not the model's reason.</w:t>
      </w:r>
    </w:p>
    <w:p>
      <w:pPr>
        <w:pStyle w:val="Heading3"/>
      </w:pPr>
      <w:r>
        <w:t xml:space="preserve">6.3 Scale within families</w:t>
      </w:r>
    </w:p>
    <w:p>
      <w:pPr>
        <w:pStyle w:val="TableCaption"/>
        <w:keepNext/>
      </w:pPr>
      <w:r>
        <w:rPr>
          <w:b/>
          <w:bCs/>
        </w:rPr>
        <w:t xml:space="preserve">Table 4. </w:t>
      </w:r>
      <w:r>
        <w:t xml:space="preserve">Largest minus smallest model within each family</w:t>
      </w:r>
    </w:p>
    <w:tbl>
      <w:tblPr>
        <w:tblW w:w="9360" w:type="dxa"/>
        <w:tblLayout w:type="fixed"/>
        <w:tblCellMar>
          <w:left w:w="60" w:type="dxa"/>
          <w:right w:w="60" w:type="dxa"/>
        </w:tblCellMar>
      </w:tblPr>
      <w:tblGrid>
        <w:gridCol w:w="2800"/>
        <w:gridCol w:w="1650"/>
        <w:gridCol w:w="1650"/>
        <w:gridCol w:w="1650"/>
        <w:gridCol w:w="1610"/>
      </w:tblGrid>
      <w:tr>
        <w:trPr>
          <w:cantSplit/>
          <w:tblHeader/>
        </w:trPr>
        <w:tc>
          <w:tcPr>
            <w:tcW w:w="2800" w:type="dxa"/>
            <w:tcBorders>
              <w:top w:val="single" w:sz="8" w:space="0" w:color="000000"/>
              <w:bottom w:val="single" w:sz="4" w:space="0" w:color="000000"/>
            </w:tcBorders>
          </w:tcPr>
          <w:p>
            <w:pPr>
              <w:pStyle w:val="Compact"/>
              <w:spacing w:before="30" w:after="30"/>
            </w:pPr>
            <w:r>
              <w:rPr>
                <w:b/>
                <w:bCs/>
                <w:sz w:val="17"/>
              </w:rPr>
              <w:t xml:space="preserve">Family (large − small)</w:t>
            </w:r>
          </w:p>
        </w:tc>
        <w:tc>
          <w:tcPr>
            <w:tcW w:w="1650" w:type="dxa"/>
            <w:tcBorders>
              <w:top w:val="single" w:sz="8" w:space="0" w:color="000000"/>
              <w:bottom w:val="single" w:sz="4" w:space="0" w:color="000000"/>
            </w:tcBorders>
          </w:tcPr>
          <w:p>
            <w:pPr>
              <w:pStyle w:val="Compact"/>
              <w:spacing w:before="30" w:after="30"/>
            </w:pPr>
            <w:r>
              <w:rPr>
                <w:b/>
                <w:bCs/>
                <w:sz w:val="17"/>
              </w:rPr>
              <w:t xml:space="preserve">Δa</w:t>
            </w:r>
          </w:p>
        </w:tc>
        <w:tc>
          <w:tcPr>
            <w:tcW w:w="1650" w:type="dxa"/>
            <w:tcBorders>
              <w:top w:val="single" w:sz="8" w:space="0" w:color="000000"/>
              <w:bottom w:val="single" w:sz="4" w:space="0" w:color="000000"/>
            </w:tcBorders>
          </w:tcPr>
          <w:p>
            <w:pPr>
              <w:pStyle w:val="Compact"/>
              <w:spacing w:before="30" w:after="30"/>
            </w:pPr>
            <w:r>
              <w:rPr>
                <w:b/>
                <w:bCs/>
                <w:sz w:val="17"/>
              </w:rPr>
              <w:t xml:space="preserve">Δs*</w:t>
            </w:r>
          </w:p>
        </w:tc>
        <w:tc>
          <w:tcPr>
            <w:tcW w:w="1650" w:type="dxa"/>
            <w:tcBorders>
              <w:top w:val="single" w:sz="8" w:space="0" w:color="000000"/>
              <w:bottom w:val="single" w:sz="4" w:space="0" w:color="000000"/>
            </w:tcBorders>
          </w:tcPr>
          <w:p>
            <w:pPr>
              <w:pStyle w:val="Compact"/>
              <w:spacing w:before="30" w:after="30"/>
            </w:pPr>
            <w:r>
              <w:rPr>
                <w:b/>
                <w:bCs/>
                <w:sz w:val="17"/>
              </w:rPr>
              <w:t xml:space="preserve">Δν</w:t>
            </w:r>
          </w:p>
        </w:tc>
        <w:tc>
          <w:tcPr>
            <w:tcW w:w="1610" w:type="dxa"/>
            <w:tcBorders>
              <w:top w:val="single" w:sz="8" w:space="0" w:color="000000"/>
              <w:bottom w:val="single" w:sz="4" w:space="0" w:color="000000"/>
            </w:tcBorders>
          </w:tcPr>
          <w:p>
            <w:pPr>
              <w:pStyle w:val="Compact"/>
              <w:spacing w:before="30" w:after="30"/>
            </w:pPr>
            <w:r>
              <w:rPr>
                <w:b/>
                <w:bCs/>
                <w:sz w:val="17"/>
              </w:rPr>
              <w:t xml:space="preserve">Δ evidence slope</w:t>
            </w:r>
          </w:p>
        </w:tc>
      </w:tr>
      <w:tr>
        <w:trPr>
          <w:cantSplit/>
        </w:trPr>
        <w:tc>
          <w:tcPr>
            <w:tcW w:w="2800" w:type="dxa"/>
          </w:tcPr>
          <w:p>
            <w:pPr>
              <w:pStyle w:val="Compact"/>
              <w:spacing w:before="30" w:after="30"/>
            </w:pPr>
            <w:r>
              <w:rPr>
                <w:b/>
                <w:bCs/>
                <w:sz w:val="17"/>
              </w:rPr>
              <w:t xml:space="preserve">Claude (Fable 5.1 − Haiku 4.5)</w:t>
            </w:r>
          </w:p>
        </w:tc>
        <w:tc>
          <w:tcPr>
            <w:tcW w:w="1650" w:type="dxa"/>
          </w:tcPr>
          <w:p>
            <w:pPr>
              <w:pStyle w:val="Compact"/>
              <w:spacing w:before="30" w:after="30"/>
            </w:pPr>
            <w:r>
              <w:rPr>
                <w:sz w:val="17"/>
              </w:rPr>
              <w:t xml:space="preserve">+0.01 [+0.00, +0.01]</w:t>
            </w:r>
          </w:p>
        </w:tc>
        <w:tc>
          <w:tcPr>
            <w:tcW w:w="1650" w:type="dxa"/>
          </w:tcPr>
          <w:p>
            <w:pPr>
              <w:pStyle w:val="Compact"/>
              <w:spacing w:before="30" w:after="30"/>
            </w:pPr>
            <w:r>
              <w:rPr>
                <w:sz w:val="17"/>
              </w:rPr>
              <w:t xml:space="preserve">-0.10 [-0.13, -0.08]</w:t>
            </w:r>
          </w:p>
        </w:tc>
        <w:tc>
          <w:tcPr>
            <w:tcW w:w="1650" w:type="dxa"/>
          </w:tcPr>
          <w:p>
            <w:pPr>
              <w:pStyle w:val="Compact"/>
              <w:spacing w:before="30" w:after="30"/>
            </w:pPr>
            <w:r>
              <w:rPr>
                <w:sz w:val="17"/>
              </w:rPr>
              <w:t xml:space="preserve">-0.00 [-0.01, -0.00]</w:t>
            </w:r>
          </w:p>
        </w:tc>
        <w:tc>
          <w:tcPr>
            <w:tcW w:w="1610" w:type="dxa"/>
          </w:tcPr>
          <w:p>
            <w:pPr>
              <w:pStyle w:val="Compact"/>
              <w:spacing w:before="30" w:after="30"/>
            </w:pPr>
            <w:r>
              <w:rPr>
                <w:sz w:val="17"/>
              </w:rPr>
              <w:t xml:space="preserve">-0.09 [-0.11, -0.07]</w:t>
            </w:r>
          </w:p>
        </w:tc>
      </w:tr>
      <w:tr>
        <w:trPr>
          <w:cantSplit/>
        </w:trPr>
        <w:tc>
          <w:tcPr>
            <w:tcW w:w="2800" w:type="dxa"/>
          </w:tcPr>
          <w:p>
            <w:pPr>
              <w:pStyle w:val="Compact"/>
              <w:spacing w:before="30" w:after="30"/>
            </w:pPr>
            <w:r>
              <w:rPr>
                <w:b/>
                <w:bCs/>
                <w:sz w:val="17"/>
              </w:rPr>
              <w:t xml:space="preserve">Gemma (Gemma-3 27B − Gemma-3 4B)</w:t>
            </w:r>
          </w:p>
        </w:tc>
        <w:tc>
          <w:tcPr>
            <w:tcW w:w="1650" w:type="dxa"/>
          </w:tcPr>
          <w:p>
            <w:pPr>
              <w:pStyle w:val="Compact"/>
              <w:spacing w:before="30" w:after="30"/>
            </w:pPr>
            <w:r>
              <w:rPr>
                <w:sz w:val="17"/>
              </w:rPr>
              <w:t xml:space="preserve">+0.07 [+0.03, +0.12]</w:t>
            </w:r>
          </w:p>
        </w:tc>
        <w:tc>
          <w:tcPr>
            <w:tcW w:w="1650" w:type="dxa"/>
          </w:tcPr>
          <w:p>
            <w:pPr>
              <w:pStyle w:val="Compact"/>
              <w:spacing w:before="30" w:after="30"/>
            </w:pPr>
            <w:r>
              <w:rPr>
                <w:sz w:val="17"/>
              </w:rPr>
              <w:t xml:space="preserve">-0.06 [-0.13, +0.01]</w:t>
            </w:r>
          </w:p>
        </w:tc>
        <w:tc>
          <w:tcPr>
            <w:tcW w:w="1650" w:type="dxa"/>
          </w:tcPr>
          <w:p>
            <w:pPr>
              <w:pStyle w:val="Compact"/>
              <w:spacing w:before="30" w:after="30"/>
            </w:pPr>
            <w:r>
              <w:rPr>
                <w:sz w:val="17"/>
              </w:rPr>
              <w:t xml:space="preserve">+0.00 [-0.03, +0.03]</w:t>
            </w:r>
          </w:p>
        </w:tc>
        <w:tc>
          <w:tcPr>
            <w:tcW w:w="1610" w:type="dxa"/>
          </w:tcPr>
          <w:p>
            <w:pPr>
              <w:pStyle w:val="Compact"/>
              <w:spacing w:before="30" w:after="30"/>
            </w:pPr>
            <w:r>
              <w:rPr>
                <w:sz w:val="17"/>
              </w:rPr>
              <w:t xml:space="preserve">+0.02 [-0.01, +0.05]</w:t>
            </w:r>
          </w:p>
        </w:tc>
      </w:tr>
      <w:tr>
        <w:trPr>
          <w:cantSplit/>
        </w:trPr>
        <w:tc>
          <w:tcPr>
            <w:tcW w:w="2800" w:type="dxa"/>
          </w:tcPr>
          <w:p>
            <w:pPr>
              <w:pStyle w:val="Compact"/>
              <w:spacing w:before="30" w:after="30"/>
            </w:pPr>
            <w:r>
              <w:rPr>
                <w:b/>
                <w:bCs/>
                <w:sz w:val="17"/>
              </w:rPr>
              <w:t xml:space="preserve">Llama (Llama-3.1 70B − Llama-3.1 8B)</w:t>
            </w:r>
          </w:p>
        </w:tc>
        <w:tc>
          <w:tcPr>
            <w:tcW w:w="1650" w:type="dxa"/>
          </w:tcPr>
          <w:p>
            <w:pPr>
              <w:pStyle w:val="Compact"/>
              <w:spacing w:before="30" w:after="30"/>
            </w:pPr>
            <w:r>
              <w:rPr>
                <w:sz w:val="17"/>
              </w:rPr>
              <w:t xml:space="preserve">+0.06 [+0.03, +0.09]</w:t>
            </w:r>
          </w:p>
        </w:tc>
        <w:tc>
          <w:tcPr>
            <w:tcW w:w="1650" w:type="dxa"/>
          </w:tcPr>
          <w:p>
            <w:pPr>
              <w:pStyle w:val="Compact"/>
              <w:spacing w:before="30" w:after="30"/>
            </w:pPr>
            <w:r>
              <w:rPr>
                <w:sz w:val="17"/>
              </w:rPr>
              <w:t xml:space="preserve">+0.27 [+0.15, +0.39]</w:t>
            </w:r>
          </w:p>
        </w:tc>
        <w:tc>
          <w:tcPr>
            <w:tcW w:w="1650" w:type="dxa"/>
          </w:tcPr>
          <w:p>
            <w:pPr>
              <w:pStyle w:val="Compact"/>
              <w:spacing w:before="30" w:after="30"/>
            </w:pPr>
            <w:r>
              <w:rPr>
                <w:sz w:val="17"/>
              </w:rPr>
              <w:t xml:space="preserve">-0.10 [-0.15, -0.04]</w:t>
            </w:r>
          </w:p>
        </w:tc>
        <w:tc>
          <w:tcPr>
            <w:tcW w:w="1610" w:type="dxa"/>
          </w:tcPr>
          <w:p>
            <w:pPr>
              <w:pStyle w:val="Compact"/>
              <w:spacing w:before="30" w:after="30"/>
            </w:pPr>
            <w:r>
              <w:rPr>
                <w:sz w:val="17"/>
              </w:rPr>
              <w:t xml:space="preserve">-0.13 [-0.18, -0.08]</w:t>
            </w:r>
          </w:p>
        </w:tc>
      </w:tr>
      <w:tr>
        <w:trPr>
          <w:cantSplit/>
        </w:trPr>
        <w:tc>
          <w:tcPr>
            <w:tcW w:w="2800" w:type="dxa"/>
          </w:tcPr>
          <w:p>
            <w:pPr>
              <w:pStyle w:val="Compact"/>
              <w:spacing w:before="30" w:after="30"/>
            </w:pPr>
            <w:r>
              <w:rPr>
                <w:b/>
                <w:bCs/>
                <w:sz w:val="17"/>
              </w:rPr>
              <w:t xml:space="preserve">Ministral (Ministral 14B − Ministral 3B)</w:t>
            </w:r>
          </w:p>
        </w:tc>
        <w:tc>
          <w:tcPr>
            <w:tcW w:w="1650" w:type="dxa"/>
          </w:tcPr>
          <w:p>
            <w:pPr>
              <w:pStyle w:val="Compact"/>
              <w:spacing w:before="30" w:after="30"/>
            </w:pPr>
            <w:r>
              <w:rPr>
                <w:sz w:val="17"/>
              </w:rPr>
              <w:t xml:space="preserve">+0.11 [+0.07, +0.15]</w:t>
            </w:r>
          </w:p>
        </w:tc>
        <w:tc>
          <w:tcPr>
            <w:tcW w:w="1650" w:type="dxa"/>
          </w:tcPr>
          <w:p>
            <w:pPr>
              <w:pStyle w:val="Compact"/>
              <w:spacing w:before="30" w:after="30"/>
            </w:pPr>
            <w:r>
              <w:rPr>
                <w:sz w:val="17"/>
              </w:rPr>
              <w:t xml:space="preserve">+0.34 [+0.25, +0.43]</w:t>
            </w:r>
          </w:p>
        </w:tc>
        <w:tc>
          <w:tcPr>
            <w:tcW w:w="1650" w:type="dxa"/>
          </w:tcPr>
          <w:p>
            <w:pPr>
              <w:pStyle w:val="Compact"/>
              <w:spacing w:before="30" w:after="30"/>
            </w:pPr>
            <w:r>
              <w:rPr>
                <w:sz w:val="17"/>
              </w:rPr>
              <w:t xml:space="preserve">-0.04 [-0.08, +0.00]</w:t>
            </w:r>
          </w:p>
        </w:tc>
        <w:tc>
          <w:tcPr>
            <w:tcW w:w="1610" w:type="dxa"/>
          </w:tcPr>
          <w:p>
            <w:pPr>
              <w:pStyle w:val="Compact"/>
              <w:spacing w:before="30" w:after="30"/>
            </w:pPr>
            <w:r>
              <w:rPr>
                <w:sz w:val="17"/>
              </w:rPr>
              <w:t xml:space="preserve">-0.03 [-0.08, +0.01]</w:t>
            </w:r>
          </w:p>
        </w:tc>
      </w:tr>
      <w:tr>
        <w:trPr>
          <w:cantSplit/>
        </w:trPr>
        <w:tc>
          <w:tcPr>
            <w:tcW w:w="2800" w:type="dxa"/>
            <w:tcBorders>
              <w:bottom w:val="single" w:sz="8" w:space="0" w:color="000000"/>
            </w:tcBorders>
          </w:tcPr>
          <w:p>
            <w:pPr>
              <w:pStyle w:val="Compact"/>
              <w:spacing w:before="30" w:after="30"/>
            </w:pPr>
            <w:r>
              <w:rPr>
                <w:b/>
                <w:bCs/>
                <w:sz w:val="17"/>
              </w:rPr>
              <w:t xml:space="preserve">Qwen (Qwen2.5 72B − Qwen2.5 7B)</w:t>
            </w:r>
          </w:p>
        </w:tc>
        <w:tc>
          <w:tcPr>
            <w:tcW w:w="1650" w:type="dxa"/>
            <w:tcBorders>
              <w:bottom w:val="single" w:sz="8" w:space="0" w:color="000000"/>
            </w:tcBorders>
          </w:tcPr>
          <w:p>
            <w:pPr>
              <w:pStyle w:val="Compact"/>
              <w:spacing w:before="30" w:after="30"/>
            </w:pPr>
            <w:r>
              <w:rPr>
                <w:sz w:val="17"/>
              </w:rPr>
              <w:t xml:space="preserve">+0.18 [+0.13, +0.22]</w:t>
            </w:r>
          </w:p>
        </w:tc>
        <w:tc>
          <w:tcPr>
            <w:tcW w:w="1650" w:type="dxa"/>
            <w:tcBorders>
              <w:bottom w:val="single" w:sz="8" w:space="0" w:color="000000"/>
            </w:tcBorders>
          </w:tcPr>
          <w:p>
            <w:pPr>
              <w:pStyle w:val="Compact"/>
              <w:spacing w:before="30" w:after="30"/>
            </w:pPr>
            <w:r>
              <w:rPr>
                <w:sz w:val="17"/>
              </w:rPr>
              <w:t xml:space="preserve">-0.07 [-0.14, +0.01]</w:t>
            </w:r>
          </w:p>
        </w:tc>
        <w:tc>
          <w:tcPr>
            <w:tcW w:w="1650" w:type="dxa"/>
            <w:tcBorders>
              <w:bottom w:val="single" w:sz="8" w:space="0" w:color="000000"/>
            </w:tcBorders>
          </w:tcPr>
          <w:p>
            <w:pPr>
              <w:pStyle w:val="Compact"/>
              <w:spacing w:before="30" w:after="30"/>
            </w:pPr>
            <w:r>
              <w:rPr>
                <w:sz w:val="17"/>
              </w:rPr>
              <w:t xml:space="preserve">+0.03 [+0.01, +0.06]</w:t>
            </w:r>
          </w:p>
        </w:tc>
        <w:tc>
          <w:tcPr>
            <w:tcW w:w="1610" w:type="dxa"/>
            <w:tcBorders>
              <w:bottom w:val="single" w:sz="8" w:space="0" w:color="000000"/>
            </w:tcBorders>
          </w:tcPr>
          <w:p>
            <w:pPr>
              <w:pStyle w:val="Compact"/>
              <w:spacing w:before="30" w:after="30"/>
            </w:pPr>
            <w:r>
              <w:rPr>
                <w:sz w:val="17"/>
              </w:rPr>
              <w:t xml:space="preserve">+0.05 [+0.02, +0.07]</w:t>
            </w:r>
          </w:p>
        </w:tc>
      </w:tr>
    </w:tbl>
    <w:p>
      <w:pPr>
        <w:pStyle w:val="BodyText"/>
        <w:spacing w:before="60"/>
      </w:pPr>
      <w:r>
        <w:rPr>
          <w:sz w:val="18"/>
        </w:rPr>
        <w:t xml:space="preserve">Paired bootstrap intervals. Exact two-sided sign test across the five families: ability higher for the larger model in 5 of 5 (p = 0.0625, the smallest attainable); s* lower in 3 of 5 (p = 1.00).</w:t>
      </w:r>
    </w:p>
    <w:p>
      <w:pPr>
        <w:pStyle w:val="BodyText"/>
      </w:pPr>
      <w:r>
        <w:t xml:space="preserve">Ability is higher for the larger model in all five families (sign test p = 0.0625, the smallest value attainable with five families). The corrected stance effect is not reliably lower: it falls for the larger model in 3 families (Claude -0.10, Gemma -0.06, Qwen -0.07) but the interval excludes zero only for Claude, and it rises for the larger model in Llama (+0.27) and Ministral (+0.34), where the intervals lie above zero. H2 is supported in 1 family (Claude) and not as a pattern across families. The Claude comparison is between tiers, not sizes, and the other families differ in generation and post-training; we make no general claim about scale.</w:t>
      </w:r>
    </w:p>
    <w:p>
      <w:pPr>
        <w:pStyle w:val="Heading3"/>
      </w:pPr>
      <w:r>
        <w:t xml:space="preserve">6.4 Heterogeneity and the closed form</w:t>
      </w:r>
    </w:p>
    <w:p>
      <w:pPr>
        <w:pStyle w:val="TableCaption"/>
        <w:keepNext/>
      </w:pPr>
      <w:r>
        <w:rPr>
          <w:b/>
          <w:bCs/>
        </w:rPr>
        <w:t xml:space="preserve">Table 5. </w:t>
      </w:r>
      <w:r>
        <w:t xml:space="preserve">Covariance of ability and deference across stems, and the model-free value of review minus the closed form</w:t>
      </w:r>
    </w:p>
    <w:tbl>
      <w:tblPr>
        <w:tblW w:w="9360" w:type="dxa"/>
        <w:tblLayout w:type="fixed"/>
        <w:tblCellMar>
          <w:left w:w="60" w:type="dxa"/>
          <w:right w:w="60" w:type="dxa"/>
        </w:tblCellMar>
      </w:tblPr>
      <w:tblGrid>
        <w:gridCol w:w="2400"/>
        <w:gridCol w:w="2800"/>
        <w:gridCol w:w="2000"/>
        <w:gridCol w:w="2160"/>
      </w:tblGrid>
      <w:tr>
        <w:trPr>
          <w:cantSplit/>
          <w:tblHeader/>
        </w:trPr>
        <w:tc>
          <w:tcPr>
            <w:tcW w:w="2400" w:type="dxa"/>
            <w:tcBorders>
              <w:top w:val="single" w:sz="8" w:space="0" w:color="000000"/>
              <w:bottom w:val="single" w:sz="4" w:space="0" w:color="000000"/>
            </w:tcBorders>
          </w:tcPr>
          <w:p>
            <w:pPr>
              <w:pStyle w:val="Compact"/>
              <w:spacing w:before="30" w:after="30"/>
            </w:pPr>
            <w:r>
              <w:rPr>
                <w:b/>
                <w:bCs/>
                <w:sz w:val="17"/>
              </w:rPr>
              <w:t xml:space="preserve">Model</w:t>
            </w:r>
          </w:p>
        </w:tc>
        <w:tc>
          <w:tcPr>
            <w:tcW w:w="2800" w:type="dxa"/>
            <w:tcBorders>
              <w:top w:val="single" w:sz="8" w:space="0" w:color="000000"/>
              <w:bottom w:val="single" w:sz="4" w:space="0" w:color="000000"/>
            </w:tcBorders>
          </w:tcPr>
          <w:p>
            <w:pPr>
              <w:pStyle w:val="Compact"/>
              <w:spacing w:before="30" w:after="30"/>
            </w:pPr>
            <w:r>
              <w:rPr>
                <w:b/>
                <w:bCs/>
                <w:sz w:val="17"/>
              </w:rPr>
              <w:t xml:space="preserve">Cov(a</w:t>
            </w:r>
            <w:r>
              <w:rPr>
                <w:b/>
                <w:bCs/>
                <w:sz w:val="17"/>
                <w:vertAlign w:val="subscript"/>
              </w:rPr>
              <w:t xml:space="preserve">i</w:t>
            </w:r>
            <w:r>
              <w:rPr>
                <w:b/>
                <w:bCs/>
                <w:sz w:val="17"/>
              </w:rPr>
              <w:t xml:space="preserve">, s</w:t>
            </w:r>
            <w:r>
              <w:rPr>
                <w:b/>
                <w:bCs/>
                <w:sz w:val="17"/>
                <w:vertAlign w:val="subscript"/>
              </w:rPr>
              <w:t xml:space="preserve">i</w:t>
            </w:r>
            <w:r>
              <w:rPr>
                <w:b/>
                <w:bCs/>
                <w:sz w:val="17"/>
              </w:rPr>
              <w:t xml:space="preserve">) [95% CI]</w:t>
            </w:r>
          </w:p>
        </w:tc>
        <w:tc>
          <w:tcPr>
            <w:tcW w:w="2000" w:type="dxa"/>
            <w:tcBorders>
              <w:top w:val="single" w:sz="8" w:space="0" w:color="000000"/>
              <w:bottom w:val="single" w:sz="4" w:space="0" w:color="000000"/>
            </w:tcBorders>
          </w:tcPr>
          <w:p>
            <w:pPr>
              <w:pStyle w:val="Compact"/>
              <w:spacing w:before="30" w:after="30"/>
            </w:pPr>
            <w:r>
              <w:rPr>
                <w:b/>
                <w:bCs/>
                <w:sz w:val="17"/>
              </w:rPr>
              <w:t xml:space="preserve">V_obs (π = .7)</w:t>
            </w:r>
          </w:p>
        </w:tc>
        <w:tc>
          <w:tcPr>
            <w:tcW w:w="2160" w:type="dxa"/>
            <w:tcBorders>
              <w:top w:val="single" w:sz="8" w:space="0" w:color="000000"/>
              <w:bottom w:val="single" w:sz="4" w:space="0" w:color="000000"/>
            </w:tcBorders>
          </w:tcPr>
          <w:p>
            <w:pPr>
              <w:pStyle w:val="Compact"/>
              <w:spacing w:before="30" w:after="30"/>
            </w:pPr>
            <w:r>
              <w:rPr>
                <w:b/>
                <w:bCs/>
                <w:sz w:val="17"/>
              </w:rPr>
              <w:t xml:space="preserve">V_obs − closed form</w:t>
            </w:r>
          </w:p>
        </w:tc>
      </w:tr>
      <w:tr>
        <w:trPr>
          <w:cantSplit/>
        </w:trPr>
        <w:tc>
          <w:tcPr>
            <w:tcW w:w="2400" w:type="dxa"/>
          </w:tcPr>
          <w:p>
            <w:pPr>
              <w:pStyle w:val="Compact"/>
              <w:spacing w:before="30" w:after="30"/>
            </w:pPr>
            <w:r>
              <w:rPr>
                <w:b/>
                <w:bCs/>
                <w:sz w:val="17"/>
              </w:rPr>
              <w:t xml:space="preserve">Haiku 4.5</w:t>
            </w:r>
          </w:p>
        </w:tc>
        <w:tc>
          <w:tcPr>
            <w:tcW w:w="2800" w:type="dxa"/>
          </w:tcPr>
          <w:p>
            <w:pPr>
              <w:pStyle w:val="Compact"/>
              <w:spacing w:before="30" w:after="30"/>
            </w:pPr>
            <w:r>
              <w:rPr>
                <w:sz w:val="17"/>
              </w:rPr>
              <w:t xml:space="preserve">+0.001 [+0.000, +0.001]</w:t>
            </w:r>
          </w:p>
        </w:tc>
        <w:tc>
          <w:tcPr>
            <w:tcW w:w="2000" w:type="dxa"/>
          </w:tcPr>
          <w:p>
            <w:pPr>
              <w:pStyle w:val="Compact"/>
              <w:spacing w:before="30" w:after="30"/>
            </w:pPr>
            <w:r>
              <w:rPr>
                <w:sz w:val="17"/>
              </w:rPr>
              <w:t xml:space="preserve">0.26</w:t>
            </w:r>
          </w:p>
        </w:tc>
        <w:tc>
          <w:tcPr>
            <w:tcW w:w="2160" w:type="dxa"/>
          </w:tcPr>
          <w:p>
            <w:pPr>
              <w:pStyle w:val="Compact"/>
              <w:spacing w:before="30" w:after="30"/>
            </w:pPr>
            <w:r>
              <w:rPr>
                <w:sz w:val="17"/>
              </w:rPr>
              <w:t xml:space="preserve">-0.003</w:t>
            </w:r>
          </w:p>
        </w:tc>
      </w:tr>
      <w:tr>
        <w:trPr>
          <w:cantSplit/>
        </w:trPr>
        <w:tc>
          <w:tcPr>
            <w:tcW w:w="2400" w:type="dxa"/>
          </w:tcPr>
          <w:p>
            <w:pPr>
              <w:pStyle w:val="Compact"/>
              <w:spacing w:before="30" w:after="30"/>
            </w:pPr>
            <w:r>
              <w:rPr>
                <w:b/>
                <w:bCs/>
                <w:sz w:val="17"/>
              </w:rPr>
              <w:t xml:space="preserve">Sonnet 5.5</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0.29</w:t>
            </w:r>
          </w:p>
        </w:tc>
        <w:tc>
          <w:tcPr>
            <w:tcW w:w="2160" w:type="dxa"/>
          </w:tcPr>
          <w:p>
            <w:pPr>
              <w:pStyle w:val="Compact"/>
              <w:spacing w:before="30" w:after="30"/>
            </w:pPr>
            <w:r>
              <w:rPr>
                <w:sz w:val="17"/>
              </w:rPr>
              <w:t xml:space="preserve">+0.002</w:t>
            </w:r>
          </w:p>
        </w:tc>
      </w:tr>
      <w:tr>
        <w:trPr>
          <w:cantSplit/>
        </w:trPr>
        <w:tc>
          <w:tcPr>
            <w:tcW w:w="2400" w:type="dxa"/>
          </w:tcPr>
          <w:p>
            <w:pPr>
              <w:pStyle w:val="Compact"/>
              <w:spacing w:before="30" w:after="30"/>
            </w:pPr>
            <w:r>
              <w:rPr>
                <w:b/>
                <w:bCs/>
                <w:sz w:val="17"/>
              </w:rPr>
              <w:t xml:space="preserve">Opus 5.5</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0.30</w:t>
            </w:r>
          </w:p>
        </w:tc>
        <w:tc>
          <w:tcPr>
            <w:tcW w:w="2160" w:type="dxa"/>
          </w:tcPr>
          <w:p>
            <w:pPr>
              <w:pStyle w:val="Compact"/>
              <w:spacing w:before="30" w:after="30"/>
            </w:pPr>
            <w:r>
              <w:rPr>
                <w:sz w:val="17"/>
              </w:rPr>
              <w:t xml:space="preserve">+0.000</w:t>
            </w:r>
          </w:p>
        </w:tc>
      </w:tr>
      <w:tr>
        <w:trPr>
          <w:cantSplit/>
        </w:trPr>
        <w:tc>
          <w:tcPr>
            <w:tcW w:w="2400" w:type="dxa"/>
          </w:tcPr>
          <w:p>
            <w:pPr>
              <w:pStyle w:val="Compact"/>
              <w:spacing w:before="30" w:after="30"/>
            </w:pPr>
            <w:r>
              <w:rPr>
                <w:b/>
                <w:bCs/>
                <w:sz w:val="17"/>
              </w:rPr>
              <w:t xml:space="preserve">Fable 5.1</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0.30</w:t>
            </w:r>
          </w:p>
        </w:tc>
        <w:tc>
          <w:tcPr>
            <w:tcW w:w="2160" w:type="dxa"/>
          </w:tcPr>
          <w:p>
            <w:pPr>
              <w:pStyle w:val="Compact"/>
              <w:spacing w:before="30" w:after="30"/>
            </w:pPr>
            <w:r>
              <w:rPr>
                <w:sz w:val="17"/>
              </w:rPr>
              <w:t xml:space="preserve">+0.000</w:t>
            </w:r>
          </w:p>
        </w:tc>
      </w:tr>
      <w:tr>
        <w:trPr>
          <w:cantSplit/>
        </w:trPr>
        <w:tc>
          <w:tcPr>
            <w:tcW w:w="2400" w:type="dxa"/>
          </w:tcPr>
          <w:p>
            <w:pPr>
              <w:pStyle w:val="Compact"/>
              <w:spacing w:before="30" w:after="30"/>
            </w:pPr>
            <w:r>
              <w:rPr>
                <w:b/>
                <w:bCs/>
                <w:sz w:val="17"/>
              </w:rPr>
              <w:t xml:space="preserve">Gemma-3 4B</w:t>
            </w:r>
          </w:p>
        </w:tc>
        <w:tc>
          <w:tcPr>
            <w:tcW w:w="2800" w:type="dxa"/>
          </w:tcPr>
          <w:p>
            <w:pPr>
              <w:pStyle w:val="Compact"/>
              <w:spacing w:before="30" w:after="30"/>
            </w:pPr>
            <w:r>
              <w:rPr>
                <w:sz w:val="17"/>
              </w:rPr>
              <w:t xml:space="preserve">+0.054 [+0.038, +0.070]</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+0.057</w:t>
            </w:r>
          </w:p>
        </w:tc>
      </w:tr>
      <w:tr>
        <w:trPr>
          <w:cantSplit/>
        </w:trPr>
        <w:tc>
          <w:tcPr>
            <w:tcW w:w="2400" w:type="dxa"/>
          </w:tcPr>
          <w:p>
            <w:pPr>
              <w:pStyle w:val="Compact"/>
              <w:spacing w:before="30" w:after="30"/>
            </w:pPr>
            <w:r>
              <w:rPr>
                <w:b/>
                <w:bCs/>
                <w:sz w:val="17"/>
              </w:rPr>
              <w:t xml:space="preserve">Gemma-3 12B</w:t>
            </w:r>
          </w:p>
        </w:tc>
        <w:tc>
          <w:tcPr>
            <w:tcW w:w="2800" w:type="dxa"/>
          </w:tcPr>
          <w:p>
            <w:pPr>
              <w:pStyle w:val="Compact"/>
              <w:spacing w:before="30" w:after="30"/>
            </w:pPr>
            <w:r>
              <w:rPr>
                <w:sz w:val="17"/>
              </w:rPr>
              <w:t xml:space="preserve">+0.070 [+0.055, +0.085]</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+0.026</w:t>
            </w:r>
          </w:p>
        </w:tc>
      </w:tr>
      <w:tr>
        <w:trPr>
          <w:cantSplit/>
        </w:trPr>
        <w:tc>
          <w:tcPr>
            <w:tcW w:w="2400" w:type="dxa"/>
          </w:tcPr>
          <w:p>
            <w:pPr>
              <w:pStyle w:val="Compact"/>
              <w:spacing w:before="30" w:after="30"/>
            </w:pPr>
            <w:r>
              <w:rPr>
                <w:b/>
                <w:bCs/>
                <w:sz w:val="17"/>
              </w:rPr>
              <w:t xml:space="preserve">Gemma-3 27B</w:t>
            </w:r>
          </w:p>
        </w:tc>
        <w:tc>
          <w:tcPr>
            <w:tcW w:w="2800" w:type="dxa"/>
          </w:tcPr>
          <w:p>
            <w:pPr>
              <w:pStyle w:val="Compact"/>
              <w:spacing w:before="30" w:after="30"/>
            </w:pPr>
            <w:r>
              <w:rPr>
                <w:sz w:val="17"/>
              </w:rPr>
              <w:t xml:space="preserve">+0.037 [+0.022, +0.053]</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+0.064</w:t>
            </w:r>
          </w:p>
        </w:tc>
      </w:tr>
      <w:tr>
        <w:trPr>
          <w:cantSplit/>
        </w:trPr>
        <w:tc>
          <w:tcPr>
            <w:tcW w:w="2400" w:type="dxa"/>
          </w:tcPr>
          <w:p>
            <w:pPr>
              <w:pStyle w:val="Compact"/>
              <w:spacing w:before="30" w:after="30"/>
            </w:pPr>
            <w:r>
              <w:rPr>
                <w:b/>
                <w:bCs/>
                <w:sz w:val="17"/>
              </w:rPr>
              <w:t xml:space="preserve">Llama-3.1 8B</w:t>
            </w:r>
          </w:p>
        </w:tc>
        <w:tc>
          <w:tcPr>
            <w:tcW w:w="2800" w:type="dxa"/>
          </w:tcPr>
          <w:p>
            <w:pPr>
              <w:pStyle w:val="Compact"/>
              <w:spacing w:before="30" w:after="30"/>
            </w:pPr>
            <w:r>
              <w:rPr>
                <w:sz w:val="17"/>
              </w:rPr>
              <w:t xml:space="preserve">-0.006 [-0.020, +0.007]</w:t>
            </w:r>
          </w:p>
        </w:tc>
        <w:tc>
          <w:tcPr>
            <w:tcW w:w="2000" w:type="dxa"/>
          </w:tcPr>
          <w:p>
            <w:pPr>
              <w:pStyle w:val="Compact"/>
              <w:spacing w:before="30" w:after="30"/>
            </w:pPr>
            <w:r>
              <w:rPr>
                <w:sz w:val="17"/>
              </w:rPr>
              <w:t xml:space="preserve">-0.15</w:t>
            </w:r>
          </w:p>
        </w:tc>
        <w:tc>
          <w:tcPr>
            <w:tcW w:w="2160" w:type="dxa"/>
          </w:tcPr>
          <w:p>
            <w:pPr>
              <w:pStyle w:val="Compact"/>
              <w:spacing w:before="30" w:after="30"/>
            </w:pPr>
            <w:r>
              <w:rPr>
                <w:sz w:val="17"/>
              </w:rPr>
              <w:t xml:space="preserve">+0.084</w:t>
            </w:r>
          </w:p>
        </w:tc>
      </w:tr>
      <w:tr>
        <w:trPr>
          <w:cantSplit/>
        </w:trPr>
        <w:tc>
          <w:tcPr>
            <w:tcW w:w="2400" w:type="dxa"/>
          </w:tcPr>
          <w:p>
            <w:pPr>
              <w:pStyle w:val="Compact"/>
              <w:spacing w:before="30" w:after="30"/>
            </w:pPr>
            <w:r>
              <w:rPr>
                <w:b/>
                <w:bCs/>
                <w:sz w:val="17"/>
              </w:rPr>
              <w:t xml:space="preserve">Llama-3.1 70B</w:t>
            </w:r>
          </w:p>
        </w:tc>
        <w:tc>
          <w:tcPr>
            <w:tcW w:w="2800" w:type="dxa"/>
          </w:tcPr>
          <w:p>
            <w:pPr>
              <w:pStyle w:val="Compact"/>
              <w:spacing w:before="30" w:after="30"/>
            </w:pPr>
            <w:r>
              <w:rPr>
                <w:sz w:val="17"/>
              </w:rPr>
              <w:t xml:space="preserve">+0.010 [-0.005, +0.024]</w:t>
            </w:r>
          </w:p>
        </w:tc>
        <w:tc>
          <w:tcPr>
            <w:tcW w:w="2000" w:type="dxa"/>
          </w:tcPr>
          <w:p>
            <w:pPr>
              <w:pStyle w:val="Compact"/>
              <w:spacing w:before="30" w:after="30"/>
            </w:pPr>
            <w:r>
              <w:rPr>
                <w:sz w:val="17"/>
              </w:rPr>
              <w:t xml:space="preserve">-0.02</w:t>
            </w:r>
          </w:p>
        </w:tc>
        <w:tc>
          <w:tcPr>
            <w:tcW w:w="2160" w:type="dxa"/>
          </w:tcPr>
          <w:p>
            <w:pPr>
              <w:pStyle w:val="Compact"/>
              <w:spacing w:before="30" w:after="30"/>
            </w:pPr>
            <w:r>
              <w:rPr>
                <w:sz w:val="17"/>
              </w:rPr>
              <w:t xml:space="preserve">+0.100</w:t>
            </w:r>
          </w:p>
        </w:tc>
      </w:tr>
      <w:tr>
        <w:trPr>
          <w:cantSplit/>
        </w:trPr>
        <w:tc>
          <w:tcPr>
            <w:tcW w:w="2400" w:type="dxa"/>
          </w:tcPr>
          <w:p>
            <w:pPr>
              <w:pStyle w:val="Compact"/>
              <w:spacing w:before="30" w:after="30"/>
            </w:pPr>
            <w:r>
              <w:rPr>
                <w:b/>
                <w:bCs/>
                <w:sz w:val="17"/>
              </w:rPr>
              <w:t xml:space="preserve">Ministral 3B</w:t>
            </w:r>
          </w:p>
        </w:tc>
        <w:tc>
          <w:tcPr>
            <w:tcW w:w="2800" w:type="dxa"/>
          </w:tcPr>
          <w:p>
            <w:pPr>
              <w:pStyle w:val="Compact"/>
              <w:spacing w:before="30" w:after="30"/>
            </w:pPr>
            <w:r>
              <w:rPr>
                <w:sz w:val="17"/>
              </w:rPr>
              <w:t xml:space="preserve">-0.013 [-0.026, +0.002]</w:t>
            </w:r>
          </w:p>
        </w:tc>
        <w:tc>
          <w:tcPr>
            <w:tcW w:w="2000" w:type="dxa"/>
          </w:tcPr>
          <w:p>
            <w:pPr>
              <w:pStyle w:val="Compact"/>
              <w:spacing w:before="30" w:after="30"/>
            </w:pPr>
            <w:r>
              <w:rPr>
                <w:sz w:val="17"/>
              </w:rPr>
              <w:t xml:space="preserve">-0.29</w:t>
            </w:r>
          </w:p>
        </w:tc>
        <w:tc>
          <w:tcPr>
            <w:tcW w:w="2160" w:type="dxa"/>
          </w:tcPr>
          <w:p>
            <w:pPr>
              <w:pStyle w:val="Compact"/>
              <w:spacing w:before="30" w:after="30"/>
            </w:pPr>
            <w:r>
              <w:rPr>
                <w:sz w:val="17"/>
              </w:rPr>
              <w:t xml:space="preserve">+0.028</w:t>
            </w:r>
          </w:p>
        </w:tc>
      </w:tr>
      <w:tr>
        <w:trPr>
          <w:cantSplit/>
        </w:trPr>
        <w:tc>
          <w:tcPr>
            <w:tcW w:w="2400" w:type="dxa"/>
          </w:tcPr>
          <w:p>
            <w:pPr>
              <w:pStyle w:val="Compact"/>
              <w:spacing w:before="30" w:after="30"/>
            </w:pPr>
            <w:r>
              <w:rPr>
                <w:b/>
                <w:bCs/>
                <w:sz w:val="17"/>
              </w:rPr>
              <w:t xml:space="preserve">Ministral 8B</w:t>
            </w:r>
          </w:p>
        </w:tc>
        <w:tc>
          <w:tcPr>
            <w:tcW w:w="2800" w:type="dxa"/>
          </w:tcPr>
          <w:p>
            <w:pPr>
              <w:pStyle w:val="Compact"/>
              <w:spacing w:before="30" w:after="30"/>
            </w:pPr>
            <w:r>
              <w:rPr>
                <w:sz w:val="17"/>
              </w:rPr>
              <w:t xml:space="preserve">+0.002 [-0.012, +0.016]</w:t>
            </w:r>
          </w:p>
        </w:tc>
        <w:tc>
          <w:tcPr>
            <w:tcW w:w="2000" w:type="dxa"/>
          </w:tcPr>
          <w:p>
            <w:pPr>
              <w:pStyle w:val="Compact"/>
              <w:spacing w:before="30" w:after="30"/>
            </w:pPr>
            <w:r>
              <w:rPr>
                <w:sz w:val="17"/>
              </w:rPr>
              <w:t xml:space="preserve">-0.18</w:t>
            </w:r>
          </w:p>
        </w:tc>
        <w:tc>
          <w:tcPr>
            <w:tcW w:w="2160" w:type="dxa"/>
          </w:tcPr>
          <w:p>
            <w:pPr>
              <w:pStyle w:val="Compact"/>
              <w:spacing w:before="30" w:after="30"/>
            </w:pPr>
            <w:r>
              <w:rPr>
                <w:sz w:val="17"/>
              </w:rPr>
              <w:t xml:space="preserve">+0.062</w:t>
            </w:r>
          </w:p>
        </w:tc>
      </w:tr>
      <w:tr>
        <w:trPr>
          <w:cantSplit/>
        </w:trPr>
        <w:tc>
          <w:tcPr>
            <w:tcW w:w="2400" w:type="dxa"/>
          </w:tcPr>
          <w:p>
            <w:pPr>
              <w:pStyle w:val="Compact"/>
              <w:spacing w:before="30" w:after="30"/>
            </w:pPr>
            <w:r>
              <w:rPr>
                <w:b/>
                <w:bCs/>
                <w:sz w:val="17"/>
              </w:rPr>
              <w:t xml:space="preserve">Ministral 14B</w:t>
            </w:r>
          </w:p>
        </w:tc>
        <w:tc>
          <w:tcPr>
            <w:tcW w:w="2800" w:type="dxa"/>
          </w:tcPr>
          <w:p>
            <w:pPr>
              <w:pStyle w:val="Compact"/>
              <w:spacing w:before="30" w:after="30"/>
            </w:pPr>
            <w:r>
              <w:rPr>
                <w:sz w:val="17"/>
              </w:rPr>
              <w:t xml:space="preserve">+0.029 [+0.012, +0.046]</w:t>
            </w:r>
          </w:p>
        </w:tc>
        <w:tc>
          <w:tcPr>
            <w:tcW w:w="2000" w:type="dxa"/>
          </w:tcPr>
          <w:p>
            <w:pPr>
              <w:pStyle w:val="Compact"/>
              <w:spacing w:before="30" w:after="30"/>
            </w:pPr>
            <w:r>
              <w:rPr>
                <w:sz w:val="17"/>
              </w:rPr>
              <w:t xml:space="preserve">-0.09</w:t>
            </w:r>
          </w:p>
        </w:tc>
        <w:tc>
          <w:tcPr>
            <w:tcW w:w="2160" w:type="dxa"/>
          </w:tcPr>
          <w:p>
            <w:pPr>
              <w:pStyle w:val="Compact"/>
              <w:spacing w:before="30" w:after="30"/>
            </w:pPr>
            <w:r>
              <w:rPr>
                <w:sz w:val="17"/>
              </w:rPr>
              <w:t xml:space="preserve">+0.053</w:t>
            </w:r>
          </w:p>
        </w:tc>
      </w:tr>
      <w:tr>
        <w:trPr>
          <w:cantSplit/>
        </w:trPr>
        <w:tc>
          <w:tcPr>
            <w:tcW w:w="2400" w:type="dxa"/>
          </w:tcPr>
          <w:p>
            <w:pPr>
              <w:pStyle w:val="Compact"/>
              <w:spacing w:before="30" w:after="30"/>
            </w:pPr>
            <w:r>
              <w:rPr>
                <w:b/>
                <w:bCs/>
                <w:sz w:val="17"/>
              </w:rPr>
              <w:t xml:space="preserve">Qwen2.5 7B</w:t>
            </w:r>
          </w:p>
        </w:tc>
        <w:tc>
          <w:tcPr>
            <w:tcW w:w="2800" w:type="dxa"/>
          </w:tcPr>
          <w:p>
            <w:pPr>
              <w:pStyle w:val="Compact"/>
              <w:spacing w:before="30" w:after="30"/>
            </w:pPr>
            <w:r>
              <w:rPr>
                <w:sz w:val="17"/>
              </w:rPr>
              <w:t xml:space="preserve">+0.046 [+0.028, +0.062]</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+0.114</w:t>
            </w:r>
          </w:p>
        </w:tc>
      </w:tr>
      <w:tr>
        <w:trPr>
          <w:cantSplit/>
        </w:trPr>
        <w:tc>
          <w:tcPr>
            <w:tcW w:w="2400" w:type="dxa"/>
            <w:tcBorders>
              <w:bottom w:val="single" w:sz="8" w:space="0" w:color="000000"/>
            </w:tcBorders>
          </w:tcPr>
          <w:p>
            <w:pPr>
              <w:pStyle w:val="Compact"/>
              <w:spacing w:before="30" w:after="30"/>
            </w:pPr>
            <w:r>
              <w:rPr>
                <w:b/>
                <w:bCs/>
                <w:sz w:val="17"/>
              </w:rPr>
              <w:t xml:space="preserve">Qwen2.5 72B</w:t>
            </w:r>
          </w:p>
        </w:tc>
        <w:tc>
          <w:tcPr>
            <w:tcW w:w="2800" w:type="dxa"/>
            <w:tcBorders>
              <w:bottom w:val="single" w:sz="8" w:space="0" w:color="000000"/>
            </w:tcBorders>
          </w:tcPr>
          <w:p>
            <w:pPr>
              <w:pStyle w:val="Compact"/>
              <w:spacing w:before="30" w:after="30"/>
            </w:pPr>
            <w:r>
              <w:rPr>
                <w:sz w:val="17"/>
              </w:rPr>
              <w:t xml:space="preserve">+0.039 [+0.023, +0.056]</w:t>
            </w:r>
          </w:p>
        </w:tc>
        <w:tc>
          <w:tcPr>
            <w:tcW w:w="2000" w:type="dxa"/>
            <w:tcBorders>
              <w:bottom w:val="single" w:sz="8" w:space="0" w:color="000000"/>
            </w:tcBorders>
          </w:tcPr>
          <w:p>
            <w:pPr>
              <w:pStyle w:val="Compact"/>
              <w:spacing w:before="30" w:after="30"/>
            </w:pPr>
            <w:r>
              <w:rPr>
                <w:sz w:val="17"/>
              </w:rPr>
              <w:t xml:space="preserve">0.00</w:t>
            </w:r>
          </w:p>
        </w:tc>
        <w:tc>
          <w:tcPr>
            <w:tcW w:w="2160" w:type="dxa"/>
            <w:tcBorders>
              <w:bottom w:val="single" w:sz="8" w:space="0" w:color="000000"/>
            </w:tcBorders>
          </w:tcPr>
          <w:p>
            <w:pPr>
              <w:pStyle w:val="Compact"/>
              <w:spacing w:before="30" w:after="30"/>
            </w:pPr>
            <w:r>
              <w:rPr>
                <w:sz w:val="17"/>
              </w:rPr>
              <w:t xml:space="preserve">+0.070</w:t>
            </w:r>
          </w:p>
        </w:tc>
      </w:tr>
    </w:tbl>
    <w:p>
      <w:pPr>
        <w:pStyle w:val="BodyText"/>
        <w:spacing w:before="60"/>
      </w:pPr>
      <w:r>
        <w:rPr>
          <w:sz w:val="18"/>
        </w:rPr>
        <w:t xml:space="preserve">s</w:t>
      </w:r>
      <w:r>
        <w:rPr>
          <w:sz w:val="18"/>
          <w:vertAlign w:val="subscript"/>
        </w:rPr>
        <w:t xml:space="preserve">i</w:t>
      </w:r>
      <w:r>
        <w:rPr>
          <w:sz w:val="18"/>
        </w:rPr>
        <w:t xml:space="preserve"> is the stem-level rate of the stance-endorsed option under the stance minus under the neutral sentence, from one draw each; a</w:t>
      </w:r>
      <w:r>
        <w:rPr>
          <w:sz w:val="18"/>
          <w:vertAlign w:val="subscript"/>
        </w:rPr>
        <w:t xml:space="preserve">i</w:t>
      </w:r>
      <w:r>
        <w:rPr>
          <w:sz w:val="18"/>
        </w:rPr>
        <w:t xml:space="preserve"> is stance-free accuracy on the stem. The closed form is (1 − s</w:t>
      </w:r>
      <w:r>
        <w:rPr>
          <w:sz w:val="18"/>
          <w:vertAlign w:val="subscript"/>
        </w:rPr>
        <w:t xml:space="preserve">c</w:t>
      </w:r>
      <w:r>
        <w:rPr>
          <w:sz w:val="18"/>
        </w:rPr>
        <w:t xml:space="preserve">)(ā − π) with s</w:t>
      </w:r>
      <w:r>
        <w:rPr>
          <w:sz w:val="18"/>
          <w:vertAlign w:val="subscript"/>
        </w:rPr>
        <w:t xml:space="preserve">c</w:t>
      </w:r>
      <w:r>
        <w:rPr>
          <w:sz w:val="18"/>
        </w:rPr>
        <w:t xml:space="preserve"> = E[a</w:t>
      </w:r>
      <w:r>
        <w:rPr>
          <w:sz w:val="18"/>
          <w:vertAlign w:val="subscript"/>
        </w:rPr>
        <w:t xml:space="preserve">i</w:t>
      </w:r>
      <w:r>
        <w:rPr>
          <w:sz w:val="18"/>
        </w:rPr>
        <w:t xml:space="preserve"> s</w:t>
      </w:r>
      <w:r>
        <w:rPr>
          <w:sz w:val="18"/>
          <w:vertAlign w:val="subscript"/>
        </w:rPr>
        <w:t xml:space="preserve">i</w:t>
      </w:r>
      <w:r>
        <w:rPr>
          <w:sz w:val="18"/>
        </w:rPr>
        <w:t xml:space="preserve">]/ā.</w:t>
      </w:r>
    </w:p>
    <w:p>
      <w:pPr>
        <w:pStyle w:val="BodyText"/>
      </w:pPr>
      <w:r>
        <w:t xml:space="preserve">The covariance is not negative. It is positive for 8 models with intervals above zero (Haiku 4.5, Sonnet 5.5, Gemma-3 4B, Gemma-3 12B, Gemma-3 27B, Ministral 14B, Qwen2.5 7B and Qwen2.5 72B), which means deference is higher on the stems the model answers correctly more often, the opposite of H4 (for Haiku 4.5 and Sonnet 5.5 the covariances are below 0.001); no model has an interval below zero. H4 is not supported. The model-free value of review exceeds the closed form at π = .7 for 11 of the fourteen models (by up to 0.11), but this gap does not follow the covariance term of Proposition 5 (which predicts a gap of the opposite sign where the covariance is positive). A possible explanation, which we did not test, is that s</w:t>
      </w:r>
      <w:r>
        <w:rPr>
          <w:vertAlign w:val="subscript"/>
        </w:rPr>
        <w:t xml:space="preserve">i</w:t>
      </w:r>
      <w:r>
        <w:t xml:space="preserve">, measured as an excess over a single neutral draw, understates how often the stance determines the answer on stems the model gets wrong; the closed form is therefore a poor approximation to the model-free value here, and we use the model-free value in Section 6.5.</w:t>
      </w:r>
    </w:p>
    <w:p>
      <w:pPr>
        <w:pStyle w:val="Heading3"/>
      </w:pPr>
      <w:r>
        <w:t xml:space="preserve">6.5 Ability as a ranking cue</w:t>
      </w:r>
    </w:p>
    <w:p>
      <w:pPr>
        <w:pStyle w:val="TableCaption"/>
        <w:keepNext/>
      </w:pPr>
      <w:r>
        <w:rPr>
          <w:b/>
          <w:bCs/>
        </w:rPr>
        <w:t xml:space="preserve">Table 6. </w:t>
      </w:r>
      <w:r>
        <w:t xml:space="preserve">Model-free value of review by requester accuracy, and the factor by which ability overstates it</w:t>
      </w:r>
    </w:p>
    <w:tbl>
      <w:tblPr>
        <w:tblW w:w="9360" w:type="dxa"/>
        <w:tblLayout w:type="fixed"/>
        <w:tblCellMar>
          <w:left w:w="60" w:type="dxa"/>
          <w:right w:w="60" w:type="dxa"/>
        </w:tblCellMar>
      </w:tblPr>
      <w:tblGrid>
        <w:gridCol w:w="2600"/>
        <w:gridCol w:w="1200"/>
        <w:gridCol w:w="1400"/>
        <w:gridCol w:w="1400"/>
        <w:gridCol w:w="1400"/>
        <w:gridCol w:w="1360"/>
      </w:tblGrid>
      <w:tr>
        <w:trPr>
          <w:cantSplit/>
          <w:tblHeader/>
        </w:trPr>
        <w:tc>
          <w:tcPr>
            <w:tcW w:w="2600" w:type="dxa"/>
            <w:tcBorders>
              <w:top w:val="single" w:sz="8" w:space="0" w:color="000000"/>
              <w:bottom w:val="single" w:sz="4" w:space="0" w:color="000000"/>
            </w:tcBorders>
          </w:tcPr>
          <w:p>
            <w:pPr>
              <w:pStyle w:val="Compact"/>
              <w:spacing w:before="30" w:after="30"/>
            </w:pPr>
            <w:r>
              <w:rPr>
                <w:b/>
                <w:bCs/>
                <w:sz w:val="17"/>
              </w:rPr>
              <w:t xml:space="preserve">Model</w:t>
            </w:r>
          </w:p>
        </w:tc>
        <w:tc>
          <w:tcPr>
            <w:tcW w:w="1200" w:type="dxa"/>
            <w:tcBorders>
              <w:top w:val="single" w:sz="8" w:space="0" w:color="000000"/>
              <w:bottom w:val="single" w:sz="4" w:space="0" w:color="000000"/>
            </w:tcBorders>
          </w:tcPr>
          <w:p>
            <w:pPr>
              <w:pStyle w:val="Compact"/>
              <w:spacing w:before="30" w:after="30"/>
            </w:pPr>
            <w:r>
              <w:rPr>
                <w:b/>
                <w:bCs/>
                <w:sz w:val="17"/>
              </w:rPr>
              <w:t xml:space="preserve">a</w:t>
            </w:r>
          </w:p>
        </w:tc>
        <w:tc>
          <w:tcPr>
            <w:tcW w:w="1400" w:type="dxa"/>
            <w:tcBorders>
              <w:top w:val="single" w:sz="8" w:space="0" w:color="000000"/>
              <w:bottom w:val="single" w:sz="4" w:space="0" w:color="000000"/>
            </w:tcBorders>
          </w:tcPr>
          <w:p>
            <w:pPr>
              <w:pStyle w:val="Compact"/>
              <w:spacing w:before="30" w:after="30"/>
            </w:pPr>
            <w:r>
              <w:rPr>
                <w:b/>
                <w:bCs/>
                <w:sz w:val="17"/>
              </w:rPr>
              <w:t xml:space="preserve">V (π = .5)</w:t>
            </w:r>
          </w:p>
        </w:tc>
        <w:tc>
          <w:tcPr>
            <w:tcW w:w="1400" w:type="dxa"/>
            <w:tcBorders>
              <w:top w:val="single" w:sz="8" w:space="0" w:color="000000"/>
              <w:bottom w:val="single" w:sz="4" w:space="0" w:color="000000"/>
            </w:tcBorders>
          </w:tcPr>
          <w:p>
            <w:pPr>
              <w:pStyle w:val="Compact"/>
              <w:spacing w:before="30" w:after="30"/>
            </w:pPr>
            <w:r>
              <w:rPr>
                <w:b/>
                <w:bCs/>
                <w:sz w:val="17"/>
              </w:rPr>
              <w:t xml:space="preserve">V (π = .7)</w:t>
            </w:r>
          </w:p>
        </w:tc>
        <w:tc>
          <w:tcPr>
            <w:tcW w:w="1400" w:type="dxa"/>
            <w:tcBorders>
              <w:top w:val="single" w:sz="8" w:space="0" w:color="000000"/>
              <w:bottom w:val="single" w:sz="4" w:space="0" w:color="000000"/>
            </w:tcBorders>
          </w:tcPr>
          <w:p>
            <w:pPr>
              <w:pStyle w:val="Compact"/>
              <w:spacing w:before="30" w:after="30"/>
            </w:pPr>
            <w:r>
              <w:rPr>
                <w:b/>
                <w:bCs/>
                <w:sz w:val="17"/>
              </w:rPr>
              <w:t xml:space="preserve">V (π = .9)</w:t>
            </w:r>
          </w:p>
        </w:tc>
        <w:tc>
          <w:tcPr>
            <w:tcW w:w="1360" w:type="dxa"/>
            <w:tcBorders>
              <w:top w:val="single" w:sz="8" w:space="0" w:color="000000"/>
              <w:bottom w:val="single" w:sz="4" w:space="0" w:color="000000"/>
            </w:tcBorders>
          </w:tcPr>
          <w:p>
            <w:pPr>
              <w:pStyle w:val="Compact"/>
              <w:spacing w:before="30" w:after="30"/>
            </w:pPr>
            <w:r>
              <w:rPr>
                <w:b/>
                <w:bCs/>
                <w:sz w:val="17"/>
              </w:rPr>
              <w:t xml:space="preserve">1/(1 − s*)</w:t>
            </w:r>
          </w:p>
        </w:tc>
      </w:tr>
      <w:tr>
        <w:trPr>
          <w:cantSplit/>
        </w:trPr>
        <w:tc>
          <w:tcPr>
            <w:tcW w:w="2600" w:type="dxa"/>
          </w:tcPr>
          <w:p>
            <w:pPr>
              <w:pStyle w:val="Compact"/>
              <w:spacing w:before="30" w:after="30"/>
            </w:pPr>
            <w:r>
              <w:rPr>
                <w:b/>
                <w:bCs/>
                <w:sz w:val="17"/>
              </w:rPr>
              <w:t xml:space="preserve">Haiku 4.5</w:t>
            </w:r>
          </w:p>
        </w:tc>
        <w:tc>
          <w:tcPr>
            <w:tcW w:w="1200" w:type="dxa"/>
          </w:tcPr>
          <w:p>
            <w:pPr>
              <w:pStyle w:val="Compact"/>
              <w:spacing w:before="30" w:after="30"/>
            </w:pPr>
            <w:r>
              <w:rPr>
                <w:sz w:val="17"/>
              </w:rPr>
              <w:t xml:space="preserve">0.99</w:t>
            </w:r>
          </w:p>
        </w:tc>
        <w:tc>
          <w:tcPr>
            <w:tcW w:w="1400" w:type="dxa"/>
          </w:tcPr>
          <w:p>
            <w:pPr>
              <w:pStyle w:val="Compact"/>
              <w:spacing w:before="30" w:after="30"/>
            </w:pPr>
            <w:r>
              <w:rPr>
                <w:sz w:val="17"/>
              </w:rPr>
              <w:t xml:space="preserve">+0.44</w:t>
            </w:r>
          </w:p>
        </w:tc>
        <w:tc>
          <w:tcPr>
            <w:tcW w:w="1400" w:type="dxa"/>
          </w:tcPr>
          <w:p>
            <w:pPr>
              <w:pStyle w:val="Compact"/>
              <w:spacing w:before="30" w:after="30"/>
            </w:pPr>
            <w:r>
              <w:rPr>
                <w:sz w:val="17"/>
              </w:rPr>
              <w:t xml:space="preserve">+0.26</w:t>
            </w:r>
          </w:p>
        </w:tc>
        <w:tc>
          <w:tcPr>
            <w:tcW w:w="1400" w:type="dxa"/>
          </w:tcPr>
          <w:p>
            <w:pPr>
              <w:pStyle w:val="Compact"/>
              <w:spacing w:before="30" w:after="30"/>
            </w:pPr>
            <w:r>
              <w:rPr>
                <w:sz w:val="17"/>
              </w:rPr>
              <w:t xml:space="preserve">+0.08</w:t>
            </w:r>
          </w:p>
        </w:tc>
        <w:tc>
          <w:tcPr>
            <w:tcW w:w="1360" w:type="dxa"/>
          </w:tcPr>
          <w:p>
            <w:pPr>
              <w:pStyle w:val="Compact"/>
              <w:spacing w:before="30" w:after="30"/>
            </w:pPr>
            <w:r>
              <w:rPr>
                <w:sz w:val="17"/>
              </w:rPr>
              <w:t xml:space="preserve">1.1</w:t>
            </w:r>
          </w:p>
        </w:tc>
      </w:tr>
      <w:tr>
        <w:trPr>
          <w:cantSplit/>
        </w:trPr>
        <w:tc>
          <w:tcPr>
            <w:tcW w:w="2600" w:type="dxa"/>
          </w:tcPr>
          <w:p>
            <w:pPr>
              <w:pStyle w:val="Compact"/>
              <w:spacing w:before="30" w:after="30"/>
            </w:pPr>
            <w:r>
              <w:rPr>
                <w:b/>
                <w:bCs/>
                <w:sz w:val="17"/>
              </w:rPr>
              <w:t xml:space="preserve">Sonnet 5.5</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+0.49</w:t>
            </w:r>
          </w:p>
        </w:tc>
        <w:tc>
          <w:tcPr>
            <w:tcW w:w="1400" w:type="dxa"/>
          </w:tcPr>
          <w:p>
            <w:pPr>
              <w:pStyle w:val="Compact"/>
              <w:spacing w:before="30" w:after="30"/>
            </w:pPr>
            <w:r>
              <w:rPr>
                <w:sz w:val="17"/>
              </w:rPr>
              <w:t xml:space="preserve">+0.29</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Opus 5.5</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+0.50</w:t>
            </w:r>
          </w:p>
        </w:tc>
        <w:tc>
          <w:tcPr>
            <w:tcW w:w="1400" w:type="dxa"/>
          </w:tcPr>
          <w:p>
            <w:pPr>
              <w:pStyle w:val="Compact"/>
              <w:spacing w:before="30" w:after="30"/>
            </w:pPr>
            <w:r>
              <w:rPr>
                <w:sz w:val="17"/>
              </w:rPr>
              <w:t xml:space="preserve">+0.30</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Fable 5.1</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+0.50</w:t>
            </w:r>
          </w:p>
        </w:tc>
        <w:tc>
          <w:tcPr>
            <w:tcW w:w="1400" w:type="dxa"/>
          </w:tcPr>
          <w:p>
            <w:pPr>
              <w:pStyle w:val="Compact"/>
              <w:spacing w:before="30" w:after="30"/>
            </w:pPr>
            <w:r>
              <w:rPr>
                <w:sz w:val="17"/>
              </w:rPr>
              <w:t xml:space="preserve">+0.30</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Gemma-3 4B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+0.01</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-0.01</w:t>
            </w:r>
          </w:p>
        </w:tc>
        <w:tc>
          <w:tcPr>
            <w:tcW w:w="1360" w:type="dxa"/>
          </w:tcPr>
          <w:p>
            <w:pPr>
              <w:pStyle w:val="Compact"/>
              <w:spacing w:before="30" w:after="30"/>
            </w:pPr>
            <w:r>
              <w:rPr>
                <w:sz w:val="17"/>
              </w:rPr>
              <w:t xml:space="preserve">6.0</w:t>
            </w:r>
          </w:p>
        </w:tc>
      </w:tr>
      <w:tr>
        <w:trPr>
          <w:cantSplit/>
        </w:trPr>
        <w:tc>
          <w:tcPr>
            <w:tcW w:w="2600" w:type="dxa"/>
          </w:tcPr>
          <w:p>
            <w:pPr>
              <w:pStyle w:val="Compact"/>
              <w:spacing w:before="30" w:after="30"/>
            </w:pPr>
            <w:r>
              <w:rPr>
                <w:b/>
                <w:bCs/>
                <w:sz w:val="17"/>
              </w:rPr>
              <w:t xml:space="preserve">Gemma-3 12B</w:t>
            </w:r>
          </w:p>
        </w:tc>
        <w:tc>
          <w:tcPr>
            <w:tcW w:w="1200" w:type="dxa"/>
          </w:tcPr>
          <w:p>
            <w:pPr>
              <w:pStyle w:val="Compact"/>
              <w:spacing w:before="30" w:after="30"/>
            </w:pPr>
            <w:r>
              <w:rPr>
                <w:sz w:val="17"/>
              </w:rPr>
              <w:t xml:space="preserve">0.42</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-0.00</w:t>
            </w:r>
          </w:p>
        </w:tc>
        <w:tc>
          <w:tcPr>
            <w:tcW w:w="1360" w:type="dxa"/>
          </w:tcPr>
          <w:p>
            <w:pPr>
              <w:pStyle w:val="Compact"/>
              <w:spacing w:before="30" w:after="30"/>
            </w:pPr>
            <w:r>
              <w:rPr>
                <w:sz w:val="17"/>
              </w:rPr>
              <w:t xml:space="preserve">11.5</w:t>
            </w:r>
          </w:p>
        </w:tc>
      </w:tr>
      <w:tr>
        <w:trPr>
          <w:cantSplit/>
        </w:trPr>
        <w:tc>
          <w:tcPr>
            <w:tcW w:w="2600" w:type="dxa"/>
          </w:tcPr>
          <w:p>
            <w:pPr>
              <w:pStyle w:val="Compact"/>
              <w:spacing w:before="30" w:after="30"/>
            </w:pPr>
            <w:r>
              <w:rPr>
                <w:b/>
                <w:bCs/>
                <w:sz w:val="17"/>
              </w:rPr>
              <w:t xml:space="preserve">Gemma-3 27B</w:t>
            </w:r>
          </w:p>
        </w:tc>
        <w:tc>
          <w:tcPr>
            <w:tcW w:w="1200" w:type="dxa"/>
          </w:tcPr>
          <w:p>
            <w:pPr>
              <w:pStyle w:val="Compact"/>
              <w:spacing w:before="30" w:after="30"/>
            </w:pPr>
            <w:r>
              <w:rPr>
                <w:sz w:val="17"/>
              </w:rPr>
              <w:t xml:space="preserve">0.42</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-0.02</w:t>
            </w:r>
          </w:p>
        </w:tc>
        <w:tc>
          <w:tcPr>
            <w:tcW w:w="1360" w:type="dxa"/>
          </w:tcPr>
          <w:p>
            <w:pPr>
              <w:pStyle w:val="Compact"/>
              <w:spacing w:before="30" w:after="30"/>
            </w:pPr>
            <w:r>
              <w:rPr>
                <w:sz w:val="17"/>
              </w:rPr>
              <w:t xml:space="preserve">4.4</w:t>
            </w:r>
          </w:p>
        </w:tc>
      </w:tr>
      <w:tr>
        <w:trPr>
          <w:cantSplit/>
        </w:trPr>
        <w:tc>
          <w:tcPr>
            <w:tcW w:w="2600" w:type="dxa"/>
          </w:tcPr>
          <w:p>
            <w:pPr>
              <w:pStyle w:val="Compact"/>
              <w:spacing w:before="30" w:after="30"/>
            </w:pPr>
            <w:r>
              <w:rPr>
                <w:b/>
                <w:bCs/>
                <w:sz w:val="17"/>
              </w:rPr>
              <w:t xml:space="preserve">Llama-3.1 8B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-0.06</w:t>
            </w:r>
          </w:p>
        </w:tc>
        <w:tc>
          <w:tcPr>
            <w:tcW w:w="1400" w:type="dxa"/>
          </w:tcPr>
          <w:p>
            <w:pPr>
              <w:pStyle w:val="Compact"/>
              <w:spacing w:before="30" w:after="30"/>
            </w:pPr>
            <w:r>
              <w:rPr>
                <w:sz w:val="17"/>
              </w:rPr>
              <w:t xml:space="preserve">-0.15</w:t>
            </w:r>
          </w:p>
        </w:tc>
        <w:tc>
          <w:tcPr>
            <w:tcW w:w="1400" w:type="dxa"/>
          </w:tcPr>
          <w:p>
            <w:pPr>
              <w:pStyle w:val="Compact"/>
              <w:spacing w:before="30" w:after="30"/>
            </w:pPr>
            <w:r>
              <w:rPr>
                <w:sz w:val="17"/>
              </w:rPr>
              <w:t xml:space="preserve">-0.23</w:t>
            </w:r>
          </w:p>
        </w:tc>
        <w:tc>
          <w:tcPr>
            <w:tcW w:w="1360" w:type="dxa"/>
          </w:tcPr>
          <w:p>
            <w:pPr>
              <w:pStyle w:val="Compact"/>
              <w:spacing w:before="30" w:after="30"/>
            </w:pPr>
            <w:r>
              <w:rPr>
                <w:sz w:val="17"/>
              </w:rPr>
              <w:t xml:space="preserve">1.4</w:t>
            </w:r>
          </w:p>
        </w:tc>
      </w:tr>
      <w:tr>
        <w:trPr>
          <w:cantSplit/>
        </w:trPr>
        <w:tc>
          <w:tcPr>
            <w:tcW w:w="2600" w:type="dxa"/>
          </w:tcPr>
          <w:p>
            <w:pPr>
              <w:pStyle w:val="Compact"/>
              <w:spacing w:before="30" w:after="30"/>
            </w:pPr>
            <w:r>
              <w:rPr>
                <w:b/>
                <w:bCs/>
                <w:sz w:val="17"/>
              </w:rPr>
              <w:t xml:space="preserve">Llama-3.1 70B</w:t>
            </w:r>
          </w:p>
        </w:tc>
        <w:tc>
          <w:tcPr>
            <w:tcW w:w="1200" w:type="dxa"/>
          </w:tcPr>
          <w:p>
            <w:pPr>
              <w:pStyle w:val="Compact"/>
              <w:spacing w:before="30" w:after="30"/>
            </w:pPr>
            <w:r>
              <w:rPr>
                <w:sz w:val="17"/>
              </w:rPr>
              <w:t xml:space="preserve">0.41</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-0.07</w:t>
            </w:r>
          </w:p>
        </w:tc>
        <w:tc>
          <w:tcPr>
            <w:tcW w:w="1360" w:type="dxa"/>
          </w:tcPr>
          <w:p>
            <w:pPr>
              <w:pStyle w:val="Compact"/>
              <w:spacing w:before="30" w:after="30"/>
            </w:pPr>
            <w:r>
              <w:rPr>
                <w:sz w:val="17"/>
              </w:rPr>
              <w:t xml:space="preserve">2.3</w:t>
            </w:r>
          </w:p>
        </w:tc>
      </w:tr>
      <w:tr>
        <w:trPr>
          <w:cantSplit/>
        </w:trPr>
        <w:tc>
          <w:tcPr>
            <w:tcW w:w="2600" w:type="dxa"/>
          </w:tcPr>
          <w:p>
            <w:pPr>
              <w:pStyle w:val="Compact"/>
              <w:spacing w:before="30" w:after="30"/>
            </w:pPr>
            <w:r>
              <w:rPr>
                <w:b/>
                <w:bCs/>
                <w:sz w:val="17"/>
              </w:rPr>
              <w:t xml:space="preserve">Ministral 3B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-0.13</w:t>
            </w:r>
          </w:p>
        </w:tc>
        <w:tc>
          <w:tcPr>
            <w:tcW w:w="1400" w:type="dxa"/>
          </w:tcPr>
          <w:p>
            <w:pPr>
              <w:pStyle w:val="Compact"/>
              <w:spacing w:before="30" w:after="30"/>
            </w:pPr>
            <w:r>
              <w:rPr>
                <w:sz w:val="17"/>
              </w:rPr>
              <w:t xml:space="preserve">-0.29</w:t>
            </w:r>
          </w:p>
        </w:tc>
        <w:tc>
          <w:tcPr>
            <w:tcW w:w="1400" w:type="dxa"/>
          </w:tcPr>
          <w:p>
            <w:pPr>
              <w:pStyle w:val="Compact"/>
              <w:spacing w:before="30" w:after="30"/>
            </w:pPr>
            <w:r>
              <w:rPr>
                <w:sz w:val="17"/>
              </w:rPr>
              <w:t xml:space="preserve">-0.46</w:t>
            </w:r>
          </w:p>
        </w:tc>
        <w:tc>
          <w:tcPr>
            <w:tcW w:w="1360" w:type="dxa"/>
          </w:tcPr>
          <w:p>
            <w:pPr>
              <w:pStyle w:val="Compact"/>
              <w:spacing w:before="30" w:after="30"/>
            </w:pPr>
            <w:r>
              <w:rPr>
                <w:sz w:val="17"/>
              </w:rPr>
              <w:t xml:space="preserve">1.1</w:t>
            </w:r>
          </w:p>
        </w:tc>
      </w:tr>
      <w:tr>
        <w:trPr>
          <w:cantSplit/>
        </w:trPr>
        <w:tc>
          <w:tcPr>
            <w:tcW w:w="2600" w:type="dxa"/>
          </w:tcPr>
          <w:p>
            <w:pPr>
              <w:pStyle w:val="Compact"/>
              <w:spacing w:before="30" w:after="30"/>
            </w:pPr>
            <w:r>
              <w:rPr>
                <w:b/>
                <w:bCs/>
                <w:sz w:val="17"/>
              </w:rPr>
              <w:t xml:space="preserve">Ministral 8B</w:t>
            </w:r>
          </w:p>
        </w:tc>
        <w:tc>
          <w:tcPr>
            <w:tcW w:w="1200" w:type="dxa"/>
          </w:tcPr>
          <w:p>
            <w:pPr>
              <w:pStyle w:val="Compact"/>
              <w:spacing w:before="30" w:after="30"/>
            </w:pPr>
            <w:r>
              <w:rPr>
                <w:sz w:val="17"/>
              </w:rPr>
              <w:t xml:space="preserve">0.38</w:t>
            </w:r>
          </w:p>
        </w:tc>
        <w:tc>
          <w:tcPr>
            <w:tcW w:w="1400" w:type="dxa"/>
          </w:tcPr>
          <w:p>
            <w:pPr>
              <w:pStyle w:val="Compact"/>
              <w:spacing w:before="30" w:after="30"/>
            </w:pPr>
            <w:r>
              <w:rPr>
                <w:sz w:val="17"/>
              </w:rPr>
              <w:t xml:space="preserve">-0.05</w:t>
            </w:r>
          </w:p>
        </w:tc>
        <w:tc>
          <w:tcPr>
            <w:tcW w:w="1400" w:type="dxa"/>
          </w:tcPr>
          <w:p>
            <w:pPr>
              <w:pStyle w:val="Compact"/>
              <w:spacing w:before="30" w:after="30"/>
            </w:pPr>
            <w:r>
              <w:rPr>
                <w:sz w:val="17"/>
              </w:rPr>
              <w:t xml:space="preserve">-0.18</w:t>
            </w:r>
          </w:p>
        </w:tc>
        <w:tc>
          <w:tcPr>
            <w:tcW w:w="1400" w:type="dxa"/>
          </w:tcPr>
          <w:p>
            <w:pPr>
              <w:pStyle w:val="Compact"/>
              <w:spacing w:before="30" w:after="30"/>
            </w:pPr>
            <w:r>
              <w:rPr>
                <w:sz w:val="17"/>
              </w:rPr>
              <w:t xml:space="preserve">-0.31</w:t>
            </w:r>
          </w:p>
        </w:tc>
        <w:tc>
          <w:tcPr>
            <w:tcW w:w="1360" w:type="dxa"/>
          </w:tcPr>
          <w:p>
            <w:pPr>
              <w:pStyle w:val="Compact"/>
              <w:spacing w:before="30" w:after="30"/>
            </w:pPr>
            <w:r>
              <w:rPr>
                <w:sz w:val="17"/>
              </w:rPr>
              <w:t xml:space="preserve">1.3</w:t>
            </w:r>
          </w:p>
        </w:tc>
      </w:tr>
      <w:tr>
        <w:trPr>
          <w:cantSplit/>
        </w:trPr>
        <w:tc>
          <w:tcPr>
            <w:tcW w:w="2600" w:type="dxa"/>
          </w:tcPr>
          <w:p>
            <w:pPr>
              <w:pStyle w:val="Compact"/>
              <w:spacing w:before="30" w:after="30"/>
            </w:pPr>
            <w:r>
              <w:rPr>
                <w:b/>
                <w:bCs/>
                <w:sz w:val="17"/>
              </w:rPr>
              <w:t xml:space="preserve">Ministral 14B</w:t>
            </w:r>
          </w:p>
        </w:tc>
        <w:tc>
          <w:tcPr>
            <w:tcW w:w="1200" w:type="dxa"/>
          </w:tcPr>
          <w:p>
            <w:pPr>
              <w:pStyle w:val="Compact"/>
              <w:spacing w:before="30" w:after="30"/>
            </w:pPr>
            <w:r>
              <w:rPr>
                <w:sz w:val="17"/>
              </w:rPr>
              <w:t xml:space="preserve">0.46</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-0.09</w:t>
            </w:r>
          </w:p>
        </w:tc>
        <w:tc>
          <w:tcPr>
            <w:tcW w:w="1400" w:type="dxa"/>
          </w:tcPr>
          <w:p>
            <w:pPr>
              <w:pStyle w:val="Compact"/>
              <w:spacing w:before="30" w:after="30"/>
            </w:pPr>
            <w:r>
              <w:rPr>
                <w:sz w:val="17"/>
              </w:rPr>
              <w:t xml:space="preserve">-0.18</w:t>
            </w:r>
          </w:p>
        </w:tc>
        <w:tc>
          <w:tcPr>
            <w:tcW w:w="1360" w:type="dxa"/>
          </w:tcPr>
          <w:p>
            <w:pPr>
              <w:pStyle w:val="Compact"/>
              <w:spacing w:before="30" w:after="30"/>
            </w:pPr>
            <w:r>
              <w:rPr>
                <w:sz w:val="17"/>
              </w:rPr>
              <w:t xml:space="preserve">1.7</w:t>
            </w:r>
          </w:p>
        </w:tc>
      </w:tr>
      <w:tr>
        <w:trPr>
          <w:cantSplit/>
        </w:trPr>
        <w:tc>
          <w:tcPr>
            <w:tcW w:w="2600" w:type="dxa"/>
          </w:tcPr>
          <w:p>
            <w:pPr>
              <w:pStyle w:val="Compact"/>
              <w:spacing w:before="30" w:after="30"/>
            </w:pPr>
            <w:r>
              <w:rPr>
                <w:b/>
                <w:bCs/>
                <w:sz w:val="17"/>
              </w:rPr>
              <w:t xml:space="preserve">Qwen2.5 7B</w:t>
            </w:r>
          </w:p>
        </w:tc>
        <w:tc>
          <w:tcPr>
            <w:tcW w:w="1200" w:type="dxa"/>
          </w:tcPr>
          <w:p>
            <w:pPr>
              <w:pStyle w:val="Compact"/>
              <w:spacing w:before="30" w:after="30"/>
            </w:pPr>
            <w:r>
              <w:rPr>
                <w:sz w:val="17"/>
              </w:rPr>
              <w:t xml:space="preserve">0.36</w:t>
            </w:r>
          </w:p>
        </w:tc>
        <w:tc>
          <w:tcPr>
            <w:tcW w:w="1400" w:type="dxa"/>
          </w:tcPr>
          <w:p>
            <w:pPr>
              <w:pStyle w:val="Compact"/>
              <w:spacing w:before="30" w:after="30"/>
            </w:pPr>
            <w:r>
              <w:rPr>
                <w:sz w:val="17"/>
              </w:rPr>
              <w:t xml:space="preserve">+0.03</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-0.03</w:t>
            </w:r>
          </w:p>
        </w:tc>
        <w:tc>
          <w:tcPr>
            <w:tcW w:w="1360" w:type="dxa"/>
          </w:tcPr>
          <w:p>
            <w:pPr>
              <w:pStyle w:val="Compact"/>
              <w:spacing w:before="30" w:after="30"/>
            </w:pPr>
            <w:r>
              <w:rPr>
                <w:sz w:val="17"/>
              </w:rPr>
              <w:t xml:space="preserve">3.0</w:t>
            </w:r>
          </w:p>
        </w:tc>
      </w:tr>
      <w:tr>
        <w:trPr>
          <w:cantSplit/>
        </w:trPr>
        <w:tc>
          <w:tcPr>
            <w:tcW w:w="2600" w:type="dxa"/>
            <w:tcBorders>
              <w:bottom w:val="single" w:sz="8" w:space="0" w:color="000000"/>
            </w:tcBorders>
          </w:tcPr>
          <w:p>
            <w:pPr>
              <w:pStyle w:val="Compact"/>
              <w:spacing w:before="30" w:after="30"/>
            </w:pPr>
            <w:r>
              <w:rPr>
                <w:b/>
                <w:bCs/>
                <w:sz w:val="17"/>
              </w:rPr>
              <w:t xml:space="preserve">Qwen2.5 72B</w:t>
            </w:r>
          </w:p>
        </w:tc>
        <w:tc>
          <w:tcPr>
            <w:tcW w:w="1200" w:type="dxa"/>
            <w:tcBorders>
              <w:bottom w:val="single" w:sz="8" w:space="0" w:color="000000"/>
            </w:tcBorders>
          </w:tcPr>
          <w:p>
            <w:pPr>
              <w:pStyle w:val="Compact"/>
              <w:spacing w:before="30" w:after="30"/>
            </w:pPr>
            <w:r>
              <w:rPr>
                <w:sz w:val="17"/>
              </w:rPr>
              <w:t xml:space="preserve">0.54</w:t>
            </w:r>
          </w:p>
        </w:tc>
        <w:tc>
          <w:tcPr>
            <w:tcW w:w="1400" w:type="dxa"/>
            <w:tcBorders>
              <w:bottom w:val="single" w:sz="8" w:space="0" w:color="000000"/>
            </w:tcBorders>
          </w:tcPr>
          <w:p>
            <w:pPr>
              <w:pStyle w:val="Compact"/>
              <w:spacing w:before="30" w:after="30"/>
            </w:pPr>
            <w:r>
              <w:rPr>
                <w:sz w:val="17"/>
              </w:rPr>
              <w:t xml:space="preserve">+0.05</w:t>
            </w:r>
          </w:p>
        </w:tc>
        <w:tc>
          <w:tcPr>
            <w:tcW w:w="1400" w:type="dxa"/>
            <w:tcBorders>
              <w:bottom w:val="single" w:sz="8" w:space="0" w:color="000000"/>
            </w:tcBorders>
          </w:tcPr>
          <w:p>
            <w:pPr>
              <w:pStyle w:val="Compact"/>
              <w:spacing w:before="30" w:after="30"/>
            </w:pPr>
            <w:r>
              <w:rPr>
                <w:sz w:val="17"/>
              </w:rPr>
              <w:t xml:space="preserve">+0.00</w:t>
            </w:r>
          </w:p>
        </w:tc>
        <w:tc>
          <w:tcPr>
            <w:tcW w:w="1400" w:type="dxa"/>
            <w:tcBorders>
              <w:bottom w:val="single" w:sz="8" w:space="0" w:color="000000"/>
            </w:tcBorders>
          </w:tcPr>
          <w:p>
            <w:pPr>
              <w:pStyle w:val="Compact"/>
              <w:spacing w:before="30" w:after="30"/>
            </w:pPr>
            <w:r>
              <w:rPr>
                <w:sz w:val="17"/>
              </w:rPr>
              <w:t xml:space="preserve">-0.05</w:t>
            </w:r>
          </w:p>
        </w:tc>
        <w:tc>
          <w:tcPr>
            <w:tcW w:w="1360" w:type="dxa"/>
            <w:tcBorders>
              <w:bottom w:val="single" w:sz="8" w:space="0" w:color="000000"/>
            </w:tcBorders>
          </w:tcPr>
          <w:p>
            <w:pPr>
              <w:pStyle w:val="Compact"/>
              <w:spacing w:before="30" w:after="30"/>
            </w:pPr>
            <w:r>
              <w:rPr>
                <w:sz w:val="17"/>
              </w:rPr>
              <w:t xml:space="preserve">2.5</w:t>
            </w:r>
          </w:p>
        </w:tc>
      </w:tr>
    </w:tbl>
    <w:p>
      <w:pPr>
        <w:pStyle w:val="BodyText"/>
        <w:spacing w:before="60"/>
      </w:pPr>
      <w:r>
        <w:rPr>
          <w:sz w:val="18"/>
        </w:rPr>
        <w:t xml:space="preserve">V(π) = π·P</w:t>
      </w:r>
      <w:r>
        <w:rPr>
          <w:sz w:val="18"/>
          <w:vertAlign w:val="subscript"/>
        </w:rPr>
        <w:t xml:space="preserve">a</w:t>
      </w:r>
      <w:r>
        <w:rPr>
          <w:sz w:val="18"/>
        </w:rPr>
        <w:t xml:space="preserve"> + (1 − π)·P</w:t>
      </w:r>
      <w:r>
        <w:rPr>
          <w:sz w:val="18"/>
          <w:vertAlign w:val="subscript"/>
        </w:rPr>
        <w:t xml:space="preserve">w</w:t>
      </w:r>
      <w:r>
        <w:rPr>
          <w:sz w:val="18"/>
        </w:rPr>
        <w:t xml:space="preserve"> − π, with P</w:t>
      </w:r>
      <w:r>
        <w:rPr>
          <w:sz w:val="18"/>
          <w:vertAlign w:val="subscript"/>
        </w:rPr>
        <w:t xml:space="preserve">a</w:t>
      </w:r>
      <w:r>
        <w:rPr>
          <w:sz w:val="18"/>
        </w:rPr>
        <w:t xml:space="preserve"> and P</w:t>
      </w:r>
      <w:r>
        <w:rPr>
          <w:sz w:val="18"/>
          <w:vertAlign w:val="subscript"/>
        </w:rPr>
        <w:t xml:space="preserve">w</w:t>
      </w:r>
      <w:r>
        <w:rPr>
          <w:sz w:val="18"/>
        </w:rPr>
        <w:t xml:space="preserve"> the accuracy under a right and a wrong stance at e*; it assumes no behaviour and equals a − π for a delegate that never defers.</w:t>
      </w:r>
    </w:p>
    <w:p>
      <w:pPr>
        <w:pStyle w:val="BodyText"/>
      </w:pPr>
      <w:r>
        <w:t xml:space="preserve">Ranking by ability preserves value at the top and little elsewhere. The rank correlation between ability and value is 0.81 at π = .5, 0.77 at π = .7 and 0.70 at π = .9 (intervals 0.72–0.90, 0.62–0.85, 0.63–0.79), and the regret from choosing the highest-ability model is zero at all three priors. Ranking by ability is value-optimal at both ends of π in 0.52 of model pairs (interval 0.50 to 0.54); because the lower bound is .50, H5 is not supported by the fixed rule. The reason is that the ten open-weight models are worth little or nothing to a requester whose own accuracy is .5 or higher: their value is between -0.13 and +0.05 at π = .5 and between -0.46 and 0.00 at π = .9, because their ability, 0.35 to 0.54, is below the requester's accuracy once π is above about .5 (Proposition 3: deference then moves the answer back toward the requester's prior). Gemma-3 12B, which follows the stance almost always, has value 0.00: it returns the requester's own view. Where ability is high, the overstatement factor 1/(1 − s*) is close to one (1.11 for Haiku 4.5, 1.02 for Sonnet 5.5, 1.00 for Opus 5.5 and Fable 5.1); it is 2.5 to 11.5 for the open-weight models with the most deference, but there the baseline ability-based value a − π is itself below zero for π ≥ .5, so the factor describes a quantity no buyer would pay for.</w:t>
      </w:r>
    </w:p>
    <w:p>
      <w:pPr>
        <w:pStyle w:val="Heading3"/>
      </w:pPr>
      <w:r>
        <w:t xml:space="preserve">6.6 Robustness</w:t>
      </w:r>
    </w:p>
    <w:p>
      <w:pPr>
        <w:pStyle w:val="BodyText"/>
      </w:pPr>
      <w:r>
        <w:t xml:space="preserve">Full tables for the robustness analyses are in Online Appendix F. Unparseable answers coded as errors instead of missing change s* by at most 0.07 (Gemma-3 12B, from 0.91 to 0.84) and leave the other models within 0.05; ability falls by at most 0.02. Dropping one domain at a time changes s* by at most 0.03 to 0.13 depending on the domain (the largest change is for Qwen2.5 7B when domain 4, the eligibility score, is dropped) and the evidence slope by at most 0.03. The H1 result is unchanged in every variant (ρ above zero for ten models), but the H3 classification is not fully stable: Ministral 3B moves from evidence-weighing to mixed in all six domain-exclusion runs, Haiku 4.5 does so when domain 3 or 6 is dropped, Gemma-3 12B moves to deference-consistent when unparseable answers are coded as errors or when domain 4 or 5 is dropped (its f(e) is near 1 at every level), and Gemma-3 4B moves to evidence-weighing without domain 4. These variants use 500 resamples, so borderline classifications should be read as unsettled. Rotating the option letters leaves ability within 0.05 of the unrotated value, with an interval excluding zero for Ministral 14B (-0.041) and a trivial one for Sonnet 5.5 (+0.002); it raises the stance-following rate f(e*) with an interval excluding zero for Ministral 3B (+0.27, from 0.22 to 0.49), Gemma-3 4B (+0.07), Qwen2.5 72B (+0.06) and Qwen2.5 7B (+0.03). These four models therefore carry a letter-position component in their stance-following, and the Ministral 3B estimate in particular should be read with it in mind. Serving providers differ. For Gemma-3 12B, one provider returned an unparseable answer on 33.6% of calls and another on none; for Gemma-3 4B the figures are 17.2% and none. Stripping a leading “&gt;” that these responses carry recovers 495 of the 787 failures for Gemma-3 12B and moves s* from 0.913 to 0.908 (exploratory). The stance-following rate for Llama-3.1 8B ranges from 0.44 to 0.75 across four providers (9 to 330 stems per provider) and for Gemma-3 27B from 0.78 to 0.92 across five, so the model-level estimates average over providers that do not behave alike.</w:t>
      </w:r>
    </w:p>
    <w:p>
      <w:pPr>
        <w:pStyle w:val="BodyText"/>
      </w:pPr>
      <w:r>
        <w:t xml:space="preserve">Departures from the plan and exploratory analyses. The rank correlation in H1 needs the bootstrap draws, which analysis.py does not save, and was computed afterwards by a separate script (decisions.py) with the same resampling and seed; the intervals for the rotation checks were computed after the main analysis; the robustness analyses use 500 instead of 2,000 resamples; and the provider split and the treatment of the leading “&gt;” are exploratory. The run was interrupted several times (twice by shell restarts, once by a manual stop to add credit, and once by the background time limit) and resumed with the same command, which skips finished calls; call order was shuffled with a fixed seed, so interruption does not bias which cells are complete, and no call was repeated or discarded (176,400 unique calls).</w:t>
      </w:r>
    </w:p>
    <w:p>
      <w:pPr>
        <w:pStyle w:val="Heading2"/>
      </w:pPr>
      <w:r>
        <w:t xml:space="preserve">7. Discussion</w:t>
      </w:r>
    </w:p>
    <w:p>
      <w:pPr>
        <w:pStyle w:val="Heading3"/>
      </w:pPr>
      <w:r>
        <w:t xml:space="preserve">7.1 Findings</w:t>
      </w:r>
    </w:p>
    <w:p>
      <w:pPr>
        <w:pStyle w:val="BodyText"/>
      </w:pPr>
      <w:r>
        <w:t xml:space="preserve">Three results stand out. First, the conventional measure of deference is mostly right for stable models and badly wrong for unstable ones: the baseline removes a median 9% but 21% to 75% for the five least stable models, and the share removed tracks instability closely (rank correlation 0.90). The managerial message therefore depends on which reviewer a firm has: for the unstable models it is to buy stability and test before paying; for the stable ones it is that the raw measure can be trusted. Second, stance-following is not blind. Models follow a stance more when it claims colleague review, less when it is disclaimed, and the disclaimer lowers the rate in 11 of the 12 models that follow the stance at all; no model with a stance effect meets the rule for pure deference. But the responses are small where following is highest and weak in the requester's disclosed accuracy: at a stated 20% track record the open-weight models still follow a wrong stance on 0.19 to 0.98 of stems. The models react to the form of the evidence more than to its strength. Third, scale and ability do not settle value. Ability is higher for the larger model in every family, but the corrected stance effect is lower in only 3 of 5 families, and ten of the fourteen models have ability of only 0.35 to 0.54, so for a requester whose own accuracy is .5 or higher reviewing adds little or nothing beyond acting on the requester's view.</w:t>
      </w:r>
    </w:p>
    <w:p>
      <w:pPr>
        <w:pStyle w:val="Heading3"/>
      </w:pPr>
      <w:r>
        <w:t xml:space="preserve">7.2 Theory</w:t>
      </w:r>
    </w:p>
    <w:p>
      <w:pPr>
        <w:pStyle w:val="BodyText"/>
      </w:pPr>
      <w:r>
        <w:t xml:space="preserve">Proposition 3 predicts that deference raises a naive requester's value when the delegate is less accurate than the requester's preference, and the data show that case for most open-weight models: their value is close to zero or negative at π = .5 to .9. Proposition 6 says a stance weight is costless only up to the rate that is rational for the requester's accuracy, and that no fixed weight suits requesters who differ in π. The weak accuracy gradient bears on this directly: a delegate that weighed a disclosed 20% track record rationally would follow the stance far less than one told 80%, and most models change by 0.09 or less between the two (Ministral 8B, 0.22, is the exception). A fixed, evidence-form-driven weight is the pattern Proposition 6 warns about. Proposition 5 did not describe the data: the covariance of ability and deference across stems is positive for 8 models, not negative, and the closed form with measured deference was a poor guide to the model-free value (Section 6.4). We read this as a limit of the measurement, which estimates stem-level deference from one draw, and not as a refutation of the identity.</w:t>
      </w:r>
    </w:p>
    <w:p>
      <w:pPr>
        <w:pStyle w:val="Heading3"/>
      </w:pPr>
      <w:r>
        <w:t xml:space="preserve">7.3 Practice: an audit protocol</w:t>
      </w:r>
    </w:p>
    <w:p>
      <w:pPr>
        <w:pStyle w:val="BodyText"/>
      </w:pPr>
      <w:r>
        <w:t xml:space="preserve">A firm can run the design on its own review items: re-ask each item twice with no stance, once with a neutral sentence of the same length, and once with a stance whose claimed evidence is graded and whose disclosed accuracy is varied; subtract the stance-free and neutral rates from the stance rate; read the gradients; and report the value of review at the requester accuracies the firm actually has. Stance-free benchmark accuracy is a ranking aid and not a level of value. On 600 items the 95% intervals for the corrected effect have half-widths between about 0.01 and 0.09 (Table 2), and the full run of 176,400 calls across fourteen models cost about US$170 as billed through the aggregator, so a firm auditing one or two models on a few hundred of its own items faces a modest cost. Blinding the delegate to the requester’s stance remains a hypothesis with an upper bound, s(a − π), on what it is worth; we did not test it.</w:t>
      </w:r>
    </w:p>
    <w:p>
      <w:pPr>
        <w:pStyle w:val="Heading3"/>
      </w:pPr>
      <w:r>
        <w:t xml:space="preserve">7.4 Implications for IS research</w:t>
      </w:r>
    </w:p>
    <w:p>
      <w:pPr>
        <w:pStyle w:val="BodyText"/>
      </w:pPr>
      <w:r>
        <w:t xml:space="preserve">For research on delegation to agentic artifacts, the finding that stance-following responds to the form of claimed evidence more than to its stated reliability suggests that reliance models should treat a requester’s framing as an input the delegate weighs by rule, not by calibrated trust. For the auditing of AI decision support, it shows that two reviewers with the same benchmark accuracy can differ by an order of magnitude in what a stated preference does to their answers (Ministral 3B and Qwen2.5 7B both answer 0.35 of the items correctly, yet their s* is 0.06 and 0.67), and that the difference can be measured at modest cost. For the design of review workflows in which the reviewer sees the requester’s view, it argues for measuring the gradient before relying on the reviewer, and for withholding the preference where the reviewer’s accuracy is high enough for review to be worth buying.</w:t>
      </w:r>
    </w:p>
    <w:p>
      <w:pPr>
        <w:pStyle w:val="Heading2"/>
        <w:rPr/>
      </w:pPr>
      <w:bookmarkStart w:id="40" w:name="limitations-pending-for-the-specifics"/>
      <w:r>
        <w:rPr/>
        <w:t>8. Limitations</w:t>
      </w:r>
    </w:p>
    <w:p>
      <w:pPr>
        <w:pStyle w:val="FirstParagraph"/>
        <w:rPr/>
      </w:pPr>
      <w:r>
        <w:rPr/>
        <w:t>We study models, not people, and the requester is naive or Bayesian by assumption. Items are synthetic and template-generated, with binary-like decisions, single-turn prompts, and a single stance format family. The additive correction s* = f(e*) − ρ understates deference if instability and deference combine as a mixture, which s_mix addresses; s_mix exceeds s* by up to 0.15 (Llama-3.1 8B, 0.29 and 0.44) and by at most 0.08 for models with ρ of 0.1 or less. Three commercial tiers that reason before answering were given a longer token limit than the other eleven models. In a stance-free pilot, five of the open-weight models were answered by more than one provider; the provider is recorded for every call and results are reported by provider. Ten of the fourteen models answer only about a third to a half of the items correctly, and for three of them (Gemma-3 4B, Ministral 3B, Qwen2.5 7B) ability is indistinguishable from guessing, so their conditional set is partly a product of luck and their conditional measures should be read with the stance-free baseline. Model-level estimates average over serving providers that do not behave alike, and the stance-following rate under rotated letters differs for four models, so part of the measured following is a position effect. The H3 rule labels a model with no stance effect as deference-consistent, which is a limitation of the rule, and the classification of several models changes when one domain is dropped. Stem-level deference is estimated from one draw per stem, which limits the test of Proposition 5. The results describe the model versions and providers available in October 2026.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pPr>
        <w:pStyle w:val="Heading2"/>
        <w:rPr/>
      </w:pPr>
      <w:bookmarkStart w:id="44" w:name="references"/>
      <w:r>
        <w:rPr/>
        <w:t>References</w:t>
      </w:r>
    </w:p>
    <w:p>
      <w:pPr>
        <w:pStyle w:val="BodyText"/>
        <w:rPr/>
      </w:pPr>
      <w:r>
        <w:rPr/>
        <w:t xml:space="preserve">Aghion P, Tirole J (1997) Formal and real authority in organizations. </w:t>
      </w:r>
      <w:r>
        <w:rPr>
          <w:i/>
          <w:iCs/>
        </w:rPr>
        <w:t>Journal of Political Economy</w:t>
      </w:r>
      <w:r>
        <w:rPr/>
        <w:t xml:space="preserve"> 105(1):1–29.</w:t>
      </w:r>
    </w:p>
    <w:p>
      <w:pPr>
        <w:pStyle w:val="BodyText"/>
        <w:rPr/>
      </w:pPr>
      <w:r>
        <w:rPr/>
        <w:t xml:space="preserve">Agrawal A, Gans JS, Goldfarb A (2019) Exploring the impact of artificial intelligence: Prediction versus judgment. </w:t>
      </w:r>
      <w:r>
        <w:rPr>
          <w:i/>
          <w:iCs/>
        </w:rPr>
        <w:t>Information Economics and Policy</w:t>
      </w:r>
      <w:r>
        <w:rPr/>
        <w:t xml:space="preserve"> 47:1–6.</w:t>
      </w:r>
    </w:p>
    <w:p>
      <w:pPr>
        <w:pStyle w:val="BodyText"/>
        <w:rPr/>
      </w:pPr>
      <w:r>
        <w:rPr/>
        <w:t xml:space="preserve">Baird A, Maruping LM (2021) The next generation of research on IS use: A theoretical framework of delegation to and from agentic IS artifacts. </w:t>
      </w:r>
      <w:r>
        <w:rPr>
          <w:i/>
          <w:iCs/>
        </w:rPr>
        <w:t>MIS Quarterly</w:t>
      </w:r>
      <w:r>
        <w:rPr/>
        <w:t xml:space="preserve"> 45(1):315–341.</w:t>
      </w:r>
    </w:p>
    <w:p>
      <w:pPr>
        <w:pStyle w:val="BodyText"/>
        <w:rPr/>
      </w:pPr>
      <w:r>
        <w:rPr/>
        <w:t xml:space="preserve">Blackwell D (1953) Equivalent comparisons of experiments. </w:t>
      </w:r>
      <w:r>
        <w:rPr>
          <w:i/>
          <w:iCs/>
        </w:rPr>
        <w:t>Annals of Mathematical Statistics</w:t>
      </w:r>
      <w:r>
        <w:rPr/>
        <w:t xml:space="preserve"> 24(2):265–272.</w:t>
      </w:r>
    </w:p>
    <w:p>
      <w:pPr>
        <w:pStyle w:val="BodyText"/>
        <w:rPr/>
      </w:pPr>
      <w:r>
        <w:rPr/>
        <w:t>Board of Governors of the Federal Reserve System (2011) Supervisory guidance on model risk management. SR Letter 11-7.</w:t>
      </w:r>
    </w:p>
    <w:p>
      <w:pPr>
        <w:pStyle w:val="BodyText"/>
        <w:rPr/>
      </w:pPr>
      <w:r>
        <w:rPr/>
        <w:t xml:space="preserve">Crawford VP, Sobel J (1982) Strategic information transmission. </w:t>
      </w:r>
      <w:r>
        <w:rPr>
          <w:i/>
          <w:iCs/>
        </w:rPr>
        <w:t>Econometrica</w:t>
      </w:r>
      <w:r>
        <w:rPr/>
        <w:t xml:space="preserve"> 50(6):1431–1451.</w:t>
      </w:r>
    </w:p>
    <w:p>
      <w:pPr>
        <w:pStyle w:val="BodyText"/>
        <w:rPr/>
      </w:pPr>
      <w:r>
        <w:rPr/>
        <w:t xml:space="preserve">Dessein W (2002) Authority and communication in organizations. </w:t>
      </w:r>
      <w:r>
        <w:rPr>
          <w:i/>
          <w:iCs/>
        </w:rPr>
        <w:t>Review of Economic Studies</w:t>
      </w:r>
      <w:r>
        <w:rPr/>
        <w:t xml:space="preserve"> 69(4):811–838.</w:t>
      </w:r>
    </w:p>
    <w:p>
      <w:pPr>
        <w:pStyle w:val="BodyText"/>
        <w:rPr/>
      </w:pPr>
      <w:r>
        <w:rPr/>
        <w:t xml:space="preserve">Eisenhardt KM (1989) Agency theory: An assessment and review. </w:t>
      </w:r>
      <w:r>
        <w:rPr>
          <w:i/>
          <w:iCs/>
        </w:rPr>
        <w:t>Academy of Management Review</w:t>
      </w:r>
      <w:r>
        <w:rPr/>
        <w:t xml:space="preserve"> 14(1):57–74.</w:t>
      </w:r>
    </w:p>
    <w:p>
      <w:pPr>
        <w:pStyle w:val="BodyText"/>
        <w:rPr/>
      </w:pPr>
      <w:r>
        <w:rPr/>
        <w:t xml:space="preserve">Fügener A, Grahl J, Gregory A, Kühl N (2022) Cognitive challenges in human–artificial intelligence collaboration: Investigating the path toward productive delegation. </w:t>
      </w:r>
      <w:r>
        <w:rPr>
          <w:i/>
          <w:iCs/>
        </w:rPr>
        <w:t>Information Systems Research</w:t>
      </w:r>
      <w:r>
        <w:rPr/>
        <w:t xml:space="preserve"> 33(2):678–696.</w:t>
      </w:r>
    </w:p>
    <w:p>
      <w:pPr>
        <w:pStyle w:val="BodyText"/>
        <w:rPr/>
      </w:pPr>
      <w:r>
        <w:rPr/>
        <w:t xml:space="preserve">Hoffmann J, Borgeaud S, Mensch A, et al. (2022) Training compute-optimal large language models. </w:t>
      </w:r>
      <w:r>
        <w:rPr>
          <w:i/>
          <w:iCs/>
        </w:rPr>
        <w:t>Advances in Neural Information Processing Systems</w:t>
      </w:r>
      <w:r>
        <w:rPr/>
        <w:t xml:space="preserve"> 35.</w:t>
      </w:r>
    </w:p>
    <w:p>
      <w:pPr>
        <w:pStyle w:val="BodyText"/>
        <w:rPr/>
      </w:pPr>
      <w:r>
        <w:rPr/>
        <w:t xml:space="preserve">Jensen MC, Meckling WH (1976) Theory of the firm: Managerial behavior, agency costs and ownership structure. </w:t>
      </w:r>
      <w:r>
        <w:rPr>
          <w:i/>
          <w:iCs/>
        </w:rPr>
        <w:t>Journal of Financial Economics</w:t>
      </w:r>
      <w:r>
        <w:rPr/>
        <w:t xml:space="preserve"> 3(4):305–360.</w:t>
      </w:r>
    </w:p>
    <w:p>
      <w:pPr>
        <w:pStyle w:val="BodyText"/>
        <w:rPr/>
      </w:pPr>
      <w:r>
        <w:rPr/>
        <w:t>Kaplan J, McCandlish S, Henighan T, et al. (2020) Scaling laws for neural language models. Preprint, submitted January 23, https://arxiv.org/abs/2001.08361.</w:t>
      </w:r>
    </w:p>
    <w:p>
      <w:pPr>
        <w:pStyle w:val="BodyText"/>
        <w:rPr/>
      </w:pPr>
      <w:r>
        <w:rPr/>
        <w:t xml:space="preserve">Ouyang L, Wu J, Jiang X, et al. (2022) Training language models to follow instructions with human feedback. </w:t>
      </w:r>
      <w:r>
        <w:rPr>
          <w:i/>
          <w:iCs/>
        </w:rPr>
        <w:t>Advances in Neural Information Processing Systems</w:t>
      </w:r>
      <w:r>
        <w:rPr/>
        <w:t xml:space="preserve"> 35.</w:t>
      </w:r>
    </w:p>
    <w:p>
      <w:pPr>
        <w:pStyle w:val="BodyText"/>
        <w:rPr/>
      </w:pPr>
      <w:r>
        <w:rPr/>
        <w:t>Perez E, Ringer S, Lukošiūtė K, et al. (2022) Discovering language model behaviors with model-written evaluations. Preprint, submitted December 19, https://arxiv.org/abs/2212.09251.</w:t>
      </w:r>
    </w:p>
    <w:p>
      <w:pPr>
        <w:pStyle w:val="BodyText"/>
        <w:rPr/>
      </w:pPr>
      <w:r>
        <w:rPr/>
        <w:t xml:space="preserve">Prendergast C (1993) A theory of “yes men.” </w:t>
      </w:r>
      <w:r>
        <w:rPr>
          <w:i/>
          <w:iCs/>
        </w:rPr>
        <w:t>American Economic Review</w:t>
      </w:r>
      <w:r>
        <w:rPr/>
        <w:t xml:space="preserve"> 83(4):757–770.</w:t>
      </w:r>
    </w:p>
    <w:p>
      <w:pPr>
        <w:pStyle w:val="BodyText"/>
        <w:rPr/>
      </w:pPr>
      <w:r>
        <w:rPr/>
        <w:t xml:space="preserve">Sarker S, Chatterjee S, Xiao X, Elbanna A (2019) The sociotechnical axis of cohesion for the IS discipline: Its historical legacy and its continued relevance. </w:t>
      </w:r>
      <w:r>
        <w:rPr>
          <w:i/>
          <w:iCs/>
        </w:rPr>
        <w:t>MIS Quarterly</w:t>
      </w:r>
      <w:r>
        <w:rPr/>
        <w:t xml:space="preserve"> 43(3):695–719.</w:t>
      </w:r>
    </w:p>
    <w:p>
      <w:pPr>
        <w:pStyle w:val="BodyText"/>
        <w:rPr/>
      </w:pPr>
      <w:r>
        <w:rPr/>
        <w:t>Sharma M, Tong M, Korbak T, et al. (2023) Towards understanding sycophancy in language models. Preprint, submitted October 20, https://arxiv.org/abs/2310.13548.</w:t>
      </w:r>
    </w:p>
    <w:p>
      <w:pPr>
        <w:pStyle w:val="BodyText"/>
        <w:rPr/>
      </w:pPr>
      <w:r>
        <w:rPr/>
        <w:t xml:space="preserve">Atil B, et al. (2024) Non-determinism of “deterministic” LLM settings. Preprint, arXiv:2408.04667.</w:t>
      </w:r>
    </w:p>
    <w:p>
      <w:pPr>
        <w:pStyle w:val="BodyText"/>
        <w:rPr/>
      </w:pPr>
      <w:r>
        <w:rPr/>
        <w:t xml:space="preserve">Dietvorst BJ, Simmons JP, Massey C (2015) Algorithm aversion: People erroneously avoid algorithms after seeing them err. </w:t>
      </w:r>
      <w:r>
        <w:rPr>
          <w:i/>
          <w:iCs/>
        </w:rPr>
        <w:t>Journal of Experimental Psychology: General</w:t>
      </w:r>
      <w:r>
        <w:rPr/>
        <w:t xml:space="preserve"> 144(1):114–126.</w:t>
      </w:r>
    </w:p>
    <w:p>
      <w:pPr>
        <w:pStyle w:val="BodyText"/>
        <w:rPr/>
      </w:pPr>
      <w:r>
        <w:rPr/>
        <w:t xml:space="preserve">Laban P, Murakhovs’ka L, Xiong C, Wu CS (2023) Are you sure? Challenging LLMs leads to performance drops in the FlipFlop experiment. Preprint, arXiv:2311.08596.</w:t>
      </w:r>
    </w:p>
    <w:p>
      <w:pPr>
        <w:pStyle w:val="BodyText"/>
        <w:rPr/>
      </w:pPr>
      <w:r>
        <w:rPr/>
        <w:t xml:space="preserve">Lee JD, See KA (2004) Trust in automation: Designing for appropriate reliance. </w:t>
      </w:r>
      <w:r>
        <w:rPr>
          <w:i/>
          <w:iCs/>
        </w:rPr>
        <w:t>Human Factors</w:t>
      </w:r>
      <w:r>
        <w:rPr/>
        <w:t xml:space="preserve"> 46(1):50–80.</w:t>
      </w:r>
    </w:p>
    <w:p>
      <w:pPr>
        <w:pStyle w:val="BodyText"/>
        <w:rPr/>
      </w:pPr>
      <w:r>
        <w:rPr/>
        <w:t xml:space="preserve">Logg JM, Minson JA, Moore DA (2019) Algorithm appreciation: People prefer algorithmic to human judgment. </w:t>
      </w:r>
      <w:r>
        <w:rPr>
          <w:i/>
          <w:iCs/>
        </w:rPr>
        <w:t>Organizational Behavior and Human Decision Processes</w:t>
      </w:r>
      <w:r>
        <w:rPr/>
        <w:t xml:space="preserve"> 151:90–103.</w:t>
      </w:r>
    </w:p>
    <w:p>
      <w:pPr>
        <w:pStyle w:val="BodyText"/>
        <w:rPr/>
      </w:pPr>
      <w:r>
        <w:rPr/>
        <w:t xml:space="preserve">Parasuraman R, Riley V (1997) Humans and automation: Use, misuse, disuse, abuse. </w:t>
      </w:r>
      <w:r>
        <w:rPr>
          <w:i/>
          <w:iCs/>
        </w:rPr>
        <w:t>Human Factors</w:t>
      </w:r>
      <w:r>
        <w:rPr/>
        <w:t xml:space="preserve"> 39(2):230–253.</w:t>
      </w:r>
    </w:p>
    <w:p>
      <w:pPr>
        <w:pStyle w:val="BodyText"/>
        <w:rPr/>
      </w:pPr>
      <w:r>
        <w:rPr/>
        <w:t xml:space="preserve">Sclar M, Choi Y, Tsvetkov Y, Suhr A (2024) Quantifying language models’ sensitivity to spurious features in prompt design. </w:t>
      </w:r>
      <w:r>
        <w:rPr>
          <w:i/>
          <w:iCs/>
        </w:rPr>
        <w:t>International Conference on Learning Representations</w:t>
      </w:r>
      <w:r>
        <w:rPr/>
        <w:t>.</w:t>
      </w:r>
    </w:p>
    <w:p>
      <w:pPr>
        <w:pStyle w:val="BodyText"/>
        <w:rPr/>
      </w:pPr>
      <w:r>
        <w:rPr/>
        <w:t xml:space="preserve">Turpin M, Michael J, Perez E, Bowman SR (2023) Language models don’t always say what they think: Unfaithful explanations in chain-of-thought prompting. </w:t>
      </w:r>
      <w:r>
        <w:rPr>
          <w:i/>
          <w:iCs/>
        </w:rPr>
        <w:t>Advances in Neural Information Processing Systems</w:t>
      </w:r>
      <w:r>
        <w:rPr/>
        <w:t xml:space="preserve"> 36.</w:t>
      </w:r>
    </w:p>
    <w:p>
      <w:pPr>
        <w:pStyle w:val="BodyText"/>
        <w:rPr/>
      </w:pPr>
      <w:r>
        <w:rPr/>
        <w:t xml:space="preserve">Wei J, Huang D, Lu Y, Zhou D, Le QV (2023) Simple synthetic data reduces sycophancy in large language models. Preprint, arXiv:2308.03958.</w:t>
      </w:r>
    </w:p>
    <w:p>
      <w:pPr>
        <w:pStyle w:val="BodyText"/>
        <w:spacing w:lineRule="auto" w:line="360" w:before="0" w:after="120"/>
        <w:rPr/>
      </w:pPr>
      <w:r>
        <w:rPr/>
        <w:t xml:space="preserve">Zheng C, Zhou H, Meng F, Zhou J, Huang M (2024) Large language models are not robust multiple choice selectors. </w:t>
      </w:r>
      <w:r>
        <w:rPr>
          <w:i/>
          <w:iCs/>
        </w:rPr>
        <w:t>International Conference on Learning Representations</w:t>
      </w:r>
      <w:r>
        <w:rPr/>
        <w:t>.</w:t>
      </w:r>
      <w:bookmarkEnd w:id="0"/>
      <w:bookmarkEnd w:id="4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