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Borrowing the distinction between state-dependent and time-dependent adjustment from the economics of price setting, we derive from a Poisson model of accumulating errors what each kind of refresh rule implies, and we test those implications on weekly issue, release, pull-request, and commit histories for 19 widely used open-source repositories in the LLM tooling ecosystem (3,432 repository-weeks; 2,456 releases). Bug reports do not rise with the time since the last release, whether counted in raw terms or relative to total issue volume, release probabilities show no significant response to surges in bug reports, and they show no detectable response to 38 upstream model launches. The intervals exclude large effects of release age on bug reports and of launches on release timing, but not modest responses to bug surges, so the evidence gives no support to the common reading of release frequency—a widely used signal of project health and maintenance quality—as an indicator of responsiveness to degradation. The release hazard instead tends to rise with the stock of merged changes since the last regular release, although the data cannot cleanly separate that stock from calendar time (median within-repository correlation 0.74). Releases therefore appear to follow accumulating work and not accumulating errors. For the open-source tooling layer of LLM applications, the findings suggest that release cadence should not be relied on as a monitoring signal; detecting degradation requires performance data that public repositories do not contain.</w:t>
      </w:r>
    </w:p>
    <w:p>
      <w:pPr>
        <w:pStyle w:val="BodyText"/>
      </w:pPr>
      <w:r>
        <w:rPr>
          <w:b/>
          <w:bCs/>
        </w:rPr>
        <w:t xml:space="preserve">Keywords:</w:t>
      </w:r>
      <w:r>
        <w:t xml:space="preserve"> open-source software; artificial intelligence; software maintenance; state-dependent adjustment; time-dependent adjustment; hazard models</w:t>
      </w:r>
    </w:p>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routinely treated by practitioners, buyers, and regulators as evidence that a project is actively maintained and that degradation is being managed. Our results give no support to this inference in the open-source LLM tooling ecosystem. Bug reports do not accumulate with release age, whether or not we account for overall issue volume, and releases show no significant response to observable signals of degradation (bug surges or upstream model launches). Release timing instead tends to track the accumulation of merged work. Release cadence therefore looks more like a signal of development activity than of responsiveness to system deterioration—a distinction that matters for the design of monitoring and governance of deployed AI systems.</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no. Bug reports do not rise with the age of a release, either in raw counts or relative to total issue volume, and the pooled estimate relative to issue volume is precise enough to rule out a 1 percent weekly increase. The answer to RQ3 is also no, with a qualification: releases show no significant response to surges in bug reports (although the data cannot rule out a modest one) and no detectable response to 38 upstream model launches, although release notes often mention a new model after its launch, which suggests that the content of releases responds while their timing does not. The answer to RQ2 is that the age profile of the release hazard is not what a response to errors would produce. Only one repository (vLLM) has a hazard that rises significantly with age, the pooled slope is not distinguishable from zero, and the raw hazard is highest in the week after a release, when hot-fixes are issued. 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accumulating work, not by accumulating errors and not clearly by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Second, it connects that distinction to the information systems literature on maintenance, which describes what maintenance consists of and what drives its cost but has not tested whether the timing of maintenance responds to measured deterioration (Section 2.2). Third, it provides evidence from 19 repositories that releases show no detectable relationship to accumulating errors, that they show no significant response to bug surges or detectable response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data that public repositories do not contain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whether the timing of releases responds to signals of system degradation—an aspect that remains untested even as AI systems are increasingly deployed in production.</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treats the count as the primary object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same properties hold in a discounted dynamic version of the model with unobserved payoff shocks (Rust 1987), where the monotonicity of the refresh probability can be proved.</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total issue volume and the age of the release)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(0.083)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0.010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(0.205)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(0.021)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(0.102)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(0.020)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0.017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(0.078)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−0.045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(0.117)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0.006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(1.627)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−0.019 (0.047)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(0.275)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−0.151 (0.064)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0.018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(0.176)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0.014 (0.033)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(1.615)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(0.028)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(0.110)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(0.010)</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(0.210)</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Pearson dispersion statistics (the Pearson chi-square divided by the residual degrees of freedom) are close to one in most repositories (median 0.94, range 0.48 to 1.94) and exceed 1.5 only in Transformers, autogen, semantic-kernel, Ollama, and vLLM. As a robustness check we also fit negative binomial models for specification (b) with the same offset and trend; the pooled age slope from these models is −0.0013 (95% CI −0.0092 to 0.0067). This is almost the same as the cycle-bootstrap Poisson estimate reported in Section 5.1 (−0.0013; −0.0091 to 0.0066), which is expected when dispersion is close to one; the two were computed separately. Poisson quasi-maximum likelihood with repository-clustered robust standard errors gives −0.0022 (−0.0102 to 0.0057).</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(and, in a second specification, in each of the previous three weeks), controlling for the standardized logarithm of total issues in the previous week (and, in a second specification, of non-bug issues in its place, since total issues contain the bug reports whose effect is being estimated), the age of the release capped at eight weeks, a linear time trend, and repository fixed effects, with standard errors clustered by repository. We also estimate the coefficient repository by repository and pool the estimates with the random-effects model above, and we compare release probabilities after a bug spike (a weekly bug count more than 1.5 standard deviations above the repository mean) with those in other weeks, controlling for total issues and repository fixed effects. Because there are only 19 clusters, we also report p-values from a wild cluster bootstrap with Webb weights (Cameron, Gelbach, and Miller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Heading2"/>
      </w:pPr>
      <w:r>
        <w:t xml:space="preserve">5 Results</w:t>
      </w:r>
    </w:p>
    <w:p>
      <w:pPr>
        <w:pStyle w:val="Heading3"/>
      </w:pPr>
      <w:r>
        <w:t xml:space="preserve">5.1 RQ1: Bug reports do not rise with the age of a release</w:t>
      </w:r>
    </w:p>
    <w:p>
      <w:pPr>
        <w:pStyle w:val="FirstParagraph"/>
      </w:pPr>
      <w:r>
        <w:t xml:space="preserve">Under specification (b), pooling the 19 repository-level slopes with a random-effects model, the log-rate slope of bug reports on weeks since release is −0.0013 per week (95% CI −0.009 to 0.007), with no detectable heterogeneity across repositories (</w:t>
      </w:r>
      <w:r>
        <w:rPr>
          <w:i/>
          <w:iCs/>
        </w:rPr>
        <w:t xml:space="preserve">τ²</w:t>
      </w:r>
      <w:r>
        <w:t xml:space="preserve"> = 0). The estimate is precise enough to rule out, for instance, a 1 percent weekly increase in the bug rate. Eight of the 19 repository-level slopes are positive and 11 are negative. None is significantly positive at the 5 percent level and one (semantic-kernel) is significantly negative, about what chance alone would produce among 19 tests. Negative binomial estimates give a pooled slope of −0.0013 (95% CI −0.0092 to 0.0067), nearly identical to the Poisson estimate because dispersion is close to one in most repositories, so the result does not depend on the Poisson variance assumption. Because bug reports enter the offset, this estimate is biased toward zero if errors rise, but in our synthetic checks (Section 4.3) the bias was not large enough to hide a planted rise. It is one of the two primary tests of H1.</w:t>
      </w:r>
    </w:p>
    <w:p>
      <w:pPr>
        <w:pStyle w:val="BodyText"/>
      </w:pPr>
      <w:r>
        <w:t xml:space="preserve">Under specification (a), raw bug counts do fall with age. Without any adjustment for total issue volume the pooled slope is −0.032 (95% CI −0.054 to −0.010), and in Transformers, bug counts fell from 22.1 per week in the first week after a release to 11.5 after five weeks. Once we account for the total number of issues filed, however, the decline disappears. The early surge appears to be a general burst of issue-filing right after a release, driven by attention, announcements, and defects together, and not a change in the share of reports that concern bugs. In the terms of Section 3, specification (a) is uninformative about the error state because of this burst, and specification (b) shows no sign of an accumulating error state.</w:t>
      </w:r>
    </w:p>
    <w:p>
      <w:pPr>
        <w:pStyle w:val="BodyText"/>
      </w:pPr>
      <w:r>
        <w:t xml:space="preserve">Specification (d), which adds indicators for the first three weeks after a release to the non-bug-issue control of specification (c), is the second primary test of H1, and (c) is reported for completeness. </w:t>
      </w:r>
      <w:r>
        <w:rPr>
          <w:highlight w:val="yellow"/>
        </w:rPr>
        <w:t xml:space="preserve">[TO BE REPORTED BEFORE SUBMISSION: pooled age slopes with 95% CIs under specifications (c) and (d), the number of positive and significantly positive repository-level slopes under (d), and the weekly increase in the bug rate that the (d) interval rules out.]</w:t>
      </w:r>
      <w:r>
        <w:t xml:space="preserve"> H1 is supported only if the slope under (b) or (d) is positive. If (d) is flat or negative, as (b) is, the conclusion that there is no accumulating error state does not depend on how issue volume is handled.</w:t>
      </w:r>
    </w:p>
    <w:p>
      <w:pPr>
        <w:pStyle w:val="Heading3"/>
      </w:pPr>
      <w:r>
        <w:t xml:space="preserve">5.2 RQ2: The release hazard does not rise with age</w:t>
      </w:r>
    </w:p>
    <w:p>
      <w:pPr>
        <w:pStyle w:val="FirstParagraph"/>
      </w:pPr>
      <w:r>
        <w:t xml:space="preserve">The pooled release-hazard logit slope is −0.091 per week of age (95% CI −0.213 to 0.032;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2.3),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Five repositories have a significantly negative slope, and three of them (anthropic-sdk-python, openai-python, and llama_index) are among the seven repositories with a median release cycle of one week, which also publish hot-fixes soon after a release. Excluding the seven weekly releasers gives a pooled slope of 0.038 (95% CI −0.084 to 0.159),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45 percent are classified as hot-fixes, from none in lm-evaluation-harness and FastChat to about three quarters in Ollama and llama_index. The hot-fix hazard is concentrated in the first week after a release: 40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58 percent of the 2,659 releases raise only the patch component of the previous version, and 77 percent of those appear within seven days of the previous release (median three days).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(18 repositories; FastChat has too few regular releases) pool to 0.096 (95% CI −0.006 to 0.198; </w:t>
      </w:r>
      <w:r>
        <w:rPr>
          <w:i/>
          <w:iCs/>
        </w:rPr>
        <w:t xml:space="preserve">τ²</w:t>
      </w:r>
      <w:r>
        <w:t xml:space="preserve"> = 0.030). Five are significantly positive (diffusers, peft, Transformers, Ollama, and vLLM) and one is significantly negative. In the pooled data, by contrast, the share of repository-weeks with a regular release falls from 0.37 at two weeks to 0.26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−0.117 per week for all releases (standard error 0.027; standard deviation of the intercept 1.10). It is −0.045 (0.018) when the seven weekly releasers are excluded and −0.099 (0.017) when only ages of two weeks or more are used. For regular releases measured from the last regular release the slope is 0.017 (0.015), and 0.059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1.05 across the 19 repositories, and 11 of them exceed one, which indicates bursts and gaps. For regular releases only, the median is 0.77 (range 0.33 to 1.72)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the error rate is flat.</w:t>
      </w:r>
    </w:p>
    <w:p>
      <w:pPr>
        <w:pStyle w:val="BodyText"/>
      </w:pPr>
      <w:r>
        <w:rPr>
          <w:b/>
          <w:bCs/>
        </w:rPr>
        <w:t xml:space="preserve">Documented release policies.</w:t>
      </w:r>
      <w:r>
        <w:t xml:space="preserve"> 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favors the second explanation in Section 3.3: there is no accumulating error state in these data to which a state-dependent rule could have responded, and release timing follows accumulated work, and perhaps the calendar, but not errors (Sections 5.3 to 5.5). We cannot exclude that maintainers would also be inattentive if such a state existed.</w:t>
      </w:r>
    </w:p>
    <w:p>
      <w:pPr>
        <w:pStyle w:val="Heading3"/>
      </w:pPr>
      <w:r>
        <w:t xml:space="preserve">5.3 RQ3: Releases show no significant response to recent bug surges</w:t>
      </w:r>
    </w:p>
    <w:p>
      <w:pPr>
        <w:pStyle w:val="FirstParagraph"/>
      </w:pPr>
      <w:r>
        <w:t xml:space="preserve">We find no significant response of the release probability to the error signal that a maintainer can observe, although the estimates are positive and the data cannot rule out a modest response. For each standard deviation of the previous week’s bug count, the log-odds of a release in a given week rise by 0.147 (clustered standard error 0.122; p = 0.23), controlling for total issues, age, a time trend, and repository fixed effects. An approximate 95 percent interval, computed from the clustered standard error, runs from −0.09 to 0.39 in log-odds, so the data are compatible with no response and also with an increase in the odds of a release of up to about 47 percent per standard deviation of bug reports. With three lags, the coefficients are 0.088, 0.068, and 0.074 (standard errors 0.109, 0.072, and 0.059), and none is significant; the average of the three lags gives 0.226 (0.132; p = 0.09), the largest of the estimates. With only 19 clusters, we also report p-values from a wild cluster bootstrap with Webb weights (9,999 draws; Cameron, Gelbach, and Miller 2008): 0.28 for the one-week lag, 0.15 for the three-week average, and 0.45 for the one-week lag when two further lags are included. The share of issues that are bug reports has a coefficient of 0.021 (0.083), and restricting the sample to weeks beyond the first week after a release gives 0.095 (0.141). Repository by repository, the pooled coefficient is −0.048 (95% CI −0.248 to 0.151); eight of the 19 estimates are positive, one (autogen) is significantly positive, and one (openai-python) is significantly negative.</w:t>
      </w:r>
    </w:p>
    <w:p>
      <w:pPr>
        <w:pStyle w:val="BodyText"/>
      </w:pPr>
      <w:r>
        <w:t xml:space="preserve"/>
      </w:r>
      <w:r>
        <w:rPr>
          <w:highlight w:val="yellow"/>
        </w:rPr>
        <w:t xml:space="preserve">[TO BE REPORTED BEFORE SUBMISSION: the same regressions with the log of non-bug issues replacing the log of total issues as the control, because total issues contain the bug reports whose effect is being estimated.]</w:t>
      </w:r>
      <w:r>
        <w:t xml:space="preserve"/>
      </w:r>
    </w:p>
    <w:p>
      <w:pPr>
        <w:pStyle w:val="FirstParagraph"/>
      </w:pPr>
      <w:r>
        <w:t xml:space="preserve">The comparison around bug spikes gives the same answer. The release probability in the following week is 43 percent after a spike (175 spikes) and 40 percent in other weeks, and the difference is not significant after controls (log-odds −0.05; standard error 0.25). The coefficients at horizons of one to four weeks are −0.050, −0.140, −0.083, and 0.309, with standard errors of 0.251, 0.285, 0.189, and 0.230. Releases are instead associated with total issue volume: a standard deviation more issues in the previous week raises the log-odds of a release by 0.25 (0.11; p = 0.025; wild cluster bootstrap p = 0.010). This is what one would expect if maintainers respond to overall activity and attention and not to defects as such, although we do not test that interpretation. H4 is not supported by the bug-report signal. The test is more demanding than the age profile, because it asks whether the observable state moves releases, which state dependence requires.</w:t>
      </w:r>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2"/>
      </w:pPr>
      <w:r>
        <w:t xml:space="preserve">6 Discussion</w:t>
      </w:r>
    </w:p>
    <w:p>
      <w:pPr>
        <w:pStyle w:val="Heading3"/>
      </w:pPr>
      <w:r>
        <w:t xml:space="preserve">6.1 Interpretation</w:t>
      </w:r>
    </w:p>
    <w:p>
      <w:pPr>
        <w:pStyle w:val="FirstParagraph"/>
      </w:pPr>
      <w:r>
        <w:t xml:space="preserve">Releases in these repositories show no detectable relationship to the observable error state. Bug reports do not accumulate with the age of a release, releases show no significant response to surges in bug reports or to upstream model launches, and the release hazard tends to rise with the stock of merged changes. These findings suggest that the observable timing of maintenance need not form a feedback loop with system deterioration, which qualifies models that treat maintenance as a responsive control process. The evidence is consistent with release activity in this ecosystem mainly reflecting the accumulation of development work, although our intervals do not exclude modest responses to bug surges. This distinction has implications for how information systems researchers conceptualize monitoring, feedback, and control in AI-enabled systems. The repositories therefore resemble firms whose adjustment depends on an accumulating state, as in Sheshinski and Weiss (1977), but the state is accumulated work and not accumulated errors. A calendar cadence, as in Taylor (1980), cannot be excluded, because work and calendar time are correlated. Because bug reports do not build up either, these data cannot distinguish a maintainer who ignores an accumulating error state from one who has none to respond to. Both readings carry the same practical message. In this ecosystem, we find no evidence that release timing is a mechanism through which degradation, if it occurs, would be corrected.</w:t>
      </w:r>
    </w:p>
    <w:p>
      <w:pPr>
        <w:pStyle w:val="Heading3"/>
      </w:pPr>
      <w:r>
        <w:t xml:space="preserve">6.2 Implications for policy and practice</w:t>
      </w:r>
    </w:p>
    <w:p>
      <w:pPr>
        <w:pStyle w:val="FirstParagraph"/>
      </w:pPr>
      <w:r>
        <w:rPr>
          <w:b/>
          <w:bCs/>
        </w:rPr>
        <w:t xml:space="preserve">Release cadence should not be read as a signal of responsiveness.</w:t>
      </w:r>
      <w:r>
        <w:t xml:space="preserve"> A project that releases every week looks actively maintained, but if release timing follows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accumulated work or a calendar. Where degradation is a concern, obligations framed in terms of measured error rates, rather than update schedules, are more likely to produce state-dependent responses. This inference is indirect, because our repositories are tools rather than deployed models.</w:t>
      </w:r>
    </w:p>
    <w:p>
      <w:pPr>
        <w:pStyle w:val="BodyText"/>
      </w:pPr>
      <w:r>
        <w:rPr>
          <w:b/>
          <w:bCs/>
        </w:rPr>
        <w:t xml:space="preserve">Maintenance as feedback.</w:t>
      </w:r>
      <w:r>
        <w:t xml:space="preserve">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 should therefore ask whether maintainers respond to measured performance, not how often they release.</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standardized error reporting, and research access to operators’ error logs and refresh histories are examples. Public repositories do not contain the data needed to test for degradation directly.</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the hypotheses, give interval estimates, and avoid claiming that the effects are zero.</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with the age of a release, in raw counts or relative to total issue volume, releases show no significant response to surges in bug reports or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accumulating work and not accumulating errors. The findings suggest that release cadence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Over a wide range of parameter values, the optimal drift threshold is increasing in the refresh cost and in the speed of drift and decreasing in the discount factor, as the tables below show. These comparative statics are numerical regularities and not proved results. For the refresh cost and the speed of drift they agree in direction with the closed-form threshold </w:t>
      </w:r>
      <w:r>
        <w:rPr>
          <w:i/>
          <w:iCs/>
        </w:rPr>
        <w:t xml:space="preserve">x</w:t>
      </w:r>
      <w:r>
        <w:t xml:space="preserve">* of Section 3.2, which approximates the undiscounted case.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Refresh cost </w:t>
            </w:r>
            <w:r>
              <w:rPr>
                <w:rFonts w:eastAsia="Times New Roman" w:cs="Times New Roman"/>
                <w:i/>
                <w:iCs/>
                <w:kern w:val="0"/>
                <w:sz w:val="20"/>
                <w:szCs w:val="20"/>
                <w:lang w:val="en-US" w:eastAsia="en-US" w:bidi="ar-SA"/>
              </w:rPr>
              <w:t>RC</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1"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40</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r>
      <w:tr>
        <w:trPr/>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321"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21</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32</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Drift speed </w:t>
            </w:r>
            <w:r>
              <w:rPr>
                <w:rFonts w:eastAsia="Times New Roman" w:cs="Times New Roman"/>
                <w:i/>
                <w:iCs/>
                <w:kern w:val="0"/>
                <w:sz w:val="20"/>
                <w:szCs w:val="20"/>
                <w:lang w:val="en-US" w:eastAsia="en-US" w:bidi="ar-SA"/>
              </w:rPr>
              <w:t>μ</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r>
      <w:tr>
        <w:trPr/>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11</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Discount factor </w:t>
            </w:r>
            <w:r>
              <w:rPr>
                <w:rFonts w:eastAsia="Times New Roman" w:cs="Times New Roman"/>
                <w:i/>
                <w:iCs/>
                <w:kern w:val="0"/>
                <w:sz w:val="20"/>
                <w:szCs w:val="20"/>
                <w:lang w:val="en-US" w:eastAsia="en-US" w:bidi="ar-SA"/>
              </w:rPr>
              <w:t>β</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0.90</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0.95</w:t>
            </w:r>
          </w:p>
        </w:tc>
        <w:tc>
          <w:tcPr>
            <w:tcW w:w="197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0.99</w:t>
            </w:r>
          </w:p>
        </w:tc>
      </w:tr>
      <w:tr>
        <w:trPr/>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97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13</w:t>
            </w:r>
            <w:bookmarkStart w:id="27" w:name="X9c2d2319a2c40fad0b893d6b242d542108da474"/>
            <w:bookmarkEnd w:id="27"/>
          </w:p>
        </w:tc>
      </w:tr>
    </w:tbl>
    <w:p>
      <w:pPr>
        <w:pStyle w:val="Heading2"/>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38–67.</w:t>
      </w:r>
    </w:p>
    <w:p>
      <w:pPr>
        <w:pStyle w:val="Bibliography"/>
      </w:pPr>
      <w:r>
        <w:t xml:space="preserve">Alvarez, F. E., Lippi, F., and Paciello, L. (2011). Optimal price setting with observation and menu costs. </w:t>
      </w:r>
      <w:r>
        <w:rPr>
          <w:i/>
          <w:iCs/>
        </w:rPr>
        <w:t xml:space="preserve">Quarterly Journal of Economics</w:t>
      </w:r>
      <w:r>
        <w:t xml:space="preserve">, 126(4), 1909–1960.</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291–300.</w:t>
      </w:r>
    </w:p>
    <w:p>
      <w:pPr>
        <w:pStyle w:val="Bibliography"/>
      </w:pPr>
      <w:r>
        <w:t xml:space="preserve">Banker, R. D., Datar, S. M., Kemerer, C. F., and Zweig, D. (1993). Software complexity and maintenance costs. Communications of the ACM, 36(11), 81–94.</w:t>
      </w:r>
    </w:p>
    <w:p>
      <w:pPr>
        <w:pStyle w:val="Bibliography"/>
      </w:pPr>
      <w:r>
        <w:t xml:space="preserve">Barlow, R., and Hunter, L. (1960). Optimum preventive maintenance policies. </w:t>
      </w:r>
      <w:r>
        <w:rPr>
          <w:i/>
          <w:iCs/>
        </w:rPr>
        <w:t xml:space="preserve">Operations Research</w:t>
      </w:r>
      <w:r>
        <w:t xml:space="preserve">, 8(1), 90–100.</w:t>
      </w:r>
    </w:p>
    <w:p>
      <w:pPr>
        <w:pStyle w:val="Bibliography"/>
      </w:pPr>
      <w:r>
        <w:t xml:space="preserve">Caballero, R. J., and Engel, E. M. R. A. (1999). Explaining investment dynamics in U.S. manufacturing: A generalized (S,s) approach. </w:t>
      </w:r>
      <w:r>
        <w:rPr>
          <w:i/>
          <w:iCs/>
        </w:rPr>
        <w:t xml:space="preserve">Econometrica</w:t>
      </w:r>
      <w:r>
        <w:t xml:space="preserve">, 67(4), 783–826.</w:t>
      </w:r>
    </w:p>
    <w:p>
      <w:pPr>
        <w:pStyle w:val="Bibliography"/>
      </w:pPr>
      <w:r>
        <w:t xml:space="preserve">Calvo, G. A. (1983). Staggered prices in a utility-maximizing framework. </w:t>
      </w:r>
      <w:r>
        <w:rPr>
          <w:i/>
          <w:iCs/>
        </w:rPr>
        <w:t xml:space="preserve">Journal of Monetary Economics</w:t>
      </w:r>
      <w:r>
        <w:t xml:space="preserve">, 12(3), 383–398.</w:t>
      </w:r>
    </w:p>
    <w:p>
      <w:pPr>
        <w:pStyle w:val="Bibliography"/>
      </w:pPr>
      <w:r>
        <w:t xml:space="preserve">Cameron, A. C., Gelbach, J. B., and Miller, D. L. (2008). Bootstrap-based improvements for inference with clustered errors. Review of Economics and Statistics, 90(3), 414–427.</w:t>
      </w:r>
    </w:p>
    <w:p>
      <w:pPr>
        <w:pStyle w:val="Bibliography"/>
      </w:pPr>
      <w:r>
        <w:t xml:space="preserve">Chen, L., Zaharia, M., and Zou, J. (2024). How is ChatGPT’s behavior changing over time? </w:t>
      </w:r>
      <w:r>
        <w:rPr>
          <w:i/>
          <w:iCs/>
        </w:rPr>
        <w:t xml:space="preserve">Harvard Data Science Review</w:t>
      </w:r>
      <w:r>
        <w:t xml:space="preserve">, 6(2).</w:t>
      </w:r>
    </w:p>
    <w:p>
      <w:pPr>
        <w:pStyle w:val="Bibliography"/>
      </w:pPr>
      <w:r>
        <w:t xml:space="preserve">Chen, W., Liu, X., Krishnan, V., and Zhu, K. (2026). Strategic release and co-creation: Empirical insights for managing open-source software. Information Systems Research, articles in advance. https://doi.org/10.1287/isre.2021.0601</w:t>
      </w:r>
    </w:p>
    <w:p>
      <w:pPr>
        <w:pStyle w:val="Bibliography"/>
      </w:pPr>
      <w:r>
        <w:t xml:space="preserve">DerSimonian, R., and Laird, N. (1986). Meta-analysis in clinical trials. </w:t>
      </w:r>
      <w:r>
        <w:rPr>
          <w:i/>
          <w:iCs/>
        </w:rPr>
        <w:t xml:space="preserve">Controlled Clinical Trials</w:t>
      </w:r>
      <w:r>
        <w:t xml:space="preserve">, 7(3), 177–188.</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228–242.</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w:t>
      </w:r>
    </w:p>
    <w:p>
      <w:pPr>
        <w:pStyle w:val="Bibliography"/>
      </w:pPr>
      <w:r>
        <w:t xml:space="preserve">Gourieroux, C., Monfort, A., and Trognon, A. (1984). Pseudo maximum likelihood methods: Applications to Poisson models. </w:t>
      </w:r>
      <w:r>
        <w:rPr>
          <w:i/>
          <w:iCs/>
        </w:rPr>
        <w:t xml:space="preserve">Econometrica</w:t>
      </w:r>
      <w:r>
        <w:t xml:space="preserve">, 52(3), 681–700.</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271–320.</w:t>
      </w:r>
    </w:p>
    <w:p>
      <w:pPr>
        <w:pStyle w:val="Bibliography"/>
      </w:pPr>
      <w:r>
        <w:t xml:space="preserve">Hotz, V. J., and Miller, R. A. (1993). Conditional choice probabilities and the estimation of dynamic models. </w:t>
      </w:r>
      <w:r>
        <w:rPr>
          <w:i/>
          <w:iCs/>
        </w:rPr>
        <w:t xml:space="preserve">Review of Economic Studies</w:t>
      </w:r>
      <w:r>
        <w:t xml:space="preserve">, 60(3), 497–529.</w:t>
      </w:r>
    </w:p>
    <w:p>
      <w:pPr>
        <w:pStyle w:val="Bibliography"/>
      </w:pPr>
      <w:r>
        <w:t xml:space="preserve">Jenkins, S. P. (1995). Easy estimation methods for discrete-time duration models. </w:t>
      </w:r>
      <w:r>
        <w:rPr>
          <w:i/>
          <w:iCs/>
        </w:rPr>
        <w:t xml:space="preserve">Oxford Bulletin of Economics and Statistics</w:t>
      </w:r>
      <w:r>
        <w:t xml:space="preserve">, 57(1), 129–138.</w:t>
      </w:r>
    </w:p>
    <w:p>
      <w:pPr>
        <w:pStyle w:val="Bibliography"/>
      </w:pPr>
      <w:r>
        <w:t xml:space="preserve">Kemerer, C. F., and Slaughter, S. (1999). An empirical approach to studying software evolution. IEEE Transactions on Software Engineering, 25(4), 493–509.</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179–188.</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863–904.</w:t>
      </w:r>
    </w:p>
    <w:p>
      <w:pPr>
        <w:pStyle w:val="Bibliography"/>
      </w:pPr>
      <w:r>
        <w:t xml:space="preserve">Lazaridou, A., Kuncoro, A., Gribovskaya, E., Agrawal, D., Liska, A., Terzi, T., et al. (2021). Mind the gap: Assessing temporal generalization in neural language models. </w:t>
      </w:r>
      <w:r>
        <w:rPr>
          <w:i/>
          <w:iCs/>
        </w:rPr>
        <w:t xml:space="preserve">Advances in Neural Information Processing Systems</w:t>
      </w:r>
      <w:r>
        <w:t xml:space="preserve">, 34.</w:t>
      </w:r>
    </w:p>
    <w:p>
      <w:pPr>
        <w:pStyle w:val="Bibliography"/>
      </w:pPr>
      <w:r>
        <w:t xml:space="preserve">Lehman, M. M. (1980). Programs, life cycles, and laws of software evolution. Proceedings of the IEEE, 68(9), 1060–1076.</w:t>
      </w:r>
    </w:p>
    <w:p>
      <w:pPr>
        <w:pStyle w:val="Bibliography"/>
      </w:pPr>
      <w:r>
        <w:t xml:space="preserve">Lerner, J., and Tirole, J. (2002). Some simple economics of open source. </w:t>
      </w:r>
      <w:r>
        <w:rPr>
          <w:i/>
          <w:iCs/>
        </w:rPr>
        <w:t xml:space="preserve">Journal of Industrial Economics</w:t>
      </w:r>
      <w:r>
        <w:t xml:space="preserve">, 50(2), 197–234.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1295–1328.</w:t>
      </w:r>
    </w:p>
    <w:p>
      <w:pPr>
        <w:pStyle w:val="Bibliography"/>
      </w:pPr>
      <w:r>
        <w:t xml:space="preserve">Nakamura, E., and Steinsson, J. (2008). Five facts about prices: A reevaluation of menu cost models. </w:t>
      </w:r>
      <w:r>
        <w:rPr>
          <w:i/>
          <w:iCs/>
        </w:rPr>
        <w:t xml:space="preserve">Quarterly Journal of Economics</w:t>
      </w:r>
      <w:r>
        <w:t xml:space="preserve">, 123(4), 1415–1464.</w:t>
      </w:r>
    </w:p>
    <w:p>
      <w:pPr>
        <w:pStyle w:val="Bibliography"/>
      </w:pPr>
      <w:r>
        <w:t xml:space="preserve">Reis, R. (2006). Inattentive producers. </w:t>
      </w:r>
      <w:r>
        <w:rPr>
          <w:i/>
          <w:iCs/>
        </w:rPr>
        <w:t xml:space="preserve">Review of Economic Studies</w:t>
      </w:r>
      <w:r>
        <w:t xml:space="preserve">, 73(3), 793–821.</w:t>
      </w:r>
    </w:p>
    <w:p>
      <w:pPr>
        <w:pStyle w:val="Bibliography"/>
      </w:pPr>
      <w:r>
        <w:t xml:space="preserve">Rust, J. (1987). Optimal replacement of GMC bus engines: An empirical model of Harold Zurcher. </w:t>
      </w:r>
      <w:r>
        <w:rPr>
          <w:i/>
          <w:iCs/>
        </w:rPr>
        <w:t xml:space="preserve">Econometrica</w:t>
      </w:r>
      <w:r>
        <w:t xml:space="preserve">, 55(5), 999–1033.</w:t>
      </w:r>
    </w:p>
    <w:p>
      <w:pPr>
        <w:pStyle w:val="Bibliography"/>
      </w:pPr>
      <w:r>
        <w:t xml:space="preserve">Sculley, D., Holt, G., Golovin, D., Davydov, E., Phillips, T., Ebner, D., et al. (2015). Hidden technical debt in machine learning systems. </w:t>
      </w:r>
      <w:r>
        <w:rPr>
          <w:i/>
          <w:iCs/>
        </w:rPr>
        <w:t xml:space="preserve">Advances in Neural Information Processing Systems</w:t>
      </w:r>
      <w:r>
        <w:t xml:space="preserve">, 28.</w:t>
      </w:r>
    </w:p>
    <w:p>
      <w:pPr>
        <w:pStyle w:val="Bibliography"/>
      </w:pPr>
      <w:r>
        <w:t xml:space="preserve">Sheshinski, E., and Weiss, Y. (1977). Inflation and costs of price adjustment. </w:t>
      </w:r>
      <w:r>
        <w:rPr>
          <w:i/>
          <w:iCs/>
        </w:rPr>
        <w:t xml:space="preserve">Review of Economic Studies</w:t>
      </w:r>
      <w:r>
        <w:t xml:space="preserve">, 44(2), 287–303.</w:t>
      </w:r>
    </w:p>
    <w:p>
      <w:pPr>
        <w:pStyle w:val="Bibliography"/>
      </w:pPr>
      <w:r>
        <w:t xml:space="preserve">Sims, C. A. (2003). Implications of rational inattention. </w:t>
      </w:r>
      <w:r>
        <w:rPr>
          <w:i/>
          <w:iCs/>
        </w:rPr>
        <w:t xml:space="preserve">Journal of Monetary Economics</w:t>
      </w:r>
      <w:r>
        <w:t xml:space="preserve">, 50(3), 665–690.</w:t>
      </w:r>
    </w:p>
    <w:p>
      <w:pPr>
        <w:pStyle w:val="Bibliography"/>
      </w:pPr>
      <w:r>
        <w:t xml:space="preserve">Song, F., Agarwal, A., and Wen, W. (2026). The impact of generative AI on collaborative open-source software development: Evidence from GitHub Copilot. Information Systems Research, articles in advance. https://doi.org/10.1287/isre.2024.1361</w:t>
      </w:r>
    </w:p>
    <w:p>
      <w:pPr>
        <w:pStyle w:val="Bibliography"/>
      </w:pPr>
      <w:r>
        <w:t xml:space="preserve">Swanson, E. B. (1976). The dimensions of maintenance. In Proceedings of the 2nd International Conference on Software Engineering, 492–497.</w:t>
      </w:r>
    </w:p>
    <w:p>
      <w:pPr>
        <w:pStyle w:val="Bibliography"/>
      </w:pPr>
      <w:r>
        <w:t xml:space="preserve">Taylor, J. B. (1980). Aggregate dynamics and staggered contracts. </w:t>
      </w:r>
      <w:r>
        <w:rPr>
          <w:i/>
          <w:iCs/>
        </w:rPr>
        <w:t xml:space="preserve">Journal of Political Economy</w:t>
      </w:r>
      <w:r>
        <w:t xml:space="preserve">, 88(1), 1–23.</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209–223.</w:t>
      </w:r>
    </w:p>
    <w:sectPr>
      <w:footerReference w:type="even" r:id="rId2"/>
      <w:footerReference w:type="default" r:id="rId3"/>
      <w:footerReference w:type="first" r:id="rId4"/>
      <w:type w:val="nextPage"/>
      <w:pgSz w:w="11906" w:h="16838"/>
      <w:pgMar w:left="1440" w:right="1440" w:gutter="0" w:header="0" w:top="1440" w:footer="708"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