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Impact Statement</w:t>
      </w:r>
    </w:p>
    <w:p>
      <w:r>
        <w:t>Many organizations now let AI systems double-check decisions that a manager, clerk or engineer has already leaned toward, such as whether an expense meets policy or an invoice is correct. Such a check is worth paying for only if the AI judges the evidence rather than echoing the person who asks. Current tests call every changed answer “agreement.” Yet an AI also changes its answers at random from one attempt to the next, and any added sentence can nudge it. Counting all of it as agreement mislabels unreliable models as flatterers.</w:t>
      </w:r>
    </w:p>
    <w:p>
      <w:r>
        <w:t>This paper provides a simple test that separates these causes. A firm can run it on its own cases for the cost of a few hundred queries. Across 14 AI models, up to three quarters of what looked like agreement came from the model’s own inconsistency. Models reacted to how a stated opinion was presented, for instance when colleagues were said to have confirmed it, far more than to how reliable the requester had been. Two models with the same benchmark accuracy differed more than tenfold in how far a stated opinion moved them, so buyers who rank AI reviewers by accuracy alone can choose the wrong one.</w:t>
      </w:r>
    </w:p>
    <w:p>
      <w:r>
        <w:t>The results matter for procurement, internal audit and regulators who must decide whether AI decision support gives real independent review. The test offers a repeatable measurement and shows what to ask vendors: not only how often a model is right, but how much a stated preference changes its answer.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