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w:t>
      </w:r>
      <w:del w:id="9143" w:author="Claude" w:date="2026-10-13T00:00:00Z">
        <w:r>
          <w:delText xml:space="preserve">, and no detectable response to 38 upstream model launches.</w:delText>
        </w:r>
      </w:del>
      <w:ins w:id="9144" w:author="Claude" w:date="2026-10-13T00:00:00Z">
        <w:r>
          <w:t xml:space="preserve">. Repositories exposed to one of 38 upstream model launches release sooner in the days after it, a response that weekly data do not show.</w:t>
        </w:r>
      </w:ins>
      <w:r>
        <w:t xml:space="preserve"> The release hazard also tends to rise with the stock of merged changes, although the data cannot cleanly separate that stock from calendar time. Release cadence therefore </w:t>
      </w:r>
      <w:del w:id="9001" w:author="Claude" w:date="2026-10-13T00:00:00Z">
        <w:r>
          <w:delText xml:space="preserve">reflects user activity and accumulated work more clearly than responsiveness to degradation and should not be read as a validated signal of it</w:delText>
        </w:r>
      </w:del>
      <w:ins w:id="9002" w:author="Claude" w:date="2026-10-13T00:00:00Z">
        <w:r>
          <w:t xml:space="preserve">carries information about responsiveness to users, to upstream launches, and to accumulated work, but the data do not identify it as a signal of responsiveness to degradation specifically</w:t>
        </w:r>
      </w:ins>
      <w:r>
        <w:t xml:space="preserve">.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w:t>
      </w:r>
      <w:del w:id="9003" w:author="Claude" w:date="2026-10-13T00:00:00Z">
        <w:r>
          <w:delText xml:space="preserve">routinely treated by practitioners, buyers, and regulators as evidence that a project is actively maintained and that degradation is being managed. Our results give no support to</w:delText>
        </w:r>
      </w:del>
      <w:ins w:id="9004" w:author="Claude" w:date="2026-10-13T00:00:00Z">
        <w:r>
          <w:t xml:space="preserve">treated as evidence that a project is actively maintained, both by practitioners and by widely used project-health metrics (Section 2.4), and it is easily read as evidence that degradation is being managed. Our results do not support the second half of</w:t>
        </w:r>
      </w:ins>
      <w:r>
        <w:t xml:space="preserve"> this inference in the open-source LLM tooling ecosystem. Bug reports show no measurable rise with release age relative to total issues, releases respond to </w:t>
      </w:r>
      <w:del w:id="9005" w:author="Claude" w:date="2026-10-13T00:00:00Z">
        <w:r>
          <w:delText xml:space="preserve">the volume of user issues but not distinguishably to bug reports as such</w:delText>
        </w:r>
      </w:del>
      <w:ins w:id="9006" w:author="Claude" w:date="2026-10-13T00:00:00Z">
        <w:r>
          <w:t xml:space="preserve">user issues, but a response to bug reports cannot be distinguished from a response to overall issue volume</w:t>
        </w:r>
      </w:ins>
      <w:del w:id="9145" w:author="Claude" w:date="2026-10-13T00:00:00Z">
        <w:r>
          <w:delText xml:space="preserve">, and they show no detectable response to upstream model launches.</w:delText>
        </w:r>
      </w:del>
      <w:ins w:id="9146" w:author="Claude" w:date="2026-10-13T00:00:00Z">
        <w:r>
          <w:t xml:space="preserve">, and they respond within days to upstream model launches.</w:t>
        </w:r>
      </w:ins>
      <w:r>
        <w:t xml:space="preserve"> Release timing also tends to track the accumulation of merged work. Release cadence therefore looks more like a signal of </w:t>
      </w:r>
      <w:del w:id="9007" w:author="Claude" w:date="2026-10-13T00:00:00Z">
        <w:r>
          <w:delText xml:space="preserve">user activity and development activity than of responsiveness to system deterioration</w:delText>
        </w:r>
      </w:del>
      <w:ins w:id="9008" w:author="Claude" w:date="2026-10-13T00:00:00Z">
        <w:r>
          <w:t xml:space="preserve">responsiveness to users, to upstream launches, and to development work than a signal of responsiveness to system deterioration specifically</w:t>
        </w:r>
      </w:ins>
      <w:r>
        <w:t xml:space="preserve">—a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t>
      </w:r>
      <w:del w:id="9009" w:author="Claude" w:date="2026-10-13T00:00:00Z">
        <w:r>
          <w:delText xml:space="preserve">work or the calendar, a high cadence is as likely among unresponsive maintainers as among responsive ones, and reading it as evidence of maintenance quality</w:delText>
        </w:r>
      </w:del>
      <w:ins w:id="9010" w:author="Claude" w:date="2026-10-13T00:00:00Z">
        <w:r>
          <w:t xml:space="preserve">work, overall user activity, or the calendar, a high cadence can be as likely among maintainers who do not respond to degradation as among those who do, and reading it as evidence that degradation is managed</w:t>
        </w:r>
      </w:ins>
      <w:r>
        <w:t xml:space="preserve"> is an error of inference. The distinction between state-dependent and time-dependent adjustment gives this question testable content: state dependence in errors is the condition under which cadence is a valid signal of </w:t>
      </w:r>
      <w:del w:id="9011" w:author="Claude" w:date="2026-10-13T00:00:00Z">
        <w:r>
          <w:delText xml:space="preserve">responsiveness</w:delText>
        </w:r>
      </w:del>
      <w:ins w:id="9012" w:author="Claude" w:date="2026-10-13T00:00:00Z">
        <w:r>
          <w:t xml:space="preserve">responsiveness to degradation, as distinct from responsiveness to users or to accumulated work</w:t>
        </w:r>
      </w:ins>
      <w:r>
        <w:t xml:space="preserve">.</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rPr>
          <w:ins w:id="9102" w:author="Claude" w:date="2026-10-13T00:00:00Z"/>
        </w:rPr>
      </w:pPr>
      <w:ins w:id="9103" w:author="Claude" w:date="2026-10-13T00:00:00Z">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w:t>
        </w:r>
      </w:ins>
    </w:p>
    <w:p>
      <w:pPr>
        <w:pStyle w:val="BodyText"/>
      </w:pPr>
      <w:r>
        <w:t xml:space="preserve">The answer to RQ3 is that release probabilities respond to </w:t>
      </w:r>
      <w:del w:id="9013" w:author="Claude" w:date="2026-10-13T00:00:00Z">
        <w:r>
          <w:delText xml:space="preserve">the volume of user issues but not distinguishably to bug reports as such</w:delText>
        </w:r>
      </w:del>
      <w:ins w:id="9014" w:author="Claude" w:date="2026-10-13T00:00:00Z">
        <w:r>
          <w:t xml:space="preserve">user issues, including bug reports, but a response to bug reports cannot be distinguished from a response to the overall volume of issues</w:t>
        </w:r>
      </w:ins>
      <w:r>
        <w:t xml:space="preserve">.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w:t>
      </w:r>
      <w:del w:id="9015" w:author="Claude" w:date="2026-10-13T00:00:00Z">
        <w:r>
          <w:delText xml:space="preserve">Releases</w:delText>
        </w:r>
      </w:del>
      <w:ins w:id="9016" w:author="Claude" w:date="2026-10-13T00:00:00Z">
        <w:r>
          <w:t xml:space="preserve">Because bug reports are part of total issues, this last comparison is conservative, and its interval does not exclude a sizable additional response. Releases</w:t>
        </w:r>
      </w:ins>
      <w:del w:id="9147" w:author="Claude" w:date="2026-10-13T00:00:00Z">
        <w:r>
          <w:delText xml:space="preserve"> show no detectable response to 38 upstream model launches, although release notes often mention a new model after its launch, which suggests that the content of releases responds while their timing does not. </w:delText>
        </w:r>
      </w:del>
      <w:ins w:id="9148" w:author="Claude" w:date="2026-10-13T00:00:00Z">
        <w:r>
          <w:t xml:space="preserve"> respond to 38 upstream model launches in the days after them. The mean time to the next release is 3.4 days shorter for repositories exposed to a launch than for unexposed repositories (placebo-based p = 0.018), and the share that release within one day is 17.5 percentage points higher (p = 0.008); the response is larger when controls exposed to other launches are excluded, and a weekly indicator misses it. Timing alone cannot show whether these releases address degradation or add support for the new model. </w:t>
        </w:r>
      </w:ins>
    </w:p>
    <w:p>
      <w:pPr>
        <w:pStyle w:val="BodyText"/>
      </w:pPr>
      <w:del w:id="9101" w:author="Claude" w:date="2026-10-13T00:00:00Z">
        <w:r>
          <w:delTex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w:delText>
        </w:r>
      </w:del>
      <w:r>
        <w:t xml:space="preserve">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w:t>
      </w:r>
      <w:del w:id="9017" w:author="Claude" w:date="2026-10-13T00:00:00Z">
        <w:r>
          <w:delText xml:space="preserve">the volume of user issues but not distinguishably to bug reports as such or</w:delText>
        </w:r>
      </w:del>
      <w:ins w:id="9018" w:author="Claude" w:date="2026-10-13T00:00:00Z">
        <w:r>
          <w:t xml:space="preserve">user issues without a response to bug reports that can be distinguished from a response to overall volume, that their timing responds</w:t>
        </w:r>
      </w:ins>
      <w:del w:id="9149" w:author="Claude" w:date="2026-10-13T00:00:00Z">
        <w:r>
          <w:delText xml:space="preserve"> to upstream launches, and that they tend to follow</w:delText>
        </w:r>
      </w:del>
      <w:ins w:id="9150" w:author="Claude" w:date="2026-10-13T00:00:00Z">
        <w:r>
          <w:t xml:space="preserve"> to upstream launches within days but not in weekly data, and that they tend to follow</w:t>
        </w:r>
      </w:ins>
      <w:r>
        <w:t xml:space="preserve">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w:t>
      </w:r>
      <w:del w:id="9019" w:author="Claude" w:date="2026-10-13T00:00:00Z">
        <w:r>
          <w:delText xml:space="preserve">buyers, auditors, and regulators routinely use update frequency as a signal of maintenance quality, because how responsively a maintainer deals with problems is hard to observe</w:delText>
        </w:r>
      </w:del>
      <w:ins w:id="9020" w:author="Claude" w:date="2026-10-13T00:00:00Z">
        <w:r>
          <w:t xml:space="preserve">release and update frequency is built into widely used assessments of maintenance quality, because how responsively a maintainer deals with problems is hard to observe. The Release Frequency metric of the CHAOSS project treats a higher frequency of releases as a sign that a project iterates rapidly in response to user needs (CHAOSS n.d.), Snyk's package-health ratings judge maintenance partly by a package's version release cadence (Snyk n.d.), and the Maintained check of the OpenSSF Scorecard scores recent commit and issue activity (OpenSSF n.d.). These assessments inform the selection of dependencies and vendor due diligence without testing whether the activity they count responds to defects</w:t>
        </w:r>
      </w:ins>
      <w:r>
        <w:t xml:space="pre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w:t>
      </w:r>
      <w:del w:id="9021" w:author="Claude" w:date="2026-10-13T00:00:00Z">
        <w:r>
          <w:delText xml:space="preserve">shocks</w:delText>
        </w:r>
      </w:del>
      <w:ins w:id="9022" w:author="Claude" w:date="2026-10-13T00:00:00Z">
        <w:r>
          <w:t xml:space="preserve">shocks. A signal can be valid for one quality and not for another: a cadence that follows user activity is informative about responsiveness to users, but it is informative about responsiveness to degradation only if its timing moves with the error state itself</w:t>
        </w:r>
      </w:ins>
      <w:r>
        <w:t xml:space="preserve">. The state-dependent rule of Section 3.2 is the case in which cadence is a valid signal of </w:t>
      </w:r>
      <w:del w:id="9023" w:author="Claude" w:date="2026-10-13T00:00:00Z">
        <w:r>
          <w:delText xml:space="preserve">responsiveness</w:delText>
        </w:r>
      </w:del>
      <w:ins w:id="9024" w:author="Claude" w:date="2026-10-13T00:00:00Z">
        <w:r>
          <w:t xml:space="preserve">responsiveness to degradation</w:t>
        </w:r>
      </w:ins>
      <w:r>
        <w:t xml:space="preserve">,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rPr>
          <w:ins w:id="9169" w:author="Claude" w:date="2026-10-13T00:00:00Z"/>
        </w:rPr>
      </w:pPr>
      <w:ins w:id="9170" w:author="Claude" w:date="2026-10-13T00:00:00Z">
        <w:r>
          <w:rPr>
            <w:b/>
            <w:bCs/>
          </w:rPr>
          <w:t xml:space="preserve">Upstream launches at daily resolution.</w:t>
        </w:r>
        <w:r>
          <w:t xml:space="preserve"> A weekly indicator is a coarse measure of timing when the weekly release rate in treated blocks is about 0.42 and client SDKs often release on the day a model is announced. We therefore also measure timing in days. Day 0 is the date of the public announcement. For each launch and each repository that had released at least once in the preceding 90 days, we record the number of days until the next release, and we compare exposed and unexposed repositories in two ways: the difference in the share that release within </w:t>
        </w:r>
        <w:r>
          <w:rPr>
            <w:i/>
            <w:iCs/>
          </w:rPr>
          <w:t xml:space="preserve">k</w:t>
        </w:r>
        <w:r>
          <w:t xml:space="preserve"> days (</w:t>
        </w:r>
        <w:r>
          <w:rPr>
            <w:i/>
            <w:iCs/>
          </w:rPr>
          <w:t xml:space="preserve">k</w:t>
        </w:r>
        <w:r>
          <w:t xml:space="preserve"> = 0, 1, 3, 7, 14, 28), and the difference in the restricted mean time to the next release, truncated at 28 days. Both are averaged over launches with equal weight. Inference is by randomization: we replace each launch date with a placebo date drawn from days at least 14 days away from any real launch, keep the launch's type and therefore its exposed and unexposed sets, recompute the statistics, and repeat 999 times. The placebo distribution absorbs any baseline difference in release rates between exposed and unexposed repositories, and the p-value is the share of placebo statistics at least as far from the placebo mean as the observed statistic. To compare timing with content, we also record, for exposed repositories, the days until the first release whose notes mention the launched model, and whether that release is the first release after the launch. We also report a version in which controls that are exposed to another launch within the window are dropped. The restricted mean time to the next release is our primary statistic, because it summarizes the first four weeks in one number and does not depend on a chosen horizon; we designated it after we had seen the estimates and not in advance.</w:t>
        </w:r>
      </w:ins>
    </w:p>
    <w:p>
      <w:pPr>
        <w:pStyle w:val="BodyText"/>
        <w:rPr>
          <w:ins w:id="9129" w:author="Claude" w:date="2026-10-13T00:00:00Z"/>
        </w:rPr>
      </w:pPr>
      <w:ins w:id="9130" w:author="Claude" w:date="2026-10-13T00:00:00Z">
        <w:r>
          <w:rPr>
            <w:b/>
            <w:bCs/>
          </w:rPr>
          <w:t xml:space="preserve">Receivers of the signal.</w:t>
        </w:r>
        <w:r>
          <w:t xml:space="preserve"> Sections 5.1 to 5.5 test whether release timing is correlated with degradation. Signaling also requires that receivers act on the signal. We therefore ask whether adoption responds to release cadence and whether it responds differently to releases that follow a surge in bug reports. For each repository-week we measure adoption growth as the change in log mean weekly PyPI downloads between weeks </w:t>
        </w:r>
        <w:r>
          <w:rPr>
            <w:i/>
            <w:iCs/>
          </w:rPr>
          <w:t xml:space="preserve">t</w:t>
        </w:r>
        <w:r>
          <w:t xml:space="preserve">−3 to </w:t>
        </w:r>
        <w:r>
          <w:rPr>
            <w:i/>
            <w:iCs/>
          </w:rPr>
          <w:t xml:space="preserve">t</w:t>
        </w:r>
        <w:r>
          <w:t xml:space="preserve"> and weeks </w:t>
        </w:r>
        <w:r>
          <w:rPr>
            <w:i/>
            <w:iCs/>
          </w:rPr>
          <w:t xml:space="preserve">t</w:t>
        </w:r>
        <w:r>
          <w:t xml:space="preserve">+1 to </w:t>
        </w:r>
        <w:r>
          <w:rPr>
            <w:i/>
            <w:iCs/>
          </w:rPr>
          <w:t xml:space="preserve">t</w:t>
        </w:r>
        <w:r>
          <w:t xml:space="preserve">+4, and, for all 19 repositories, the corresponding change in log new GitHub stars from GH Archive. Three repositories (whisper.cpp, text-generation-inference, and ollama) have no PyPI artifact and enter only the star models. The regressors are the number of releases in the trailing eight weeks, the number of those releases that follow a week whose bug share exceeded the repository's median, the number of hot-fix releases in the same window, and the log of issues in the window as a control for project activity, together with the outcome measured four weeks earlier and repository and week fixed effects. Because total releases are in the model, the coefficient on bug-preceded releases is the additional response of adoption to a release that follows a bug surge, relative to any other release. Standard errors are clustered by repository, and p-values come from a wild cluster restricted bootstrap with Webb weights. Adoption and releases share momentum, so these estimates describe how receivers' behavior covaries with cadence and are not causal.</w:t>
        </w:r>
      </w:ins>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w:t>
      </w:r>
      <w:del w:id="9104" w:author="Claude" w:date="2026-10-13T00:00:00Z">
        <w:r>
          <w:delText xml:space="preserve">the weekly releasers (a median gap of at most one week between release weeks)</w:delText>
        </w:r>
      </w:del>
      <w:ins w:id="9105" w:author="Claude" w:date="2026-10-13T00:00:00Z">
        <w:r>
          <w:t xml:space="preserve">the weekly releasers (the seven repositories with a median release cycle of one week in Table 1)</w:t>
        </w:r>
      </w:ins>
      <w:r>
        <w:t xml:space="preserve">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ins w:id="9114" w:author="Claude" w:date="2026-10-13T00:00:00Z">
        <w:r>
          <w:t xml:space="preserve"> Figure 1a shows the repository-level slopes.</w:t>
        </w:r>
      </w:ins>
    </w:p>
    <w:p>
      <w:pPr>
        <w:keepNext/>
        <w:pStyle w:val="BodyText"/>
        <w:spacing w:before="120" w:after="60" w:line="240" w:lineRule="auto"/>
        <w:ind w:firstLine="0"/>
        <w:jc w:val="center"/>
        <w:rPr>
          <w:ins w:id="9115" w:author="Claude" w:date="2026-10-13T00:00:00Z"/>
        </w:rPr>
      </w:pPr>
      <w:ins w:id="9116" w:author="Claude" w:date="2026-10-13T00:00:00Z">
        <w:r>
          <w:drawing>
            <wp:inline xmlns:wp="http://schemas.openxmlformats.org/drawingml/2006/wordprocessingDrawing" distT="0" distB="0" distL="0" distR="0">
              <wp:extent cx="5486400" cy="4114800"/>
              <wp:docPr id="9001" name="Figure 1" descr="Figure 1"/>
              <a:graphic xmlns:a="http://schemas.openxmlformats.org/drawingml/2006/main">
                <a:graphicData uri="http://schemas.openxmlformats.org/drawingml/2006/picture">
                  <pic:pic xmlns:pic="http://schemas.openxmlformats.org/drawingml/2006/picture">
                    <pic:nvPicPr>
                      <pic:cNvPr id="9001" name="fig1_repository_slopes.png"/>
                      <pic:cNvPicPr/>
                    </pic:nvPicPr>
                    <pic:blipFill>
                      <a:blip xmlns:r="http://schemas.openxmlformats.org/officeDocument/2006/relationships" r:embed="rId9001"/>
                      <a:stretch>
                        <a:fillRect/>
                      </a:stretch>
                    </pic:blipFill>
                    <pic:spPr>
                      <a:xfrm>
                        <a:off x="0" y="0"/>
                        <a:ext cx="5486400" cy="4114800"/>
                      </a:xfrm>
                      <a:prstGeom prst="rect">
                        <a:avLst/>
                      </a:prstGeom>
                    </pic:spPr>
                  </pic:pic>
                </a:graphicData>
              </a:graphic>
            </wp:inline>
          </w:drawing>
        </w:r>
      </w:ins>
    </w:p>
    <w:p>
      <w:pPr>
        <w:pStyle w:val="BodyText"/>
        <w:rPr>
          <w:ins w:id="9117" w:author="Claude" w:date="2026-10-13T00:00:00Z"/>
        </w:rPr>
      </w:pPr>
      <w:ins w:id="9118" w:author="Claude" w:date="2026-10-13T00:00:00Z">
        <w:r>
          <w:rPr>
            <w:b/>
            <w:bCs/>
          </w:rPr>
          <w:t xml:space="preserve">Figure 1.</w:t>
        </w:r>
        <w:r>
          <w:t xml:space="preserve"> Repository-level age slopes. (a) Log-rate slope of weekly bug reports on weeks since the last release, specification (b). (b) Logit slope of the release hazard on weeks since the last release. Points are estimates with 95% intervals from the cycle bootstrap; grey points are repositories with a median release cycle of one week; diamonds are random-effects pooled estimates. Rows are ordered by the release-hazard slope.</w:t>
        </w:r>
      </w:ins>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w:t>
      </w:r>
      <w:ins w:id="9119" w:author="Claude" w:date="2026-10-13T00:00:00Z">
        <w:r>
          <w:t xml:space="preserve"> Figure 2 compares the four specifications.</w:t>
        </w:r>
      </w:ins>
      <w:r>
        <w:t xml:space="preserve"> The evidence against an accumulating error state is thus weaker than the estimate under (b) alone suggests.</w:t>
      </w:r>
    </w:p>
    <w:p>
      <w:pPr>
        <w:keepNext/>
        <w:pStyle w:val="BodyText"/>
        <w:spacing w:before="120" w:after="60" w:line="240" w:lineRule="auto"/>
        <w:ind w:firstLine="0"/>
        <w:jc w:val="center"/>
        <w:rPr>
          <w:ins w:id="9120" w:author="Claude" w:date="2026-10-13T00:00:00Z"/>
        </w:rPr>
      </w:pPr>
      <w:ins w:id="9121" w:author="Claude" w:date="2026-10-13T00:00:00Z">
        <w:r>
          <w:drawing>
            <wp:inline xmlns:wp="http://schemas.openxmlformats.org/drawingml/2006/wordprocessingDrawing" distT="0" distB="0" distL="0" distR="0">
              <wp:extent cx="5486400" cy="2286000"/>
              <wp:docPr id="9002" name="Figure 2" descr="Figure 2"/>
              <a:graphic xmlns:a="http://schemas.openxmlformats.org/drawingml/2006/main">
                <a:graphicData uri="http://schemas.openxmlformats.org/drawingml/2006/picture">
                  <pic:pic xmlns:pic="http://schemas.openxmlformats.org/drawingml/2006/picture">
                    <pic:nvPicPr>
                      <pic:cNvPr id="9002" name="fig2_rq1_specifications.png"/>
                      <pic:cNvPicPr/>
                    </pic:nvPicPr>
                    <pic:blipFill>
                      <a:blip xmlns:r="http://schemas.openxmlformats.org/officeDocument/2006/relationships" r:embed="rId9002"/>
                      <a:stretch>
                        <a:fillRect/>
                      </a:stretch>
                    </pic:blipFill>
                    <pic:spPr>
                      <a:xfrm>
                        <a:off x="0" y="0"/>
                        <a:ext cx="5486400" cy="2286000"/>
                      </a:xfrm>
                      <a:prstGeom prst="rect">
                        <a:avLst/>
                      </a:prstGeom>
                    </pic:spPr>
                  </pic:pic>
                </a:graphicData>
              </a:graphic>
            </wp:inline>
          </w:drawing>
        </w:r>
      </w:ins>
    </w:p>
    <w:p>
      <w:pPr>
        <w:pStyle w:val="BodyText"/>
        <w:rPr>
          <w:ins w:id="9122" w:author="Claude" w:date="2026-10-13T00:00:00Z"/>
        </w:rPr>
      </w:pPr>
      <w:ins w:id="9123" w:author="Claude" w:date="2026-10-13T00:00:00Z">
        <w:r>
          <w:rPr>
            <w:b/>
            <w:bCs/>
          </w:rPr>
          <w:t xml:space="preserve">Figure 2.</w:t>
        </w:r>
        <w:r>
          <w:t xml:space="preserve"> Pooled age slope of bug reports under four ways of handling issue volume (Section 4.3). Specifications (b) and (d), in black, are the primary tests of H1; (a) and (c) are biased downward by the burst of issues after a release. The shaded band marks the equivalence bound of ±0.02.</w:t>
        </w:r>
      </w:ins>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w:t>
      </w:r>
      <w:ins w:id="9112" w:author="Claude" w:date="2026-10-13T00:00:00Z">
        <w:r>
          <w:t xml:space="preserve"> Figure 1b shows the repository-level slopes.</w:t>
        </w:r>
      </w:ins>
      <w:r>
        <w:t xml:space="preserve">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ins w:id="9113" w:author="Claude" w:date="2026-10-13T00:00:00Z">
        <w:r>
          <w:t xml:space="preserve"> Figure 3a plots the main coefficients.</w:t>
        </w:r>
      </w:ins>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BodyText"/>
        <w:rPr>
          <w:ins w:id="9026" w:author="Claude" w:date="2026-10-13T00:00:00Z"/>
        </w:rPr>
      </w:pPr>
      <w:ins w:id="9025" w:author="Claude" w:date="2026-10-13T00:00:00Z">
        <w:r>
          <w:t xml:space="preserve">These results admit a reading that is more favorable to cadence than ours, and we state it explicitly. A release that follows a week of many user issues is itself a response to an observable state, and a maintainer who releases when users report problems of any kind is responsive in a meaningful sense; under this reading the response to non-bug issues is not a confound but part of what responsiveness means. We do not dispute it. Our question is narrower: whether release timing carries information about degradation specifically, as distinct from user activity in general. The specification that holds total issues fixed answers that question, because it asks whether a week in which a larger share of reports concern defects is more likely to end in a release. It is conservative, because bug reports are part of total issues and part of any response to them is absorbed by the total, and its interval (−0.05 to 0.43 in log-odds) is compatible both with no additional response and with a sizable one. We therefore read the evidence as failing to identify a response to degradation as such, not as showing that maintainers ignore defects. For the signal, this means that cadence is informative about responsiveness to users, and it is informative about responsiveness to degradation only to the extent that degradation is what drives user reports.</w:t>
        </w:r>
      </w:ins>
    </w:p>
    <w:p>
      <w:pPr>
        <w:pStyle w:val="Heading3"/>
      </w:pPr>
      <w:del w:id="9139" w:author="Claude" w:date="2026-10-13T00:00:00Z">
        <w:r>
          <w:delText xml:space="preserve">5.4. RQ3: No Detectable Release Response to Upstream Model Launches</w:delText>
        </w:r>
      </w:del>
      <w:ins w:id="9140" w:author="Claude" w:date="2026-10-13T00:00:00Z">
        <w:r>
          <w:t xml:space="preserve">5.4. RQ3: A Short-Run Release Response to Upstream Model Launches</w:t>
        </w:r>
      </w:ins>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BodyText"/>
        <w:rPr>
          <w:ins w:id="9171" w:author="Claude" w:date="2026-10-13T00:00:00Z"/>
        </w:rPr>
      </w:pPr>
      <w:ins w:id="9172" w:author="Claude" w:date="2026-10-13T00:00:00Z">
        <w:r>
          <w:rPr>
            <w:b/>
            <w:bCs/>
          </w:rPr>
          <w:t xml:space="preserve">Daily resolution.</w:t>
        </w:r>
        <w:r>
          <w:t xml:space="preserve"> Measured in days, exposed repositories release sooner after a launch than unexposed repositories do. Among the 277 repository-launch pairs in which the repository had released in the preceding 90 days, the restricted mean time to the next release, truncated at 28 days, is 3.4 days shorter for exposed than for unexposed repositories, against 0.9 days shorter on average at placebo launch dates (placebo 95 percent range −3.0 to 1.2; randomization p = 0.018). Because the primary statistic was designated after we had seen the estimates, we regard the daily analysis as exploratory and report all seven statistics. The share that release within one day of the announcement is 17.5 percentage points higher for exposed repositories, against 4.8 points at placebo dates (range −3.4 to 12.9; p = 0.008). The differences are 11.2 points on the day of the launch (p = 0.03), 15.5 within three days (p = 0.04), 13.9 within 14 days (p = 0.03), and 7.0 within 28 days (p = 0.15). The statistics are not independent. When controls that are exposed to another launch within the window are dropped, the differences are larger and last longer: the mean time to the next release is 5.9 days shorter (p = 0.001), and the share that release is 22.2 points higher within one day (p = 0.001), 21.2 within seven days (p = 0.01), and 15.4 within 28 days (p = 0.009). The weekly estimates miss this response because a weekly indicator is close to saturation when the weekly release rate is 0.42, and client SDKs often release on the day a model is announced. Releases therefore do respond to a change in their environment, which is a form of state dependence. Timing alone cannot show whether a release shortly after a launch addresses degradation or adds support for the new model; the release notes below suggest that adding support is at least part of it.</w:t>
        </w:r>
      </w:ins>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w:t>
      </w:r>
      <w:del w:id="9141" w:author="Claude" w:date="2026-10-13T00:00:00Z">
        <w:r>
          <w:delText xml:space="preserve">If most are correct, the pattern is consistent with the content of releases responding to a launch while their timing does not: support for a new model is shipped in releases that would probably have appeared anyway. H4 is not supported by the upstream signal either.</w:delText>
        </w:r>
      </w:del>
      <w:ins w:id="9142" w:author="Claude" w:date="2026-10-13T00:00:00Z">
        <w:r>
          <w:t xml:space="preserve">If most are correct, the pattern is consistent with releases being brought forward to ship support for a new model. H4 is supported by the upstream signal at daily resolution but not at weekly resolution, and the response is better read as one to a change in the environment than as a response to degradation in the sense of Section 3.</w:t>
        </w:r>
      </w:ins>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ins w:id="9124" w:author="Claude" w:date="2026-10-13T00:00:00Z">
        <w:r>
          <w:t xml:space="preserve"> Figure 3b plots the pooled coefficients.</w:t>
        </w:r>
      </w:ins>
    </w:p>
    <w:p>
      <w:pPr>
        <w:keepNext/>
        <w:pStyle w:val="BodyText"/>
        <w:spacing w:before="120" w:after="60" w:line="240" w:lineRule="auto"/>
        <w:ind w:firstLine="0"/>
        <w:jc w:val="center"/>
        <w:rPr>
          <w:ins w:id="9125" w:author="Claude" w:date="2026-10-13T00:00:00Z"/>
        </w:rPr>
      </w:pPr>
      <w:ins w:id="9126" w:author="Claude" w:date="2026-10-13T00:00:00Z">
        <w:r>
          <w:drawing>
            <wp:inline xmlns:wp="http://schemas.openxmlformats.org/drawingml/2006/wordprocessingDrawing" distT="0" distB="0" distL="0" distR="0">
              <wp:extent cx="5486400" cy="2209800"/>
              <wp:docPr id="9003" name="Figure 3" descr="Figure 3"/>
              <a:graphic xmlns:a="http://schemas.openxmlformats.org/drawingml/2006/main">
                <a:graphicData uri="http://schemas.openxmlformats.org/drawingml/2006/picture">
                  <pic:pic xmlns:pic="http://schemas.openxmlformats.org/drawingml/2006/picture">
                    <pic:nvPicPr>
                      <pic:cNvPr id="9003" name="fig3_rq3_rq4_coefficients.png"/>
                      <pic:cNvPicPr/>
                    </pic:nvPicPr>
                    <pic:blipFill>
                      <a:blip xmlns:r="http://schemas.openxmlformats.org/officeDocument/2006/relationships" r:embed="rId9003"/>
                      <a:stretch>
                        <a:fillRect/>
                      </a:stretch>
                    </pic:blipFill>
                    <pic:spPr>
                      <a:xfrm>
                        <a:off x="0" y="0"/>
                        <a:ext cx="5486400" cy="2209800"/>
                      </a:xfrm>
                      <a:prstGeom prst="rect">
                        <a:avLst/>
                      </a:prstGeom>
                    </pic:spPr>
                  </pic:pic>
                </a:graphicData>
              </a:graphic>
            </wp:inline>
          </w:drawing>
        </w:r>
      </w:ins>
    </w:p>
    <w:p>
      <w:pPr>
        <w:pStyle w:val="BodyText"/>
        <w:rPr>
          <w:ins w:id="9127" w:author="Claude" w:date="2026-10-13T00:00:00Z"/>
        </w:rPr>
      </w:pPr>
      <w:ins w:id="9128" w:author="Claude" w:date="2026-10-13T00:00:00Z">
        <w:r>
          <w:rPr>
            <w:b/>
            <w:bCs/>
          </w:rPr>
          <w:t xml:space="preserve">Figure 3.</w:t>
        </w:r>
        <w:r>
          <w:t xml:space="preserve"> (a) Response of the release hazard to issues in the previous week, holding non-bug issues or total issues fixed (Section 5.3). (b) Pooled coefficients on work age and calendar age in the regular-release hazard, entered alone and jointly (Section 5.5).</w:t>
        </w:r>
      </w:ins>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w:t>
      </w:r>
      <w:del w:id="9110" w:author="Claude" w:date="2026-10-13T00:00:00Z">
        <w:r>
          <w:delText xml:space="preserve">A hand check of 12 randomly drawn entries found</w:delText>
        </w:r>
      </w:del>
      <w:ins w:id="9111" w:author="Claude" w:date="2026-10-13T00:00:00Z">
        <w:r>
          <w:t xml:space="preserve">A hand check of the fix-entry classifier (not the bug-report classifier; see Section 6.3) on 12 randomly drawn entries found</w:t>
        </w:r>
      </w:ins>
      <w:r>
        <w:t xml:space="preserve">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w:t>
      </w:r>
      <w:del w:id="9167" w:author="Claude" w:date="2026-10-13T00:00:00Z">
        <w:r>
          <w:delText xml:space="preserve">For the launch event study the estimate</w:delText>
        </w:r>
      </w:del>
      <w:ins w:id="9168" w:author="Claude" w:date="2026-10-13T00:00:00Z">
        <w:r>
          <w:t xml:space="preserve">For the weekly launch event study the estimate</w:t>
        </w:r>
      </w:ins>
      <w:r>
        <w:t xml:space="preserv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w:t>
      </w:r>
      <w:del w:id="9106" w:author="Claude" w:date="2026-10-13T00:00:00Z">
        <w:r>
          <w:delText xml:space="preserve">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w:delText>
        </w:r>
      </w:del>
      <w:ins w:id="9107" w:author="Claude" w:date="2026-10-13T00:00:00Z">
        <w:r>
          <w:t xml:space="preserve">The twelve other repositories give [ ] under (b), [ ] under (d), and [ ] for the response to bug reports. For the seven weekly releasers (Table 1), the (b) estimate is [ ] and the (d) estimate is [ ]; the latter rests on few observations beyond the third week after a release and should be read with caution.</w:t>
        </w:r>
      </w:ins>
      <w:r>
        <w:t xml:space="preserv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3"/>
        <w:rPr>
          <w:ins w:id="9131" w:author="Claude" w:date="2026-10-13T00:00:00Z"/>
        </w:rPr>
      </w:pPr>
      <w:ins w:id="9132" w:author="Claude" w:date="2026-10-13T00:00:00Z">
        <w:r>
          <w:t xml:space="preserve">5.7. Receivers: Does Adoption Respond to Cadence?</w:t>
        </w:r>
      </w:ins>
    </w:p>
    <w:p>
      <w:pPr>
        <w:pStyle w:val="FirstParagraph"/>
        <w:rPr>
          <w:ins w:id="9133" w:author="Claude" w:date="2026-10-13T00:00:00Z"/>
        </w:rPr>
      </w:pPr>
      <w:ins w:id="9134" w:author="Claude" w:date="2026-10-13T00:00:00Z">
        <w:r>
          <w:t xml:space="preserve">We find no detectable response of adoption to release cadence. One standard deviation more releases in the trailing eight weeks is followed by a change of −0.008 in log download growth (clustered SE 0.034; wild cluster bootstrap p = 0.94) and of 0.047 in log star growth (SE 0.025; p = 0.10). The additional response to releases that follow a bug surge is −0.031 (p = 0.35) for downloads and −0.027 (p = 0.16) for stars, and that to hot-fixes is 0.020 (p = 0.63) and −0.020 (p = 0.66). In one of the six estimates of the response to releases, the star model that adds bug-preceded releases, the coefficient is 0.067 with a bootstrap p-value of 0.049; we do not read it as a finding, given the number of specifications we report and the estimate of 0.047 (p = 0.10) in the model without that term. With 16 clusters for downloads and 19 for stars, the minimum detectable effect at 80 percent power is about 0.09 and 0.07 log points per standard deviation, so the result does not show that receivers ignore cadence, only that adoption at weekly frequency does not reveal it. The argument of Section 2.4 then rests on the documented use of cadence in project-health assessments rather than on revealed behavior, and we say so in Section 6.3.</w:t>
        </w:r>
      </w:ins>
    </w:p>
    <w:p>
      <w:pPr>
        <w:pStyle w:val="Heading2"/>
      </w:pPr>
      <w:r>
        <w:t xml:space="preserve">6. Discussion</w:t>
      </w:r>
    </w:p>
    <w:p>
      <w:pPr>
        <w:pStyle w:val="Heading3"/>
      </w:pPr>
      <w:r>
        <w:t xml:space="preserve">6.1. Interpretation</w:t>
      </w:r>
    </w:p>
    <w:p>
      <w:pPr>
        <w:pStyle w:val="FirstParagraph"/>
      </w:pPr>
      <w:r>
        <w:t xml:space="preserve">Releases in these repositories </w:t>
      </w:r>
      <w:del w:id="9151" w:author="Claude" w:date="2026-10-13T00:00:00Z">
        <w:r>
          <w:delText xml:space="preserve">respond to the volume of user activity and, more weakly, to accumulated work</w:delText>
        </w:r>
      </w:del>
      <w:ins w:id="9152" w:author="Claude" w:date="2026-10-13T00:00:00Z">
        <w:r>
          <w:t xml:space="preserve">respond to the volume of user activity, to upstream model launches, and, more weakly, to accumulated work</w:t>
        </w:r>
      </w:ins>
      <w:r>
        <w:t xml:space="preserve">,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53" w:author="Claude" w:date="2026-10-13T00:00:00Z">
        <w:r>
          <w:delText xml:space="preserve">releases show no detectable response to upstream model launches, and the release hazard tends to rise</w:delText>
        </w:r>
      </w:del>
      <w:ins w:id="9154" w:author="Claude" w:date="2026-10-13T00:00:00Z">
        <w:r>
          <w:t xml:space="preserve">releases respond to upstream model launches within days, and the release hazard tends to rise</w:t>
        </w:r>
      </w:ins>
      <w:r>
        <w:t xml:space="preserv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w:t>
      </w:r>
      <w:del w:id="9155" w:author="Claude" w:date="2026-10-13T00:00:00Z">
        <w:r>
          <w:delText xml:space="preserve">mainly reflecting user activity and the accumulation of development work</w:delText>
        </w:r>
      </w:del>
      <w:ins w:id="9156" w:author="Claude" w:date="2026-10-13T00:00:00Z">
        <w:r>
          <w:t xml:space="preserve">mainly reflecting user activity, upstream launches, and the accumulation of development work</w:t>
        </w:r>
      </w:ins>
      <w:r>
        <w:t xml:space="preserve">. This distinction has implications for how information systems researchers conceptualize monitoring, feedback, and control in AI-enabled systems. In particular, treating release cadence as a validated signal of responsiveness </w:t>
      </w:r>
      <w:del w:id="9027" w:author="Claude" w:date="2026-10-13T00:00:00Z">
        <w:r>
          <w:delText xml:space="preserve">conflates development activity with a control response to degradation</w:delText>
        </w:r>
      </w:del>
      <w:ins w:id="9028" w:author="Claude" w:date="2026-10-13T00:00:00Z">
        <w:r>
          <w:t xml:space="preserve">to degradation conflates responsiveness to users, to upstream launches, and to development work with a control response to deterioration</w:t>
        </w:r>
      </w:ins>
      <w:r>
        <w:t xml:space="preserve">.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w:t>
      </w:r>
      <w:del w:id="9165" w:author="Claude" w:date="2026-10-13T00:00:00Z">
        <w:r>
          <w:delText xml:space="preserve">although releases do respond to the flow of user reports.</w:delText>
        </w:r>
      </w:del>
      <w:ins w:id="9166" w:author="Claude" w:date="2026-10-13T00:00:00Z">
        <w:r>
          <w:t xml:space="preserve">although releases do respond to the flow of user reports and, within days, to upstream launches.</w:t>
        </w:r>
      </w:ins>
      <w:r>
        <w:t xml:space="preserve"> In the language of signaling theory, release cadence </w:t>
      </w:r>
      <w:del w:id="9029" w:author="Claude" w:date="2026-10-13T00:00:00Z">
        <w:r>
          <w:delText xml:space="preserve">shows no sign of being a valid signal of responsiveness to degradation: it covaries with user activity in general and not distinguishably with the defects that it is read as indicating</w:delText>
        </w:r>
      </w:del>
      <w:ins w:id="9030" w:author="Claude" w:date="2026-10-13T00:00:00Z">
        <w:r>
          <w:t xml:space="preserve">meets the correlation condition for responsiveness to users, but the data do not show that it meets it for responsiveness to degradation: it covaries with user activity in general and with upstream launches, and its additional covariation with defects cannot be distinguished from zero</w:t>
        </w:r>
      </w:ins>
      <w:r>
        <w:t xml:space="preserve">.</w:t>
      </w:r>
    </w:p>
    <w:p>
      <w:pPr>
        <w:pStyle w:val="Heading3"/>
      </w:pPr>
      <w:r>
        <w:t xml:space="preserve">6.2. Implications for Policy and Practice</w:t>
      </w:r>
    </w:p>
    <w:p>
      <w:pPr>
        <w:pStyle w:val="FirstParagraph"/>
      </w:pPr>
      <w:r>
        <w:rPr>
          <w:b/>
          <w:bCs/>
        </w:rPr>
        <w:t xml:space="preserve">Release cadence should not be read as a signal of </w:t>
      </w:r>
      <w:del w:id="9031" w:author="Claude" w:date="2026-10-13T00:00:00Z">
        <w:r>
          <w:rPr>
            <w:b/>
            <w:bCs/>
          </w:rPr>
          <w:delText xml:space="preserve">responsiveness</w:delText>
        </w:r>
      </w:del>
      <w:ins w:id="9032" w:author="Claude" w:date="2026-10-13T00:00:00Z">
        <w:r>
          <w:rPr>
            <w:b/>
            <w:bCs/>
          </w:rPr>
          <w:t xml:space="preserve">responsiveness to degradation</w:t>
        </w:r>
      </w:ins>
      <w:r>
        <w:rPr>
          <w:b/>
          <w:bCs/>
        </w:rPr>
        <w:t xml:space="preserve">.</w:t>
      </w:r>
      <w:r>
        <w:t xml:space="preserve"> A project that releases every week looks actively maintained, but if release timing </w:t>
      </w:r>
      <w:del w:id="9157" w:author="Claude" w:date="2026-10-13T00:00:00Z">
        <w:r>
          <w:delText xml:space="preserve">follows user activity, accumulated work, or the calendar</w:delText>
        </w:r>
      </w:del>
      <w:ins w:id="9158" w:author="Claude" w:date="2026-10-13T00:00:00Z">
        <w:r>
          <w:t xml:space="preserve">follows user activity, upstream launches, accumulated work, or the calendar</w:t>
        </w:r>
      </w:ins>
      <w:r>
        <w:t xml:space="preserve">,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w:t>
      </w:r>
      <w:del w:id="9159" w:author="Claude" w:date="2026-10-13T00:00:00Z">
        <w:r>
          <w:delText xml:space="preserve">maintenance tends to follow user activity, accumulated work, or a calendar</w:delText>
        </w:r>
      </w:del>
      <w:ins w:id="9160" w:author="Claude" w:date="2026-10-13T00:00:00Z">
        <w:r>
          <w:t xml:space="preserve">maintenance tends to follow user activity, upstream launches, accumulated work, or a calendar</w:t>
        </w:r>
      </w:ins>
      <w:r>
        <w:t xml:space="preserve">.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w:t>
      </w:r>
      <w:del w:id="9033" w:author="Claude" w:date="2026-10-13T00:00:00Z">
        <w:r>
          <w:delText xml:space="preserve">and</w:delText>
        </w:r>
      </w:del>
      <w:ins w:id="9034" w:author="Claude" w:date="2026-10-13T00:00:00Z">
        <w:r>
          <w:t xml:space="preserve">to degradation and</w:t>
        </w:r>
      </w:ins>
      <w:r>
        <w:t xml:space="preserve">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del w:id="9108" w:author="Claude" w:date="2026-10-13T00:00:00Z">
        <w:r>
          <w:delText xml:space="preserve">We did not validate the classification against a manually labeled sample, so misclassification remains a limitation.</w:delText>
        </w:r>
      </w:del>
      <w:ins w:id="9109" w:author="Claude" w:date="2026-10-13T00:00:00Z">
        <w:r>
          <w:t xml:space="preserve">We did not validate the bug classification against a manually labeled sample, so misclassification remains a limitation. Two other classifiers have had only a small check or none: the coding of fix entries in release notes was checked on 12 entries (Section 5.6), which says nothing about its recall, and the matching of launched models in release notes has not been checked by hand.</w:t>
        </w:r>
      </w:ins>
      <w:r>
        <w:t xml:space="preserve">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rPr>
          <w:ins w:id="9135" w:author="Claude" w:date="2026-10-13T00:00:00Z"/>
        </w:rPr>
      </w:pPr>
      <w:ins w:id="9136" w:author="Claude" w:date="2026-10-13T00:00:00Z">
        <w:r>
          <w:rPr>
            <w:b/>
            <w:bCs/>
          </w:rPr>
          <w:t xml:space="preserve">Adoption measures.</w:t>
        </w:r>
        <w:r>
          <w:t xml:space="preserve"> The receiver-side analysis uses downloads and stars as measures of adoption. Downloads include mirrors and continuous-integration installs, stars measure attention more than use, three repositories have no PyPI artifact, and the PyPI counts of TensorRT-LLM are incomplete because early versions were distributed through the NVIDIA package index. Adoption and releases are both driven by project momentum, which the lagged outcome and the issue control absorb only in part.</w:t>
        </w:r>
      </w:ins>
    </w:p>
    <w:p>
      <w:pPr>
        <w:pStyle w:val="BodyText"/>
        <w:rPr>
          <w:ins w:id="9173" w:author="Claude" w:date="2026-10-13T00:00:00Z"/>
        </w:rPr>
      </w:pPr>
      <w:ins w:id="9174" w:author="Claude" w:date="2026-10-13T00:00:00Z">
        <w:r>
          <w:rPr>
            <w:b/>
            <w:bCs/>
          </w:rPr>
          <w:t xml:space="preserve">Daily launch analysis.</w:t>
        </w:r>
        <w:r>
          <w:t xml:space="preserve"> The daily analysis includes only repositories that had released in the preceding 90 days, which is why it uses 277 repository-launch pairs and not the 334 of the weekly analysis. The placebo test absorbs baseline differences in release rates between exposed and unexposed repositories, but not differences in how exposed repositories respond to any announcement. The coding of exposure is a judgment, the seven daily statistics are not independent, the primary statistic was chosen after the estimates were seen, and the keyword patterns for matching models in release notes include generic terms that can match unrelated text.</w:t>
        </w:r>
      </w:ins>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w:t>
      </w:r>
      <w:del w:id="9137" w:author="Claude" w:date="2026-10-13T00:00:00Z">
        <w:r>
          <w:delText xml:space="preserve">in Sections 5.1 to 5.6 and in Table 1</w:delText>
        </w:r>
      </w:del>
      <w:ins w:id="9138" w:author="Claude" w:date="2026-10-13T00:00:00Z">
        <w:r>
          <w:t xml:space="preserve">in Sections 5.1 to 5.7 and in Table 1</w:t>
        </w:r>
      </w:ins>
      <w:r>
        <w:t xml:space="preserve">,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61" w:author="Claude" w:date="2026-10-13T00:00:00Z">
        <w:r>
          <w:delText xml:space="preserve">releases show no detectable response to upstream model launches, and the release hazard rises significantly</w:delText>
        </w:r>
      </w:del>
      <w:ins w:id="9162" w:author="Claude" w:date="2026-10-13T00:00:00Z">
        <w:r>
          <w:t xml:space="preserve">releases respond to upstream model launches within days, and the release hazard rises significantly</w:t>
        </w:r>
      </w:ins>
      <w:r>
        <w:t xml:space="preserve"> with age in only one repository. The hazard does tend to rise with the stock of merged changes, although the data cannot cleanly separate that stock from calendar time. Release timing in this ecosystem therefore </w:t>
      </w:r>
      <w:del w:id="9163" w:author="Claude" w:date="2026-10-13T00:00:00Z">
        <w:r>
          <w:delText xml:space="preserve">appears to follow user activity and accumulating work</w:delText>
        </w:r>
      </w:del>
      <w:ins w:id="9164" w:author="Claude" w:date="2026-10-13T00:00:00Z">
        <w:r>
          <w:t xml:space="preserve">appears to follow user activity, upstream launches, and accumulating work</w:t>
        </w:r>
      </w:ins>
      <w:r>
        <w:t xml:space="preserve">, and we </w:t>
      </w:r>
      <w:del w:id="9035" w:author="Claude" w:date="2026-10-13T00:00:00Z">
        <w:r>
          <w:delText xml:space="preserve">find no clear sign that it follows accumulating errors. The findings suggest that release cadence</w:delText>
        </w:r>
      </w:del>
      <w:ins w:id="9036" w:author="Claude" w:date="2026-10-13T00:00:00Z">
        <w:r>
          <w:t xml:space="preserve">cannot identify a response to accumulating errors beyond that. Release cadence thus says something about responsiveness to users and to upstream changes, but it</w:t>
        </w:r>
      </w:ins>
      <w:r>
        <w:t xml:space="preserv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Mira P (2010) Dynamic discrete choice structural models: A survey. </w:t>
      </w:r>
      <w:r>
        <w:rPr>
          <w:i/>
          <w:iCs/>
        </w:rPr>
        <w:t xml:space="preserve">J. Econometrics</w:t>
      </w:r>
      <w:r>
        <w:t xml:space="preserve"> 156(1):38–67.</w:t>
      </w:r>
    </w:p>
    <w:p>
      <w:pPr>
        <w:pStyle w:val="Bibliography"/>
      </w:pPr>
      <w:r>
        <w:t xml:space="preserve">Alvarez FE, Lippi F, Paciello L (2011) Optimal price setting with observation and menu costs. </w:t>
      </w:r>
      <w:r>
        <w:rPr>
          <w:i/>
          <w:iCs/>
        </w:rPr>
        <w:t xml:space="preserve">Quart. J. Econom.</w:t>
      </w:r>
      <w:r>
        <w:t xml:space="preserve"> 126(4):1909–1960.</w:t>
      </w:r>
    </w:p>
    <w:p>
      <w:pPr>
        <w:pStyle w:val="Bibliography"/>
      </w:pPr>
      <w:r>
        <w:t xml:space="preserve">Amershi S, Begel A, Bird C, DeLine R, Gall H, Kamar E, Nagappan N, Nushi B, Zimmermann T (2019) Software engineering for machine learning: A case study. </w:t>
      </w:r>
      <w:r>
        <w:rPr>
          <w:i/>
          <w:iCs/>
        </w:rPr>
        <w:t xml:space="preserve">Proc. 41st Internat. Conf. Software Engrg. Software Engrg. Practice (ICSE-SEIP)</w:t>
      </w:r>
      <w:r>
        <w:t xml:space="preserve"> (IEEE, Piscataway, NJ), 291–300.</w:t>
      </w:r>
    </w:p>
    <w:p>
      <w:pPr>
        <w:pStyle w:val="Bibliography"/>
      </w:pPr>
      <w:r>
        <w:t xml:space="preserve">Banker RD, Datar SM, Kemerer CF, Zweig D (1993) Software complexity and maintenance costs. </w:t>
      </w:r>
      <w:r>
        <w:rPr>
          <w:i/>
          <w:iCs/>
        </w:rPr>
        <w:t xml:space="preserve">Comm. ACM</w:t>
      </w:r>
      <w:r>
        <w:t xml:space="preserve"> 36(11):81–94.</w:t>
      </w:r>
    </w:p>
    <w:p>
      <w:pPr>
        <w:pStyle w:val="Bibliography"/>
      </w:pPr>
      <w:r>
        <w:t xml:space="preserve">Barlow R, Hunter L (1960) Optimum preventive maintenance policies. </w:t>
      </w:r>
      <w:r>
        <w:rPr>
          <w:i/>
          <w:iCs/>
        </w:rPr>
        <w:t xml:space="preserve">Oper. Res.</w:t>
      </w:r>
      <w:r>
        <w:t xml:space="preserve"> 8(1):90–100.</w:t>
      </w:r>
    </w:p>
    <w:p>
      <w:pPr>
        <w:pStyle w:val="Bibliography"/>
      </w:pPr>
      <w:r>
        <w:t xml:space="preserve">Caballero RJ, Engel EMRA (1999) Explaining investment dynamics in U.S. manufacturing: A generalized (S,s) approach. </w:t>
      </w:r>
      <w:r>
        <w:rPr>
          <w:i/>
          <w:iCs/>
        </w:rPr>
        <w:t xml:space="preserve">Econometrica</w:t>
      </w:r>
      <w:r>
        <w:t xml:space="preserve"> 67:783–826.</w:t>
      </w:r>
    </w:p>
    <w:p>
      <w:pPr>
        <w:pStyle w:val="Bibliography"/>
      </w:pPr>
      <w:r>
        <w:t xml:space="preserve">Calvo GA (1983) Staggered prices in a utility-maximizing framework. </w:t>
      </w:r>
      <w:r>
        <w:rPr>
          <w:i/>
          <w:iCs/>
        </w:rPr>
        <w:t xml:space="preserve">J. Monetary Econom.</w:t>
      </w:r>
      <w:r>
        <w:t xml:space="preserve"> 12(3):383–398.</w:t>
      </w:r>
    </w:p>
    <w:p>
      <w:pPr>
        <w:pStyle w:val="Bibliography"/>
      </w:pPr>
      <w:r>
        <w:t xml:space="preserve">Cameron AC, Gelbach JB, Miller DL (2008) Bootstrap-based improvements for inference with clustered errors. </w:t>
      </w:r>
      <w:r>
        <w:rPr>
          <w:i/>
          <w:iCs/>
        </w:rPr>
        <w:t xml:space="preserve">Rev. Econom. Statist.</w:t>
      </w:r>
      <w:r>
        <w:t xml:space="preserve"> 90(3):414–427.</w:t>
      </w:r>
    </w:p>
    <w:p>
      <w:pPr>
        <w:pStyle w:val="Bibliography"/>
        <w:rPr>
          <w:ins w:id="9038" w:author="Claude" w:date="2026-10-13T00:00:00Z"/>
        </w:rPr>
      </w:pPr>
      <w:ins w:id="9037" w:author="Claude" w:date="2026-10-13T00:00:00Z">
        <w:r>
          <w:t xml:space="preserve">CHAOSS (n.d.) Release frequency. CHAOSS Metrics. https://chaoss.community/?p=4765. Accessed October 13, 2026.</w:t>
        </w:r>
      </w:ins>
    </w:p>
    <w:p>
      <w:pPr>
        <w:pStyle w:val="Bibliography"/>
      </w:pPr>
      <w:r>
        <w:t xml:space="preserve">Chen L, Zaharia M, Zou J (2024) How is ChatGPT’s behavior changing over time? </w:t>
      </w:r>
      <w:r>
        <w:rPr>
          <w:i/>
          <w:iCs/>
        </w:rPr>
        <w:t xml:space="preserve">Harvard Data Sci. Rev.</w:t>
      </w:r>
      <w:r>
        <w:t xml:space="preserve"> 6(2).</w:t>
      </w:r>
    </w:p>
    <w:p>
      <w:pPr>
        <w:pStyle w:val="Bibliography"/>
      </w:pPr>
      <w:r>
        <w:t xml:space="preserve">Chen W, Liu X, Krishnan V, Zhu K (2026) Strategic release and co-creation: Empirical insights for managing open-source software. </w:t>
      </w:r>
      <w:r>
        <w:rPr>
          <w:i/>
          <w:iCs/>
        </w:rPr>
        <w:t xml:space="preserve">Inform. Systems Res.</w:t>
      </w:r>
      <w:r>
        <w:t xml:space="preserve"> Forthcoming.</w:t>
      </w:r>
    </w:p>
    <w:p>
      <w:pPr>
        <w:pStyle w:val="Bibliography"/>
      </w:pPr>
      <w:r>
        <w:t xml:space="preserve">Connelly BL, Certo ST, Ireland RD, Reutzel CR (2011) Signaling theory: A review and assessment. </w:t>
      </w:r>
      <w:r>
        <w:rPr>
          <w:i/>
          <w:iCs/>
        </w:rPr>
        <w:t xml:space="preserve">J. Management</w:t>
      </w:r>
      <w:r>
        <w:t xml:space="preserve"> 37(1):39–67.</w:t>
      </w:r>
    </w:p>
    <w:p>
      <w:pPr>
        <w:pStyle w:val="Bibliography"/>
      </w:pPr>
      <w:r>
        <w:t xml:space="preserve">DerSimonian R, Laird N (1986) Meta-analysis in clinical trials. </w:t>
      </w:r>
      <w:r>
        <w:rPr>
          <w:i/>
          <w:iCs/>
        </w:rPr>
        <w:t xml:space="preserve">Controlled Clinical Trials</w:t>
      </w:r>
      <w:r>
        <w:t xml:space="preserve"> 7(3):177–188.</w:t>
      </w:r>
    </w:p>
    <w:p>
      <w:pPr>
        <w:pStyle w:val="Bibliography"/>
      </w:pPr>
      <w:r>
        <w:t xml:space="preserve">Duncan AJ (1956) The economic design of X̄ charts used to maintain current control of a process. </w:t>
      </w:r>
      <w:r>
        <w:rPr>
          <w:i/>
          <w:iCs/>
        </w:rPr>
        <w:t xml:space="preserve">J. Amer. Statist. Assoc.</w:t>
      </w:r>
      <w:r>
        <w:t xml:space="preserve"> 51(274):228–242.</w:t>
      </w:r>
    </w:p>
    <w:p>
      <w:pPr>
        <w:pStyle w:val="Bibliography"/>
      </w:pPr>
      <w:r>
        <w:t xml:space="preserve">Gama J, Žliobaitė I, Bifet A, Pechenizkiy M, Bouchachia A (2014) A survey on concept drift adaptation. </w:t>
      </w:r>
      <w:r>
        <w:rPr>
          <w:i/>
          <w:iCs/>
        </w:rPr>
        <w:t xml:space="preserve">ACM Comput. Surveys</w:t>
      </w:r>
      <w:r>
        <w:t xml:space="preserve"> 46(4):Article 44.</w:t>
      </w:r>
    </w:p>
    <w:p>
      <w:pPr>
        <w:pStyle w:val="Bibliography"/>
      </w:pPr>
      <w:r>
        <w:t xml:space="preserve">Gourieroux C, Monfort A, Trognon A (1984) Pseudo maximum likelihood methods: Applications to Poisson models. </w:t>
      </w:r>
      <w:r>
        <w:rPr>
          <w:i/>
          <w:iCs/>
        </w:rPr>
        <w:t xml:space="preserve">Econometrica</w:t>
      </w:r>
      <w:r>
        <w:t xml:space="preserve"> 52:701–720.</w:t>
      </w:r>
    </w:p>
    <w:p>
      <w:pPr>
        <w:pStyle w:val="Bibliography"/>
      </w:pPr>
      <w:r>
        <w:t xml:space="preserve">Heckman J, Singer B (1984) A method for minimizing the impact of distributional assumptions in econometric models for duration data. </w:t>
      </w:r>
      <w:r>
        <w:rPr>
          <w:i/>
          <w:iCs/>
        </w:rPr>
        <w:t xml:space="preserve">Econometrica</w:t>
      </w:r>
      <w:r>
        <w:t xml:space="preserve"> 52:271–320.</w:t>
      </w:r>
    </w:p>
    <w:p>
      <w:pPr>
        <w:pStyle w:val="Bibliography"/>
      </w:pPr>
      <w:r>
        <w:t xml:space="preserve">Hotz VJ, Miller RA (1993) Conditional choice probabilities and the estimation of dynamic models. </w:t>
      </w:r>
      <w:r>
        <w:rPr>
          <w:i/>
          <w:iCs/>
        </w:rPr>
        <w:t xml:space="preserve">Rev. Econom. Stud.</w:t>
      </w:r>
      <w:r>
        <w:t xml:space="preserve"> 60(3):497–529.</w:t>
      </w:r>
    </w:p>
    <w:p>
      <w:pPr>
        <w:pStyle w:val="Bibliography"/>
      </w:pPr>
      <w:r>
        <w:t xml:space="preserve">Jenkins SP (1995) Easy estimation methods for discrete-time duration models. </w:t>
      </w:r>
      <w:r>
        <w:rPr>
          <w:i/>
          <w:iCs/>
        </w:rPr>
        <w:t xml:space="preserve">Oxford Bull. Econom. Statist.</w:t>
      </w:r>
      <w:r>
        <w:t xml:space="preserve"> 57(1):129–138.</w:t>
      </w:r>
    </w:p>
    <w:p>
      <w:pPr>
        <w:pStyle w:val="Bibliography"/>
      </w:pPr>
      <w:r>
        <w:t xml:space="preserve">Kemerer CF, Slaughter S (1999) An empirical approach to studying software evolution. </w:t>
      </w:r>
      <w:r>
        <w:rPr>
          <w:i/>
          <w:iCs/>
        </w:rPr>
        <w:t xml:space="preserve">IEEE Trans. Software Engrg.</w:t>
      </w:r>
      <w:r>
        <w:t xml:space="preserve"> 25(4):493–509.</w:t>
      </w:r>
    </w:p>
    <w:p>
      <w:pPr>
        <w:pStyle w:val="Bibliography"/>
      </w:pPr>
      <w:r>
        <w:t xml:space="preserve">Khomh F, Dhaliwal T, Zou Y, Adams B (2012) Do faster releases improve software quality? An empirical case study of Mozilla Firefox. </w:t>
      </w:r>
      <w:r>
        <w:rPr>
          <w:i/>
          <w:iCs/>
        </w:rPr>
        <w:t xml:space="preserve">Proc. 9th IEEE Working Conf. Mining Software Repositories (MSR)</w:t>
      </w:r>
      <w:r>
        <w:t xml:space="preserve"> (IEEE, Piscataway, NJ), 179–188.</w:t>
      </w:r>
    </w:p>
    <w:p>
      <w:pPr>
        <w:pStyle w:val="Bibliography"/>
      </w:pPr>
      <w:r>
        <w:t xml:space="preserve">Klenow PJ, Kryvtsov O (2008) State-dependent or time-dependent pricing: Does it matter for recent U.S. inflation? </w:t>
      </w:r>
      <w:r>
        <w:rPr>
          <w:i/>
          <w:iCs/>
        </w:rPr>
        <w:t xml:space="preserve">Quart. J. Econom.</w:t>
      </w:r>
      <w:r>
        <w:t xml:space="preserve"> 123(3):863–904.</w:t>
      </w:r>
    </w:p>
    <w:p>
      <w:pPr>
        <w:pStyle w:val="Bibliography"/>
      </w:pPr>
      <w:r>
        <w:t xml:space="preserve">Lazaridou A, Kuncoro A, Gribovskaya E, Agrawal D, Liska A, Terzi T, Gimenez M, de Masson d’Autume C, Kocisky T, Ruder S, Yogatama D, Cao K, Young S, Blunsom P (2021) Mind the gap: Assessing temporal generalization in neural language models. </w:t>
      </w:r>
      <w:r>
        <w:rPr>
          <w:i/>
          <w:iCs/>
        </w:rPr>
        <w:t xml:space="preserve">Adv. Neural Inform. Processing Systems, vol. 34</w:t>
      </w:r>
      <w:r>
        <w:t xml:space="preserve">.</w:t>
      </w:r>
    </w:p>
    <w:p>
      <w:pPr>
        <w:pStyle w:val="Bibliography"/>
      </w:pPr>
      <w:r>
        <w:t xml:space="preserve">Lehman MM (1980) Programs, life cycles, and laws of software evolution. </w:t>
      </w:r>
      <w:r>
        <w:rPr>
          <w:i/>
          <w:iCs/>
        </w:rPr>
        <w:t xml:space="preserve">Proc. IEEE</w:t>
      </w:r>
      <w:r>
        <w:t xml:space="preserve"> 68(9):1060–1076.</w:t>
      </w:r>
    </w:p>
    <w:p>
      <w:pPr>
        <w:pStyle w:val="Bibliography"/>
      </w:pPr>
      <w:r>
        <w:t xml:space="preserve">Lerner J, Tirole J (2002) Some simple economics of open source. </w:t>
      </w:r>
      <w:r>
        <w:rPr>
          <w:i/>
          <w:iCs/>
        </w:rPr>
        <w:t xml:space="preserve">J. Indust. Econom.</w:t>
      </w:r>
      <w:r>
        <w:t xml:space="preserve"> 50(2):197–234.</w:t>
      </w:r>
    </w:p>
    <w:p>
      <w:pPr>
        <w:pStyle w:val="Bibliography"/>
      </w:pPr>
      <w:r>
        <w:t xml:space="preserve">Luu K, Khashabi D, Gururangan S, Mandyam K, Smith NA (2022) Time waits for no one! Analysis and challenges of temporal misalignment. </w:t>
      </w:r>
      <w:r>
        <w:rPr>
          <w:i/>
          <w:iCs/>
        </w:rPr>
        <w:t xml:space="preserve">Proc. 2022 Conf. North Amer. Chapter Assoc. Comput. Linguistics Human Language Tech.</w:t>
      </w:r>
      <w:r>
        <w:t xml:space="preserve"> (Association for Computational Linguistics), 5944–5958.</w:t>
      </w:r>
    </w:p>
    <w:p>
      <w:pPr>
        <w:pStyle w:val="Bibliography"/>
      </w:pPr>
      <w:r>
        <w:t xml:space="preserve">Mankiw NG, Reis R (2002) Sticky information versus sticky prices: A proposal to replace the New Keynesian Phillips curve. </w:t>
      </w:r>
      <w:r>
        <w:rPr>
          <w:i/>
          <w:iCs/>
        </w:rPr>
        <w:t xml:space="preserve">Quart. J. Econom.</w:t>
      </w:r>
      <w:r>
        <w:t xml:space="preserve"> 117(4):1295–1328.</w:t>
      </w:r>
    </w:p>
    <w:p>
      <w:pPr>
        <w:pStyle w:val="Bibliography"/>
      </w:pPr>
      <w:r>
        <w:t xml:space="preserve">Nakamura E, Steinsson J (2008) Five facts about prices: A reevaluation of menu cost models. </w:t>
      </w:r>
      <w:r>
        <w:rPr>
          <w:i/>
          <w:iCs/>
        </w:rPr>
        <w:t xml:space="preserve">Quart. J. Econom.</w:t>
      </w:r>
      <w:r>
        <w:t xml:space="preserve"> 123(4):1415–1464.</w:t>
      </w:r>
    </w:p>
    <w:p>
      <w:pPr>
        <w:pStyle w:val="Bibliography"/>
        <w:rPr>
          <w:ins w:id="9040" w:author="Claude" w:date="2026-10-13T00:00:00Z"/>
        </w:rPr>
      </w:pPr>
      <w:ins w:id="9039" w:author="Claude" w:date="2026-10-13T00:00:00Z">
        <w:r>
          <w:t xml:space="preserve">OpenSSF (n.d.) Scorecard checks: Maintained. https://github.com/ossf/scorecard/blob/main/docs/checks.md#maintained. Accessed October 13, 2026.</w:t>
        </w:r>
      </w:ins>
    </w:p>
    <w:p>
      <w:pPr>
        <w:pStyle w:val="Bibliography"/>
      </w:pPr>
      <w:r>
        <w:t xml:space="preserve">Reis R (2006) Inattentive producers. </w:t>
      </w:r>
      <w:r>
        <w:rPr>
          <w:i/>
          <w:iCs/>
        </w:rPr>
        <w:t xml:space="preserve">Rev. Econom. Stud.</w:t>
      </w:r>
      <w:r>
        <w:t xml:space="preserve"> 73(3):793–821.</w:t>
      </w:r>
    </w:p>
    <w:p>
      <w:pPr>
        <w:pStyle w:val="Bibliography"/>
      </w:pPr>
      <w:r>
        <w:t xml:space="preserve">Rust J (1987) Optimal replacement of GMC bus engines: An empirical model of Harold Zurcher. </w:t>
      </w:r>
      <w:r>
        <w:rPr>
          <w:i/>
          <w:iCs/>
        </w:rPr>
        <w:t xml:space="preserve">Econometrica</w:t>
      </w:r>
      <w:r>
        <w:t xml:space="preserve"> 55:999–1033.</w:t>
      </w:r>
    </w:p>
    <w:p>
      <w:pPr>
        <w:pStyle w:val="Bibliography"/>
      </w:pPr>
      <w:r>
        <w:t xml:space="preserve">Sculley D, Holt G, Golovin D, Davydov E, Phillips T, Ebner D, Chaudhary V, Young M, Crespo J-F, Dennison D (2015) Hidden technical debt in machine learning systems. </w:t>
      </w:r>
      <w:r>
        <w:rPr>
          <w:i/>
          <w:iCs/>
        </w:rPr>
        <w:t xml:space="preserve">Adv. Neural Inform. Processing Systems, vol. 28</w:t>
      </w:r>
      <w:r>
        <w:t xml:space="preserve"> (Curran Associates, Red Hook, NY), 2503–2511.</w:t>
      </w:r>
    </w:p>
    <w:p>
      <w:pPr>
        <w:pStyle w:val="Bibliography"/>
      </w:pPr>
      <w:r>
        <w:t xml:space="preserve">Sheshinski E, Weiss Y (1977) Inflation and costs of price adjustment. </w:t>
      </w:r>
      <w:r>
        <w:rPr>
          <w:i/>
          <w:iCs/>
        </w:rPr>
        <w:t xml:space="preserve">Rev. Econom. Stud.</w:t>
      </w:r>
      <w:r>
        <w:t xml:space="preserve"> 44(2):287–303.</w:t>
      </w:r>
    </w:p>
    <w:p>
      <w:pPr>
        <w:pStyle w:val="Bibliography"/>
      </w:pPr>
      <w:r>
        <w:t xml:space="preserve">Sims CA (2003) Implications of rational inattention. </w:t>
      </w:r>
      <w:r>
        <w:rPr>
          <w:i/>
          <w:iCs/>
        </w:rPr>
        <w:t xml:space="preserve">J. Monetary Econom.</w:t>
      </w:r>
      <w:r>
        <w:t xml:space="preserve"> 50(3):665–690.</w:t>
      </w:r>
    </w:p>
    <w:p>
      <w:pPr>
        <w:pStyle w:val="Bibliography"/>
        <w:rPr>
          <w:ins w:id="9042" w:author="Claude" w:date="2026-10-13T00:00:00Z"/>
        </w:rPr>
      </w:pPr>
      <w:ins w:id="9041" w:author="Claude" w:date="2026-10-13T00:00:00Z">
        <w:r>
          <w:t xml:space="preserve">Snyk (n.d.) Snyk Advisor: Package health score, maintenance. https://snyk.io/advisor/. Accessed October 13, 2026.</w:t>
        </w:r>
      </w:ins>
    </w:p>
    <w:p>
      <w:pPr>
        <w:pStyle w:val="Bibliography"/>
      </w:pPr>
      <w:r>
        <w:t xml:space="preserve">Song F, Agarwal A, Wen W (2026) The impact of generative AI on collaborative open-source software development: Evidence from GitHub Copilot. </w:t>
      </w:r>
      <w:r>
        <w:rPr>
          <w:i/>
          <w:iCs/>
        </w:rPr>
        <w:t xml:space="preserve">Inform. Systems Res.</w:t>
      </w:r>
      <w:r>
        <w:t xml:space="preserve"> Forthcoming.</w:t>
      </w:r>
    </w:p>
    <w:p>
      <w:pPr>
        <w:pStyle w:val="Bibliography"/>
      </w:pPr>
      <w:r>
        <w:t xml:space="preserve">Spence M (1973) Job market signaling. </w:t>
      </w:r>
      <w:r>
        <w:rPr>
          <w:i/>
          <w:iCs/>
        </w:rPr>
        <w:t xml:space="preserve">Quart. J. Econom.</w:t>
      </w:r>
      <w:r>
        <w:t xml:space="preserve"> 87(3):355–374.</w:t>
      </w:r>
    </w:p>
    <w:p>
      <w:pPr>
        <w:pStyle w:val="Bibliography"/>
      </w:pPr>
      <w:r>
        <w:t xml:space="preserve">Swanson EB (1976) The dimensions of maintenance. </w:t>
      </w:r>
      <w:r>
        <w:rPr>
          <w:i/>
          <w:iCs/>
        </w:rPr>
        <w:t xml:space="preserve">Proc. 2nd Internat. Conf. Software Engrg.</w:t>
      </w:r>
      <w:r>
        <w:t xml:space="preserve"> (IEEE Computer Society Press), 492–497.</w:t>
      </w:r>
    </w:p>
    <w:p>
      <w:pPr>
        <w:pStyle w:val="Bibliography"/>
      </w:pPr>
      <w:r>
        <w:t xml:space="preserve">Taylor JB (1980) Aggregate dynamics and staggered contracts. </w:t>
      </w:r>
      <w:r>
        <w:rPr>
          <w:i/>
          <w:iCs/>
        </w:rPr>
        <w:t xml:space="preserve">J. Political Econom.</w:t>
      </w:r>
      <w:r>
        <w:t xml:space="preserve"> 88(1):1–23.</w:t>
      </w:r>
    </w:p>
    <w:p>
      <w:pPr>
        <w:pStyle w:val="Bibliography"/>
      </w:pPr>
      <w:r>
        <w:t xml:space="preserve">von Hippel E, von Krogh G (2003) Open source software and the “private-collective” innovation model: Issues for organization science. </w:t>
      </w:r>
      <w:r>
        <w:rPr>
          <w:i/>
          <w:iCs/>
        </w:rPr>
        <w:t xml:space="preserve">Organ. Sci.</w:t>
      </w:r>
      <w:r>
        <w:t xml:space="preserve"> 14(2):209–223.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240" w:after="0"/>
      <w:outlineLvl w:val="1"/>
    </w:pPr>
    <w:rPr>
      <w:rFonts w:ascii="Times New Roman" w:hAnsi="Times New Roman" w:eastAsia="Times New Roman" w:cs="Times New Roman"/>
      <w:b/>
      <w:bCs/>
      <w:color w:val="000000"/>
      <w:sz w:val="22"/>
      <w:szCs w:val="22"/>
    </w:rPr>
  </w:style>
  <w:style w:type="paragraph" w:styleId="Heading3">
    <w:name w:val="Heading 3"/>
    <w:basedOn w:val="Normal"/>
    <w:next w:val="BodyText"/>
    <w:uiPriority w:val="9"/>
    <w:unhideWhenUsed/>
    <w:qFormat/>
    <w:pPr>
      <w:keepNext w:val="true"/>
      <w:keepLines/>
      <w:spacing w:before="240" w:after="0"/>
      <w:outlineLvl w:val="2"/>
    </w:pPr>
    <w:rPr>
      <w:rFonts w:ascii="Times New Roman" w:hAnsi="Times New Roman" w:eastAsia="Times New Roman" w:cs="Times New Roman"/>
      <w:b/>
      <w:bCs/>
      <w:i/>
      <w:iCs/>
      <w:color w:val="000000"/>
      <w:sz w:val="22"/>
      <w:szCs w:val="22"/>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exact" w:line="39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exact" w:line="390" w:before="0" w:after="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001" Type="http://schemas.openxmlformats.org/officeDocument/2006/relationships/image" Target="media/fig1_repository_slopes.png"/><Relationship Id="rId9002" Type="http://schemas.openxmlformats.org/officeDocument/2006/relationships/image" Target="media/fig2_rq1_specifications.png"/><Relationship Id="rId9003" Type="http://schemas.openxmlformats.org/officeDocument/2006/relationships/image" Target="media/fig3_rq3_rq4_coefficients.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