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 (not sent to reviewers)</w:t>
      </w:r>
    </w:p>
    <w:p>
      <w:r>
        <w:t>Pre-testing social media campaigns with LLM-agent simulation: event-driven agent timing and the scale-versus-speed trade-off in seeding decisions</w:t>
      </w:r>
    </w:p>
    <w:p>
      <w:r>
        <w:t>Authors: [names, affiliations, corresponding author, e-mail, ORCID]</w:t>
      </w:r>
    </w:p>
    <w:p>
      <w:r>
        <w:t>Acknowledgements and funding: [to be completed]</w:t>
      </w:r>
    </w:p>
    <w:p>
      <w:r>
        <w:t>CRediT author statement: [to be completed]</w:t>
      </w:r>
    </w:p>
    <w:p>
      <w:r>
        <w:t>Declaration of competing interest: [to be completed]</w:t>
      </w:r>
    </w:p>
    <w:p>
      <w:pPr>
        <w:pStyle w:val="Heading1"/>
      </w:pPr>
      <w:r>
        <w:t>Highlights (separate file, if the journal asks for one)</w:t>
      </w:r>
    </w:p>
    <w:p>
      <w:pPr>
        <w:pStyle w:val="ListBullet"/>
      </w:pPr>
      <w:r>
        <w:t>Agent timing in LLM simulators is set by a point process, not the simulation clock</w:t>
      </w:r>
    </w:p>
    <w:p>
      <w:pPr>
        <w:pStyle w:val="ListBullet"/>
      </w:pPr>
      <w:r>
        <w:t>An LLM rates the urge to act; an inhomogeneous Poisson process decides when</w:t>
      </w:r>
    </w:p>
    <w:p>
      <w:pPr>
        <w:pStyle w:val="ListBullet"/>
      </w:pPr>
      <w:r>
        <w:t>At equal exposure budget, influencer seeding gave about 78% more adopters</w:t>
      </w:r>
    </w:p>
    <w:p>
      <w:pPr>
        <w:pStyle w:val="ListBullet"/>
      </w:pPr>
      <w:r>
        <w:t>Distributed seeding reached half its adopters sooner and varied far less</w:t>
      </w:r>
    </w:p>
    <w:p>
      <w:pPr>
        <w:pStyle w:val="ListBullet"/>
      </w:pPr>
      <w:r>
        <w:t>Conclusions are unchanged when a rule-based oracle is replaced by LLM ratings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