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State-Dependent or Time-Dependent? Release Timing and Software Degradation in the Open-Source AI Ecosystem</w:t>
      </w:r>
    </w:p>
    <w:p>
      <w:pPr>
        <w:pStyle w:val="Heading2"/>
      </w:pPr>
      <w:r>
        <w:t xml:space="preserve">Highlights</w:t>
      </w:r>
    </w:p>
    <w:p>
      <w:pPr>
        <w:pStyle w:val="Compact"/>
        <w:numPr>
          <w:ilvl w:val="0"/>
          <w:numId w:val="2"/>
        </w:numPr>
      </w:pPr>
      <w:r>
        <w:t xml:space="preserve">Release timing in 19 open-source LLM projects is tested against adjustment theory</w:t>
      </w:r>
    </w:p>
    <w:p>
      <w:pPr>
        <w:pStyle w:val="Compact"/>
        <w:numPr>
          <w:ilvl w:val="0"/>
          <w:numId w:val="2"/>
        </w:numPr>
      </w:pPr>
      <w:r>
        <w:t xml:space="preserve">Bug reports do not rise with time since release once issue volume is controlled</w:t>
      </w:r>
    </w:p>
    <w:p>
      <w:pPr>
        <w:pStyle w:val="Compact"/>
        <w:numPr>
          <w:ilvl w:val="0"/>
          <w:numId w:val="2"/>
        </w:numPr>
      </w:pPr>
      <w:r>
        <w:t xml:space="preserve">Only one of 19 projects has a release hazard that rises significantly with age</w:t>
      </w:r>
    </w:p>
    <w:p>
      <w:pPr>
        <w:pStyle w:val="Compact"/>
        <w:numPr>
          <w:ilvl w:val="0"/>
          <w:numId w:val="2"/>
        </w:numPr>
      </w:pPr>
      <w:r>
        <w:t xml:space="preserve">Hot-fixes pull the raw hazard down; regular releases follow a steady cadence</w:t>
      </w:r>
    </w:p>
    <w:p>
      <w:pPr>
        <w:pStyle w:val="Compact"/>
        <w:numPr>
          <w:ilvl w:val="0"/>
          <w:numId w:val="2"/>
        </w:numPr>
      </w:pPr>
      <w:r>
        <w:t xml:space="preserve">Calendar-driven maintenance means degradation need not trigger a refresh</w:t>
      </w:r>
    </w:p>
    <w:p>
      <w:pPr>
        <w:pStyle w:val="Heading2"/>
      </w:pPr>
      <w:r>
        <w:t xml:space="preserve">Abstract</w:t>
      </w:r>
    </w:p>
    <w:p>
      <w:pPr>
        <w:pStyle w:val="FirstParagraph"/>
      </w:pPr>
      <w:r>
        <w:t xml:space="preserve">Software built on large language models is expected to degrade as the world drifts away from a model’s training data, and economic models of replacement imply that maintainers should refresh such systems when the accumulated cost of errors justifies the cost of renewal. Borrowing the distinction between state-dependent and time-dependent adjustment from the price-setting literature, we ask which kind of rule governs release timing in the open-source ecosystem around these models. We model errors as a Poisson process whose rate rises with drift and derive what each rule implies for the error rate and the release hazard. Using weekly issue and release histories for 19 widely used repositories (3,432 repository-weeks; 2,456 releases), we find that bug reports do not rise with the time since the last release once total issue volume is controlled (pooled slope −0.0013 per week; 95% CI −0.009 to 0.007), and that only one repository has a release hazard that rises significantly with age. The pooled hazard is not distinguishable from zero (−0.09; 95% CI −0.21 to 0.03). The raw hazard falls with age because hot-fixes cluster in the week after a release, which is the pattern that temporary adjustments produce in price-change data. Once hot-fixes are set apart, the hazard of a regular release is flat to mildly rising, and regular releases are spaced more evenly than a constant-hazard process would space them (median coefficient of variation 0.77). Release timing in this ecosystem behaves as time-dependent. We discuss what this implies for post-deployment monitoring of AI systems and for the data needed to detect degradation.</w:t>
      </w:r>
    </w:p>
    <w:p>
      <w:pPr>
        <w:pStyle w:val="BodyText"/>
      </w:pPr>
      <w:r>
        <w:rPr>
          <w:b/>
          <w:bCs/>
        </w:rPr>
        <w:t xml:space="preserve">Keywords:</w:t>
      </w:r>
      <w:r>
        <w:t xml:space="preserve"> open-source software; artificial intelligence; software maintenance; state-dependent adjustment; time-dependent adjustment; hazard models</w:t>
      </w:r>
    </w:p>
    <w:p>
      <w:pPr>
        <w:pStyle w:val="BodyText"/>
      </w:pPr>
      <w:r>
        <w:rPr>
          <w:b/>
          <w:bCs/>
        </w:rPr>
        <w:t xml:space="preserve">JEL classification:</w:t>
      </w:r>
      <w:r>
        <w:t xml:space="preserve"> L86; L17; O33; D83</w:t>
      </w:r>
    </w:p>
    <w:p>
      <w:pPr>
        <w:pStyle w:val="Heading2"/>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w:t>
      </w:r>
    </w:p>
    <w:p>
      <w:pPr>
        <w:pStyle w:val="BodyText"/>
      </w:pPr>
      <w:r>
        <w:t xml:space="preserve">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two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t xml:space="preserve">The answer to RQ1 is no. Once total issue volume is controlled, bug reports do not rise with the age of a release, and the pooled estimate is precise enough to rule out a 1 percent weekly increase. The answer to RQ2 is that release timing looks time-dependent. Only one repository (vLLM) has a release hazard that rises significantly with age, about what chance alone would produce among 19 tests, and the pooled slope is not distinguishable from zero. The raw hazard is highest in the week after a release, when hot-fixes are issued, and it falls afterward. Once hot-fixes are set apart, the hazard of a regular release is flat to mildly rising in the time since the last regular release, and regular releases are spaced more evenly than a constant-hazard process would space them. This is the signature of a fixed cadence (Taylor 1980) and not of random timing (Calvo 1983), and because bug reports do not accumulate, it cannot be read as a response to an error state. The price literature has met a similar pattern. Pooling units or episodes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three contributions. First, it brings the distinction between state-dependent and time-dependent adjustment to the maintenance of AI software and derives, from a simple Poisson model of accumulating errors, what each class of rule implies for observable data (Section 3). Second, it provides evidence from 19 repositories that release timing in this ecosystem behaves as time-dependent and that the error signature that would justify state-dependent refresh is absent (Section 5). Third, it draws out implications for policy and practice. Release cadence is not evidence that degradation is being managed, and detecting degradation requires data that public repositories do not contain (Section 6). A replication package accompanies the paper.</w:t>
      </w:r>
    </w:p>
    <w:p>
      <w:pPr>
        <w:pStyle w:val="BodyText"/>
      </w:pPr>
      <w:r>
        <w:t xml:space="preserve">We should say at the outset what the study does not show. The repositories are tools and not model-retraining pipelines, so a release is a proxy for a refresh, and the results do not speak directly to how commercial operators maintain hosted models. Section 6.3 discusses how this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same properties hold in a discounted dynamic version of the model with unobserved payoff shocks (Rust 1987), where the monotonicity of the refresh probability can be proved.</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flat in the time since the last release, apart from a hot-fix spike just after a release.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t xml:space="preserve">RQ1 tests H1. RQ2 discriminates between H2a and H2b, and H3 governs how the pooled estimates should be read. The refresh cost </w:t>
      </w:r>
      <w:r>
        <w:rPr>
          <w:i/>
          <w:iCs/>
        </w:rPr>
        <w:t xml:space="preserve">RC</w:t>
      </w:r>
      <w:r>
        <w:t xml:space="preserve"> is identified only under H1 and H2a, so we do not report an estimate of it.</w:t>
      </w:r>
    </w:p>
    <w:p>
      <w:pPr>
        <w:pStyle w:val="Heading3"/>
      </w:pPr>
      <w:r>
        <w:t xml:space="preserve">3.5 Simulation benchmark</w:t>
      </w:r>
    </w:p>
    <w:p>
      <w:pPr>
        <w:pStyle w:val="FirstParagraph"/>
      </w:pPr>
      <w:r>
        <w:t xml:space="preserve">To check that the tests would detect the state-dependent signatures if they were present, we simulated the dynamic version of the model (Appendix A) with </w:t>
      </w:r>
      <w:r>
        <w:rPr>
          <w:i/>
          <w:iCs/>
        </w:rPr>
        <w:t xml:space="preserve">γ</w:t>
      </w:r>
      <w:r>
        <w:t xml:space="preserve">=0.5, </w:t>
      </w:r>
      <w:r>
        <w:rPr>
          <w:i/>
          <w:iCs/>
        </w:rPr>
        <w:t xml:space="preserve">RC</w:t>
      </w:r>
      <w:r>
        <w:t xml:space="preserve">=40, </w:t>
      </w:r>
      <w:r>
        <w:rPr>
          <w:i/>
          <w:iCs/>
        </w:rPr>
        <w:t xml:space="preserve">λ₀</w:t>
      </w:r>
      <w:r>
        <w:t xml:space="preserve">=5, Poisson(1) drift increments, and a discount factor of 0.95. The optimal policy refreshes at a drift of 14, where the expected error rate is 12.0, or 2.4 times the baseline. Across 100 replications of 3,000 weeks, </w:t>
      </w:r>
      <w:r>
        <w:rPr>
          <w:i/>
          <w:iCs/>
        </w:rPr>
        <w:t xml:space="preserve">γ</w:t>
      </w:r>
      <w:r>
        <w:t xml:space="preserve"> was recovered with a mean of 0.499 (SD 0.011), so the central parameter of (1) is well identified whenever errors and drift are observed. The refresh cost is harder to recover. A two-step estimator gave </w:t>
      </w:r>
      <w:r>
        <w:rPr>
          <w:i/>
          <w:iCs/>
        </w:rPr>
        <w:t xml:space="preserve">RC</w:t>
      </w:r>
      <w:r>
        <w:t xml:space="preserve"> with a mean of 39.9 (SD 1.0), and estimating </w:t>
      </w:r>
      <w:r>
        <w:rPr>
          <w:i/>
          <w:iCs/>
        </w:rPr>
        <w:t xml:space="preserve">γ</w:t>
      </w:r>
      <w:r>
        <w:t xml:space="preserve"> and </w:t>
      </w:r>
      <w:r>
        <w:rPr>
          <w:i/>
          <w:iCs/>
        </w:rPr>
        <w:t xml:space="preserve">RC</w:t>
      </w:r>
      <w:r>
        <w:t xml:space="preserve"> jointly from choice data alone gave a mean of 40.1 (SD 3.0). Precision falls with sample length: the SD of the estimated </w:t>
      </w:r>
      <w:r>
        <w:rPr>
          <w:i/>
          <w:iCs/>
        </w:rPr>
        <w:t xml:space="preserve">RC</w:t>
      </w:r>
      <w: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(0.083)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0.010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(0.205)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(0.021)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(0.102)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(0.020)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0.017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(0.078)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−0.045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(0.117)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0.006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(1.627)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−0.019 (0.047)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(0.275)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−0.151 (0.064)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0.018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(0.176)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0.014 (0.033)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(1.615)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(0.028)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(0.110)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(0.010)</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(0.210)</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For each repository we fit a Poisson regression of weekly bug counts on the weeks since release, with an offset equal to the log of total weekly issues and a linear time trend. This is the empirical counterpart of (2): the sign of the coefficient on age is the sign of </w:t>
      </w:r>
      <w:r>
        <w:rPr>
          <w:i/>
          <w:iCs/>
        </w:rPr>
        <w:t xml:space="preserve">γ</w:t>
      </w:r>
      <w:r>
        <w:t xml:space="preserve">. We use a log link and treat the regression as Poisson quasi-maximum likelihood, which estimates the coefficients consistently as long as the conditional mean is correctly specified, even when the counts are overdispersed (Gourieroux et al. 1984). </w:t>
      </w:r>
      <w:r>
        <w:t xml:space="preserve">Pearson dispersion statistics (the Pearson chi-square divided by the residual degrees of freedom) are close to one in most repositories (median 0.94, range 0.48 to 1.94) and exceed 1.5 only in Transformers, autogen, semantic-kernel, Ollama, and vLLM. As a robustness check we also fit negative binomial models with the same offset and trend; the pooled age slope from these models is −0.0013 (95% CI −0.009 to 0.007).</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t>
      </w:r>
      <w:r>
        <w:t xml:space="preserve">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Heading2"/>
      </w:pPr>
      <w:r>
        <w:t xml:space="preserve">5 Results</w:t>
      </w:r>
    </w:p>
    <w:p>
      <w:pPr>
        <w:pStyle w:val="Heading3"/>
      </w:pPr>
      <w:r>
        <w:t xml:space="preserve">5.1 RQ1: Bug reports do not rise with the age of a release</w:t>
      </w:r>
    </w:p>
    <w:p>
      <w:pPr>
        <w:pStyle w:val="FirstParagraph"/>
      </w:pPr>
      <w:r>
        <w:t xml:space="preserve">Pooling the 19 repository-level slopes with a random-effects model, the log-rate slope of bug reports on weeks since release is −0.0013 per week (95% CI −0.009 to 0.007), with no detectable heterogeneity across repositories (</w:t>
      </w:r>
      <w:r>
        <w:rPr>
          <w:i/>
          <w:iCs/>
        </w:rPr>
        <w:t xml:space="preserve">τ²</w:t>
      </w:r>
      <w:r>
        <w:t xml:space="preserve"> = 0). The estimate is precise enough to rule out, for instance, a 1 percent weekly increase in the bug rate. Eight of the 19 repository-level slopes are positive and 11 are negative. None is significantly positive at the 5 percent level and one (semantic-kernel) is significantly negative, about what chance alone would produce among 19 tests. Negative binomial estimates give a pooled slope of −0.0013 (95% CI −0.009 to 0.007), so the result does not depend on the Poisson variance assumption. H1 is not supported.</w:t>
      </w:r>
    </w:p>
    <w:p>
      <w:pPr>
        <w:pStyle w:val="BodyText"/>
      </w:pPr>
      <w:r>
        <w:t xml:space="preserve">Raw bug counts do fall with age. Without the offset for total issue volume the pooled slope is −0.032 (95% CI −0.054 to −0.010), and in Transformers, bug counts fell from 22.1 per week in the first week after a release to 11.5 after five weeks. Once we account for the total number of issues filed, however, the decline disappears. The early surge appears to be a general burst of issue-filing right after a release, driven by attention, announcements, and defects together, and not a change in the share of reports that concern bugs. In the terms of Section 3, there is no evidence of an accumulating error state in these data.</w:t>
      </w:r>
    </w:p>
    <w:p>
      <w:pPr>
        <w:pStyle w:val="Heading3"/>
      </w:pPr>
      <w:r>
        <w:t xml:space="preserve">5.2 RQ2: The release hazard does not rise with age</w:t>
      </w:r>
    </w:p>
    <w:p>
      <w:pPr>
        <w:pStyle w:val="FirstParagraph"/>
      </w:pPr>
      <w:r>
        <w:t xml:space="preserve">The pooled release-hazard logit slope is −0.091 per week of age (95% CI −0.213 to 0.032; </w:t>
      </w:r>
      <w:r>
        <w:rPr>
          <w:i/>
          <w:iCs/>
        </w:rPr>
        <w:t xml:space="preserve">τ²</w:t>
      </w:r>
      <w:r>
        <w:t xml:space="preserve"> = 0.050), which is not distinguishable from zero. Eight of the 19 repository-level slopes are positive. One, for vLLM, is significantly positive at the 5 percent level (a ratio of slope to standard error of about 2.3),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Five repositories have a significantly negative slope, and three of them (anthropic-sdk-python, openai-python, and llama_index) are among the seven repositories with a median release cycle of one week, which also publish hot-fixes soon after a release. Excluding the seven weekly releasers gives a pooled slope of 0.038 (95% CI −0.084 to 0.159),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w:t>
      </w:r>
      <w:r>
        <w:t xml:space="preserve">Of the 2,659 releases we collected, 45 percent are classified as hot-fixes, from none in lm-evaluation-harness and FastChat to about three quarters in Ollama and llama_index. The hot-fix hazard is concentrated in the first week after a release: 40 percent of repository-weeks at an age of one week contain a hot-fix, against 5 to 8 percent at ages of two to seven weeks. When age is measured from the last regular release, the repository-level slopes of the regular-release hazard (18 repositories; FastChat has too few regular releases) pool to 0.096 (95% CI −0.006 to 0.198; </w:t>
      </w:r>
      <w:r>
        <w:rPr>
          <w:i/>
          <w:iCs/>
        </w:rPr>
        <w:t xml:space="preserve">τ²</w:t>
      </w:r>
      <w:r>
        <w:t xml:space="preserve"> = 0.030). Five are significantly positive (diffusers, peft, Transformers, Ollama, and vLLM) and one is significantly negative. In the pooled data, by contrast, the share of repository-weeks with a regular release falls from 0.37 at two weeks to 0.26 at seven weeks, because repositories that release often leave the sample at risk early. This is the dynamic selection described by Heckman and Singer (1984). Within repositories the regular hazard is flat to mildly rising, which is what a fixed cadence implies (Section 3.2).</w:t>
      </w:r>
    </w:p>
    <w:p>
      <w:pPr>
        <w:pStyle w:val="BodyText"/>
      </w:pPr>
      <w:r>
        <w:rPr>
          <w:b/>
          <w:bCs/>
        </w:rPr>
        <w:t xml:space="preserve">Frailty model.</w:t>
      </w:r>
      <w:r>
        <w:t xml:space="preserve"> </w:t>
      </w:r>
      <w:r>
        <w:t xml:space="preserve">In the pooled logit with a repository-level random intercept, the slope on age is −0.117 per week for all releases (standard error 0.027; standard deviation of the intercept 1.10). It is −0.045 (0.018) when the seven weekly releasers are excluded and −0.099 (0.017) when only ages of two weeks or more are used. For regular releases measured from the last regular release the slope is 0.017 (0.015), and 0.059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w:t>
      </w:r>
      <w:r>
        <w:t xml:space="preserve">The coefficient of variation of the intervals between releases of any kind has a median of 1.05 across the 19 repositories, and 11 of them exceed one, which indicates bursts and gaps. For regular releases only, the median is 0.77 (range 0.33 to 1.72) and 14 of the 19 repositories are below one, so regular releases are spaced more evenly than a constant-hazard process would space them. The pattern of a mildly rising regular hazard and a CV below one is that of a Taylor-type cadence. It would also be produced by a state-dependent rule, but not in a setting where, as in Section 5.1, the error rate that would drive such a rule is flat.</w:t>
      </w:r>
    </w:p>
    <w:p>
      <w:pPr>
        <w:pStyle w:val="BodyText"/>
      </w:pPr>
      <w:r>
        <w:rPr>
          <w:b/>
          <w:bCs/>
        </w:rPr>
        <w:t xml:space="preserve">Documented release policies.</w:t>
      </w:r>
      <w:r>
        <w:t xml:space="preserve"> </w:t>
      </w:r>
      <w:r>
        <w:t xml:space="preserve">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favors the second explanation in Section 3.3. Release timing is time-dependent in the sense that it follows a cadence, and there is no accumulating error state in these data to which a state-dependent rule could have responded. We cannot exclude that maintainers would also be inattentive if such a state existed.</w:t>
      </w:r>
    </w:p>
    <w:p>
      <w:pPr>
        <w:pStyle w:val="Heading2"/>
      </w:pPr>
      <w:r>
        <w:t xml:space="preserve">6 Discussion</w:t>
      </w:r>
    </w:p>
    <w:p>
      <w:pPr>
        <w:pStyle w:val="Heading3"/>
      </w:pPr>
      <w:r>
        <w:t xml:space="preserve">6.1 Interpretation</w:t>
      </w:r>
    </w:p>
    <w:p>
      <w:pPr>
        <w:pStyle w:val="FirstParagraph"/>
      </w:pPr>
      <w:r>
        <w:t xml:space="preserve">The repositories we examined behave like price setters with a Calvo or Taylor rule, not like Sheshinski and Weiss firms. Releases follow engineering cadence, feature work, and defect fixes, and the probability of a release does not build up as a release ages. Because bug reports do not build up either, these data cannot distinguish a maintainer who ignores an accumulating state from one who has no such state to respond to. Both readings carry the same practical message. In this ecosystem, release timing is not a mechanism through which degradation, if it occurs, would be corrected.</w:t>
      </w:r>
    </w:p>
    <w:p>
      <w:pPr>
        <w:pStyle w:val="Heading3"/>
      </w:pPr>
      <w:r>
        <w:t xml:space="preserve">6.2 Implications for policy and practice</w:t>
      </w:r>
    </w:p>
    <w:p>
      <w:pPr>
        <w:pStyle w:val="FirstParagraph"/>
      </w:pPr>
      <w:r>
        <w:rPr>
          <w:b/>
          <w:bCs/>
        </w:rPr>
        <w:t xml:space="preserve">Release cadence is not a signal of responsiveness.</w:t>
      </w:r>
      <w:r>
        <w:t xml:space="preserve"> A project that releases every week looks actively maintained, but under a time-dependent rule its timing need not respond to degradation. Buyers, auditors, and regulators that use update frequency as an indicator of maintenance quality should not read it as evidence that degradation is being corrected.</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t>
      </w:r>
      <w:r>
        <w:rPr>
          <w:highlight w:val="yellow"/>
        </w:rPr>
        <w:t xml:space="preserve">[TO ADD: precision and recall of the bug classification on a manually labeled sample.]</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Several repository-level intervals are wide, and the absence of a significant result is not evidence of absence. We therefore say that the evidence does not support the hypotheses, give interval estimates, and avoid claiming that the effects are zero.</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with the age of a release once total issue volume is controlled, and the release hazard rises significantly with age in only one of them. The decline in the raw pooled hazard reflects hot-fixes and differences in release frequency, as in price-change data, and regular releases follow a steady cadence. Release timing in this ecosystem is time-dependent. The finding implies that release cadence should not be read as evidence that degradation is managed, and that detecting and correcting degradation requires performance data that public repositories do not contain. We hope that the replication package helps others with better-instrumented data, such as operators’ own error logs and refresh histories, to test whether the maintenance of deployed AI systems is state-dependent.</w:t>
      </w:r>
    </w:p>
    <w:p>
      <w:pPr>
        <w:pStyle w:val="Heading2"/>
      </w:pPr>
      <w:r>
        <w:t xml:space="preserve">Data availability</w:t>
      </w:r>
    </w:p>
    <w:p>
      <w:pPr>
        <w:pStyle w:val="FirstParagraph"/>
      </w:pPr>
      <w:r>
        <w:t xml:space="preserve">The collection and analysis code and the weekly aggregates are available at </w:t>
      </w:r>
      <w:r>
        <w:rPr>
          <w:highlight w:val="yellow"/>
        </w:rPr>
        <w:t xml:space="preserve">[link withheld for review]</w:t>
      </w:r>
      <w:r>
        <w:t xml:space="preserve">.</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Over a wide range of parameter values, the optimal drift threshold is increasing in the refresh cost and in the speed of drift and decreasing in the discount factor, as the tables below show. These comparative statics are numerical regularities and not proved results. For the refresh cost and the speed of drift they agree in direction with the closed-form threshold </w:t>
      </w:r>
      <w:r>
        <w:rPr>
          <w:i/>
          <w:iCs/>
        </w:rPr>
        <w:t xml:space="preserve">x</w:t>
      </w:r>
      <w:r>
        <w:t xml:space="preserve">* of Section 3.2, which approximates the undiscounted case.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Refresh cost </w:t>
            </w:r>
            <w:r>
              <w:rPr>
                <w:rFonts w:eastAsia="Times New Roman" w:cs="Times New Roman"/>
                <w:i/>
                <w:iCs/>
                <w:kern w:val="0"/>
                <w:sz w:val="20"/>
                <w:szCs w:val="20"/>
                <w:lang w:val="en-US" w:eastAsia="en-US" w:bidi="ar-SA"/>
              </w:rPr>
              <w:t>RC</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1"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40</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r>
      <w:tr>
        <w:trPr/>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321"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21</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32</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Drift speed </w:t>
            </w:r>
            <w:r>
              <w:rPr>
                <w:rFonts w:eastAsia="Times New Roman" w:cs="Times New Roman"/>
                <w:i/>
                <w:iCs/>
                <w:kern w:val="0"/>
                <w:sz w:val="20"/>
                <w:szCs w:val="20"/>
                <w:lang w:val="en-US" w:eastAsia="en-US" w:bidi="ar-SA"/>
              </w:rPr>
              <w:t>μ</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r>
      <w:tr>
        <w:trPr/>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11</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Discount factor </w:t>
            </w:r>
            <w:r>
              <w:rPr>
                <w:rFonts w:eastAsia="Times New Roman" w:cs="Times New Roman"/>
                <w:i/>
                <w:iCs/>
                <w:kern w:val="0"/>
                <w:sz w:val="20"/>
                <w:szCs w:val="20"/>
                <w:lang w:val="en-US" w:eastAsia="en-US" w:bidi="ar-SA"/>
              </w:rPr>
              <w:t>β</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0.90</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0.95</w:t>
            </w:r>
          </w:p>
        </w:tc>
        <w:tc>
          <w:tcPr>
            <w:tcW w:w="197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0.99</w:t>
            </w:r>
          </w:p>
        </w:tc>
      </w:tr>
      <w:tr>
        <w:trPr/>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97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13</w:t>
            </w:r>
            <w:bookmarkStart w:id="27" w:name="X9c2d2319a2c40fad0b893d6b242d542108da474"/>
            <w:bookmarkEnd w:id="27"/>
          </w:p>
        </w:tc>
      </w:tr>
    </w:tbl>
    <w:p>
      <w:pPr>
        <w:pStyle w:val="Heading2"/>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38–67.</w:t>
      </w:r>
    </w:p>
    <w:p>
      <w:pPr>
        <w:pStyle w:val="Bibliography"/>
      </w:pPr>
      <w:r>
        <w:t xml:space="preserve">Alvarez, F. E., Lippi, F., and Paciello, L. (2011). Optimal price setting with observation and menu costs. </w:t>
      </w:r>
      <w:r>
        <w:rPr>
          <w:i/>
          <w:iCs/>
        </w:rPr>
        <w:t xml:space="preserve">Quarterly Journal of Economics</w:t>
      </w:r>
      <w:r>
        <w:t xml:space="preserve">, 126(4), 1909–1960.</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291–300.</w:t>
      </w:r>
    </w:p>
    <w:p>
      <w:pPr>
        <w:pStyle w:val="Bibliography"/>
      </w:pPr>
      <w:r>
        <w:t xml:space="preserve">Barlow, R., and Hunter, L. (1960). Optimum preventive maintenance policies. </w:t>
      </w:r>
      <w:r>
        <w:rPr>
          <w:i/>
          <w:iCs/>
        </w:rPr>
        <w:t xml:space="preserve">Operations Research</w:t>
      </w:r>
      <w:r>
        <w:t xml:space="preserve">, 8(1), 90–100.</w:t>
      </w:r>
    </w:p>
    <w:p>
      <w:pPr>
        <w:pStyle w:val="Bibliography"/>
      </w:pPr>
      <w:r>
        <w:t xml:space="preserve">Caballero, R. J., and Engel, E. M. R. A. (1999). Explaining investment dynamics in U.S. manufacturing: A generalized (S,s) approach. </w:t>
      </w:r>
      <w:r>
        <w:rPr>
          <w:i/>
          <w:iCs/>
        </w:rPr>
        <w:t xml:space="preserve">Econometrica</w:t>
      </w:r>
      <w:r>
        <w:t xml:space="preserve">, 67(4), 783–826.</w:t>
      </w:r>
    </w:p>
    <w:p>
      <w:pPr>
        <w:pStyle w:val="Bibliography"/>
      </w:pPr>
      <w:r>
        <w:t xml:space="preserve">Calvo, G. A. (1983). Staggered prices in a utility-maximizing framework. </w:t>
      </w:r>
      <w:r>
        <w:rPr>
          <w:i/>
          <w:iCs/>
        </w:rPr>
        <w:t xml:space="preserve">Journal of Monetary Economics</w:t>
      </w:r>
      <w:r>
        <w:t xml:space="preserve">, 12(3), 383–398.</w:t>
      </w:r>
    </w:p>
    <w:p>
      <w:pPr>
        <w:pStyle w:val="Bibliography"/>
      </w:pPr>
      <w:r>
        <w:t xml:space="preserve">Chen, L., Zaharia, M., and Zou, J. (2024). How is ChatGPT’s behavior changing over time? </w:t>
      </w:r>
      <w:r>
        <w:rPr>
          <w:i/>
          <w:iCs/>
        </w:rPr>
        <w:t xml:space="preserve">Harvard Data Science Review</w:t>
      </w:r>
      <w:r>
        <w:t xml:space="preserve">, 6(2).</w:t>
      </w:r>
    </w:p>
    <w:p>
      <w:pPr>
        <w:pStyle w:val="Bibliography"/>
      </w:pPr>
      <w:r>
        <w:t xml:space="preserve">DerSimonian, R., and Laird, N. (1986). Meta-analysis in clinical trials. </w:t>
      </w:r>
      <w:r>
        <w:rPr>
          <w:i/>
          <w:iCs/>
        </w:rPr>
        <w:t xml:space="preserve">Controlled Clinical Trials</w:t>
      </w:r>
      <w:r>
        <w:t xml:space="preserve">, 7(3), 177–188.</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228–242.</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w:t>
      </w:r>
    </w:p>
    <w:p>
      <w:pPr>
        <w:pStyle w:val="Bibliography"/>
      </w:pPr>
      <w:r>
        <w:t xml:space="preserve">Gourieroux, C., Monfort, A., and Trognon, A. (1984). Pseudo maximum likelihood methods: Applications to Poisson models. </w:t>
      </w:r>
      <w:r>
        <w:rPr>
          <w:i/>
          <w:iCs/>
        </w:rPr>
        <w:t xml:space="preserve">Econometrica</w:t>
      </w:r>
      <w:r>
        <w:t xml:space="preserve">, 52(3), 681–700.</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271–320.</w:t>
      </w:r>
    </w:p>
    <w:p>
      <w:pPr>
        <w:pStyle w:val="Bibliography"/>
      </w:pPr>
      <w:r>
        <w:t xml:space="preserve">Hotz, V. J., and Miller, R. A. (1993). Conditional choice probabilities and the estimation of dynamic models. </w:t>
      </w:r>
      <w:r>
        <w:rPr>
          <w:i/>
          <w:iCs/>
        </w:rPr>
        <w:t xml:space="preserve">Review of Economic Studies</w:t>
      </w:r>
      <w:r>
        <w:t xml:space="preserve">, 60(3), 497–529.</w:t>
      </w:r>
    </w:p>
    <w:p>
      <w:pPr>
        <w:pStyle w:val="Bibliography"/>
      </w:pPr>
      <w:r>
        <w:t xml:space="preserve">Jenkins, S. P. (1995). Easy estimation methods for discrete-time duration models. </w:t>
      </w:r>
      <w:r>
        <w:rPr>
          <w:i/>
          <w:iCs/>
        </w:rPr>
        <w:t xml:space="preserve">Oxford Bulletin of Economics and Statistics</w:t>
      </w:r>
      <w:r>
        <w:t xml:space="preserve">, 57(1), 129–138.</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179–188.</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863–904.</w:t>
      </w:r>
    </w:p>
    <w:p>
      <w:pPr>
        <w:pStyle w:val="Bibliography"/>
      </w:pPr>
      <w:r>
        <w:t xml:space="preserve">Lazaridou, A., Kuncoro, A., Gribovskaya, E., Agrawal, D., Liska, A., Terzi, T., et al. (2021). Mind the gap: Assessing temporal generalization in neural language models. </w:t>
      </w:r>
      <w:r>
        <w:rPr>
          <w:i/>
          <w:iCs/>
        </w:rPr>
        <w:t xml:space="preserve">Advances in Neural Information Processing Systems</w:t>
      </w:r>
      <w:r>
        <w:t xml:space="preserve">, 34.</w:t>
      </w:r>
    </w:p>
    <w:p>
      <w:pPr>
        <w:pStyle w:val="Bibliography"/>
      </w:pPr>
      <w:r>
        <w:t xml:space="preserve">Lerner, J., and Tirole, J. (2002). Some simple economics of open source. </w:t>
      </w:r>
      <w:r>
        <w:rPr>
          <w:i/>
          <w:iCs/>
        </w:rPr>
        <w:t xml:space="preserve">Journal of Industrial Economics</w:t>
      </w:r>
      <w:r>
        <w:t xml:space="preserve">, 50(2), 197–234.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1295–1328.</w:t>
      </w:r>
    </w:p>
    <w:p>
      <w:pPr>
        <w:pStyle w:val="Bibliography"/>
      </w:pPr>
      <w:r>
        <w:t xml:space="preserve">Nakamura, E., and Steinsson, J. (2008). Five facts about prices: A reevaluation of menu cost models. </w:t>
      </w:r>
      <w:r>
        <w:rPr>
          <w:i/>
          <w:iCs/>
        </w:rPr>
        <w:t xml:space="preserve">Quarterly Journal of Economics</w:t>
      </w:r>
      <w:r>
        <w:t xml:space="preserve">, 123(4), 1415–1464.</w:t>
      </w:r>
    </w:p>
    <w:p>
      <w:pPr>
        <w:pStyle w:val="Bibliography"/>
      </w:pPr>
      <w:r>
        <w:t xml:space="preserve">Reis, R. (2006). Inattentive producers. </w:t>
      </w:r>
      <w:r>
        <w:rPr>
          <w:i/>
          <w:iCs/>
        </w:rPr>
        <w:t xml:space="preserve">Review of Economic Studies</w:t>
      </w:r>
      <w:r>
        <w:t xml:space="preserve">, 73(3), 793–821.</w:t>
      </w:r>
    </w:p>
    <w:p>
      <w:pPr>
        <w:pStyle w:val="Bibliography"/>
      </w:pPr>
      <w:r>
        <w:t xml:space="preserve">Rust, J. (1987). Optimal replacement of GMC bus engines: An empirical model of Harold Zurcher. </w:t>
      </w:r>
      <w:r>
        <w:rPr>
          <w:i/>
          <w:iCs/>
        </w:rPr>
        <w:t xml:space="preserve">Econometrica</w:t>
      </w:r>
      <w:r>
        <w:t xml:space="preserve">, 55(5), 999–1033.</w:t>
      </w:r>
    </w:p>
    <w:p>
      <w:pPr>
        <w:pStyle w:val="Bibliography"/>
      </w:pPr>
      <w:r>
        <w:t xml:space="preserve">Sculley, D., Holt, G., Golovin, D., Davydov, E., Phillips, T., Ebner, D., et al. (2015). Hidden technical debt in machine learning systems. </w:t>
      </w:r>
      <w:r>
        <w:rPr>
          <w:i/>
          <w:iCs/>
        </w:rPr>
        <w:t xml:space="preserve">Advances in Neural Information Processing Systems</w:t>
      </w:r>
      <w:r>
        <w:t xml:space="preserve">, 28.</w:t>
      </w:r>
    </w:p>
    <w:p>
      <w:pPr>
        <w:pStyle w:val="Bibliography"/>
      </w:pPr>
      <w:r>
        <w:t xml:space="preserve">Sheshinski, E., and Weiss, Y. (1977). Inflation and costs of price adjustment. </w:t>
      </w:r>
      <w:r>
        <w:rPr>
          <w:i/>
          <w:iCs/>
        </w:rPr>
        <w:t xml:space="preserve">Review of Economic Studies</w:t>
      </w:r>
      <w:r>
        <w:t xml:space="preserve">, 44(2), 287–303.</w:t>
      </w:r>
    </w:p>
    <w:p>
      <w:pPr>
        <w:pStyle w:val="Bibliography"/>
      </w:pPr>
      <w:r>
        <w:t xml:space="preserve">Sims, C. A. (2003). Implications of rational inattention. </w:t>
      </w:r>
      <w:r>
        <w:rPr>
          <w:i/>
          <w:iCs/>
        </w:rPr>
        <w:t xml:space="preserve">Journal of Monetary Economics</w:t>
      </w:r>
      <w:r>
        <w:t xml:space="preserve">, 50(3), 665–690.</w:t>
      </w:r>
    </w:p>
    <w:p>
      <w:pPr>
        <w:pStyle w:val="Bibliography"/>
      </w:pPr>
      <w:r>
        <w:t xml:space="preserve">Taylor, J. B. (1980). Aggregate dynamics and staggered contracts. </w:t>
      </w:r>
      <w:r>
        <w:rPr>
          <w:i/>
          <w:iCs/>
        </w:rPr>
        <w:t xml:space="preserve">Journal of Political Economy</w:t>
      </w:r>
      <w:r>
        <w:t xml:space="preserve">, 88(1), 1–23.</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209–223.</w:t>
      </w:r>
    </w:p>
    <w:sectPr>
      <w:footerReference w:type="even" r:id="rId2"/>
      <w:footerReference w:type="default" r:id="rId3"/>
      <w:footerReference w:type="first" r:id="rId4"/>
      <w:type w:val="nextPage"/>
      <w:pgSz w:w="11906" w:h="16838"/>
      <w:pgMar w:left="1440" w:right="1440" w:gutter="0" w:header="0" w:top="1440" w:footer="708"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Does Release Timing in the LLM Software Ecosystem Respond to Accumulating Degradation? An Empirical Study of Open-Source Repositories and Public Chat Logs</dc:title>
</cp:coreProperties>
</file>

<file path=docProps/custom.xml><?xml version="1.0" encoding="utf-8"?>
<Properties xmlns="http://schemas.openxmlformats.org/officeDocument/2006/custom-properties" xmlns:vt="http://schemas.openxmlformats.org/officeDocument/2006/docPropsVTypes"/>
</file>