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reports a full analysis on open data, but it is not yet ready for submission. Three items remain open: (i) the large-language-model (LLM) measure of occupational exposure to visual content creation has not been validated against human coders; (ii) the evidence on labor effects is small and imprecise, and we do not claim a causal effect of generative visual AI; (iii) model release dates and the bibliographic details marked † must be verified. All reported numbers are produced by the code and data in the accompanying repository.</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where adoption requires output of acceptable quality at low review cost and is held back by expertise and legal frictions. Eurostat survey data show that adoption is already substantial (9.6% of European firms with ten or more employees use AI that generates pictures, video, or audio) and that firms that considered AI cite lack of expertise and legal and privacy uncertainty far more than lack of usefulness. In UK online job adverts for 403 occupations, occupational exposure to visual content creation is associated with small, imprecise declines after 2022 that follow a pre-existing COVID-era pattern, are not concentrated in low-quality-requirement tasks, and are too large to attribute to current adoption levels.</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three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 We do not review the growing empirical literature on generative AI and creative or freelance work in detail here; positioning against recent work in Information Systems Research, MIS Quarterly, and Management Science is to be completed before submission.</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in mid-2022 and of ChatGPT in November 2022 (dates to be verified). We keep occupations with at least 1,000 adverts in the base year, which leaves 403 occupations.</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The measure has not been validated against human coders. We provide convergent evidence from a transparent rule-based score built from the rubric text: its correlation with the LLM score across occupations is 0.71 in the first half and 0.91 in the second half of the data classified first (n = 196 and 192 occupations), and all main results are similar with the rule-based score. A second LLM pass codes the quality requirement of the 859 tasks that score 1 or 2 as low (237 tasks), medium (355), or high (267), using the rubric in Appendix A. An earlier attempt to measure a broader construct, dependence of tasks on visual perception, agreed poorly with a human coder (Cohen’s κ about 0.2 on 200 tasks) and was discontinued.</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6.6.</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In Section 6.3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5).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6.4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6).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6.5 Scaling by Adoption</w:t>
      </w:r>
    </w:p>
    <w:p>
      <w:pPr>
        <w:spacing w:after="0" w:line="480" w:lineRule="auto"/>
        <w:ind w:firstLine="720"/>
        <w:jc w:val="left"/>
      </w:pPr>
      <w:r>
        <w:rPr>
          <w:rFonts w:ascii="Times New Roman" w:cs="Times New Roman" w:eastAsia="Times New Roman" w:hAnsi="Times New Roman"/>
          <w:sz w:val="24"/>
          <w:szCs w:val="24"/>
        </w:rPr>
        <w:t xml:space="preserve">Table 7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6.6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6.7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the coefficients are most negative in 2026, but the pattern is not monotone and the effect cannot be separated from the pre-existing pattern.</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and sensitive to a few occupations.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exposure measure is LLM-coded and has not been validated against human coders, although a rule-based score gives similar results.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Model release dates are approximate.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Testing the delayed-displacement view requires firm-level data that link adoption to hiring, a validated task measure, and several more years of data.</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Claude Sonnet 5.5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are in the repository as prompt_creation.txt and prompt_quality.txt. Data and code are in the accompanying repository (isr_paper).</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memory or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2026-10-04T07:24:18.974Z</dcterms:created>
  <dcterms:modified xsi:type="dcterms:W3CDTF">2026-10-04T07:24:18.979Z</dcterms:modified>
</cp:coreProperties>
</file>

<file path=docProps/custom.xml><?xml version="1.0" encoding="utf-8"?>
<Properties xmlns="http://schemas.openxmlformats.org/officeDocument/2006/custom-properties" xmlns:vt="http://schemas.openxmlformats.org/officeDocument/2006/docPropsVTypes"/>
</file>