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t>October 17, 2026</w:t>
      </w:r>
    </w:p>
    <w:p>
      <w:pPr>
        <w:spacing w:after="240"/>
      </w:pPr>
      <w:r>
        <w:rPr>
          <w:b w:val="0"/>
          <w:i w:val="0"/>
        </w:rPr>
        <w:t>Editor-in-Chief and Senior Editors</w:t>
        <w:br/>
        <w:t>Information Systems Research</w:t>
        <w:br/>
        <w:t>INFORMS</w:t>
      </w:r>
    </w:p>
    <w:p>
      <w:pPr>
        <w:spacing w:after="240"/>
      </w:pPr>
      <w:r>
        <w:rPr>
          <w:b/>
          <w:i w:val="0"/>
        </w:rPr>
        <w:t>Re: Submission of "Synthetic Customers as Decision-Support Artifacts: Design Constraints, Calibration, and Accountability in Generative-AI Marketing Analytics"</w:t>
      </w:r>
    </w:p>
    <w:p>
      <w:pPr>
        <w:spacing w:after="120"/>
      </w:pPr>
      <w:r>
        <w:rPr>
          <w:b w:val="0"/>
          <w:i w:val="0"/>
        </w:rPr>
        <w:t>Dear Editors,</w:t>
      </w:r>
    </w:p>
    <w:p>
      <w:pPr>
        <w:spacing w:after="160"/>
      </w:pPr>
      <w:r>
        <w:rPr>
          <w:b w:val="0"/>
          <w:i w:val="0"/>
        </w:rPr>
        <w:t>We submit the enclosed manuscript for consideration at Information Systems Research. The paper treats the generative-AI synthetic customer, increasingly sold as a digital twin of a customer base, as an IT artifact for decision support. It develops design knowledge for such artifacts, explains why their validation and governance are managerial problems and not only statistical ones, and tests the argument with eight language models, three transaction settings, and a randomized email experiment.</w:t>
      </w:r>
    </w:p>
    <w:p>
      <w:pPr>
        <w:spacing w:after="160"/>
      </w:pPr>
      <w:r>
        <w:rPr>
          <w:b w:val="0"/>
          <w:i w:val="0"/>
        </w:rPr>
        <w:t>Our core argument is that a persona-conditioned generative component can transmit only the customer heterogeneity that its persona describes, that the remainder must be supplied and calibrated by a layer connected to the firm's own data, and that the resulting error is invisible from inside the system and detectable only against the real data the system was meant to economize. From this we derive design principles, an acceptance-test protocol, and organizational arrangements for accountability. The marketing results, namely purchase counts, concentration among heavy buyers, and promotion lifts, serve as supporting evidence.</w:t>
      </w:r>
    </w:p>
    <w:p>
      <w:pPr>
        <w:spacing w:after="160"/>
      </w:pPr>
      <w:r>
        <w:rPr>
          <w:b w:val="0"/>
          <w:i w:val="0"/>
        </w:rPr>
        <w:t>The manuscript is original, has not been published, and is not under review elsewhere. [Confirm before submission.] It is prepared for double-blind review, and an online appendix with prompt templates, full results, reproducibility information, and proofs accompanies it. The contribution statement required by the journal is uploaded separately. Code and data-processing scripts are available and will be shared in anonymized form on request and publicly after the review. [Confirm the data and code availability statement.]</w:t>
      </w:r>
    </w:p>
    <w:p>
      <w:pPr>
        <w:spacing w:after="160"/>
      </w:pPr>
      <w:r>
        <w:rPr>
          <w:b w:val="0"/>
          <w:i w:val="0"/>
        </w:rPr>
        <w:t>[AI-use disclosure: describe how generative AI tools were used in preparing the manuscript and analysis, following the journal's policy. Complete before submission.]</w:t>
      </w:r>
    </w:p>
    <w:p>
      <w:pPr>
        <w:spacing w:after="160"/>
      </w:pPr>
      <w:r>
        <w:rPr>
          <w:b w:val="0"/>
          <w:i w:val="0"/>
        </w:rPr>
        <w:t>[Suggested or excluded reviewers, if the journal asks for them, to be completed by the authors.]</w:t>
      </w:r>
    </w:p>
    <w:p>
      <w:pPr>
        <w:spacing w:after="160"/>
      </w:pPr>
      <w:r>
        <w:rPr>
          <w:b w:val="0"/>
          <w:i w:val="0"/>
        </w:rPr>
        <w:t>Thank you for considering our work. We look forward to your decision.</w:t>
      </w:r>
    </w:p>
    <w:p>
      <w:pPr>
        <w:spacing w:after="120"/>
      </w:pPr>
      <w:r>
        <w:rPr>
          <w:b w:val="0"/>
          <w:i w:val="0"/>
        </w:rPr>
        <w:t>Sincerely,</w:t>
        <w:br/>
        <w:t>Ook Lee</w:t>
        <w:br/>
        <w:t>Department of Information System, Hanyang University, Seoul, Korea</w:t>
        <w:b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